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259E4" w14:textId="77777777" w:rsidR="008A4099" w:rsidRDefault="006A6EE2">
      <w:pPr>
        <w:pStyle w:val="BodyText"/>
        <w:ind w:left="2965"/>
        <w:rPr>
          <w:sz w:val="20"/>
        </w:rPr>
      </w:pPr>
      <w:r>
        <w:rPr>
          <w:noProof/>
          <w:sz w:val="20"/>
        </w:rPr>
        <w:drawing>
          <wp:inline distT="0" distB="0" distL="0" distR="0" wp14:anchorId="7CB265D7" wp14:editId="7CB265D8">
            <wp:extent cx="2173061" cy="7376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173061" cy="737616"/>
                    </a:xfrm>
                    <a:prstGeom prst="rect">
                      <a:avLst/>
                    </a:prstGeom>
                  </pic:spPr>
                </pic:pic>
              </a:graphicData>
            </a:graphic>
          </wp:inline>
        </w:drawing>
      </w:r>
    </w:p>
    <w:p w14:paraId="7CB259E5" w14:textId="77777777" w:rsidR="008A4099" w:rsidRDefault="008A4099">
      <w:pPr>
        <w:pStyle w:val="BodyText"/>
        <w:rPr>
          <w:sz w:val="68"/>
        </w:rPr>
      </w:pPr>
    </w:p>
    <w:p w14:paraId="7CB259E6" w14:textId="77777777" w:rsidR="008A4099" w:rsidRDefault="008A4099">
      <w:pPr>
        <w:pStyle w:val="BodyText"/>
        <w:rPr>
          <w:sz w:val="68"/>
        </w:rPr>
      </w:pPr>
    </w:p>
    <w:p w14:paraId="7CB259E7" w14:textId="77777777" w:rsidR="008A4099" w:rsidRDefault="008A4099">
      <w:pPr>
        <w:pStyle w:val="BodyText"/>
        <w:spacing w:before="133"/>
        <w:rPr>
          <w:sz w:val="68"/>
        </w:rPr>
      </w:pPr>
    </w:p>
    <w:p w14:paraId="7CB259E8" w14:textId="77777777" w:rsidR="008A4099" w:rsidRDefault="006A6EE2">
      <w:pPr>
        <w:pStyle w:val="Title"/>
        <w:spacing w:line="288" w:lineRule="auto"/>
      </w:pPr>
      <w:r>
        <w:t>A</w:t>
      </w:r>
      <w:r>
        <w:rPr>
          <w:spacing w:val="-10"/>
        </w:rPr>
        <w:t xml:space="preserve"> </w:t>
      </w:r>
      <w:r>
        <w:t>Charter</w:t>
      </w:r>
      <w:r>
        <w:rPr>
          <w:spacing w:val="-10"/>
        </w:rPr>
        <w:t xml:space="preserve"> </w:t>
      </w:r>
      <w:r>
        <w:t>of</w:t>
      </w:r>
      <w:r>
        <w:rPr>
          <w:spacing w:val="-7"/>
        </w:rPr>
        <w:t xml:space="preserve"> </w:t>
      </w:r>
      <w:r>
        <w:t>Human</w:t>
      </w:r>
      <w:r>
        <w:rPr>
          <w:spacing w:val="-7"/>
        </w:rPr>
        <w:t xml:space="preserve"> </w:t>
      </w:r>
      <w:r>
        <w:t>Rights for Tasmania?</w:t>
      </w:r>
    </w:p>
    <w:p w14:paraId="7CB259E9" w14:textId="77777777" w:rsidR="008A4099" w:rsidRDefault="008A4099">
      <w:pPr>
        <w:pStyle w:val="BodyText"/>
        <w:spacing w:before="658"/>
        <w:rPr>
          <w:sz w:val="68"/>
        </w:rPr>
      </w:pPr>
    </w:p>
    <w:p w14:paraId="7CB259EA" w14:textId="77777777" w:rsidR="008A4099" w:rsidRDefault="006A6EE2">
      <w:pPr>
        <w:pStyle w:val="Title"/>
        <w:spacing w:before="1"/>
        <w:ind w:left="540"/>
      </w:pPr>
      <w:r>
        <w:rPr>
          <w:spacing w:val="-2"/>
        </w:rPr>
        <w:t>Update</w:t>
      </w:r>
    </w:p>
    <w:p w14:paraId="7CB259EB" w14:textId="77777777" w:rsidR="008A4099" w:rsidRDefault="008A4099">
      <w:pPr>
        <w:pStyle w:val="BodyText"/>
        <w:rPr>
          <w:sz w:val="68"/>
        </w:rPr>
      </w:pPr>
    </w:p>
    <w:p w14:paraId="7CB259EC" w14:textId="77777777" w:rsidR="008A4099" w:rsidRDefault="008A4099">
      <w:pPr>
        <w:pStyle w:val="BodyText"/>
        <w:rPr>
          <w:sz w:val="68"/>
        </w:rPr>
      </w:pPr>
    </w:p>
    <w:p w14:paraId="7CB259ED" w14:textId="77777777" w:rsidR="008A4099" w:rsidRDefault="008A4099">
      <w:pPr>
        <w:pStyle w:val="BodyText"/>
        <w:spacing w:before="574"/>
        <w:rPr>
          <w:sz w:val="68"/>
        </w:rPr>
      </w:pPr>
    </w:p>
    <w:p w14:paraId="7CB259EE" w14:textId="77777777" w:rsidR="008A4099" w:rsidRDefault="006A6EE2">
      <w:pPr>
        <w:spacing w:line="448" w:lineRule="auto"/>
        <w:ind w:left="2508" w:right="3026"/>
        <w:jc w:val="center"/>
        <w:rPr>
          <w:sz w:val="36"/>
        </w:rPr>
      </w:pPr>
      <w:r>
        <w:rPr>
          <w:smallCaps/>
          <w:sz w:val="36"/>
        </w:rPr>
        <w:t>Research</w:t>
      </w:r>
      <w:r>
        <w:rPr>
          <w:smallCaps/>
          <w:spacing w:val="-12"/>
          <w:sz w:val="36"/>
        </w:rPr>
        <w:t xml:space="preserve"> </w:t>
      </w:r>
      <w:r>
        <w:rPr>
          <w:smallCaps/>
          <w:sz w:val="36"/>
        </w:rPr>
        <w:t>Paper</w:t>
      </w:r>
      <w:r>
        <w:rPr>
          <w:smallCaps/>
          <w:spacing w:val="-11"/>
          <w:sz w:val="36"/>
        </w:rPr>
        <w:t xml:space="preserve"> </w:t>
      </w:r>
      <w:r>
        <w:rPr>
          <w:smallCaps/>
          <w:sz w:val="36"/>
        </w:rPr>
        <w:t>No</w:t>
      </w:r>
      <w:r>
        <w:rPr>
          <w:smallCaps/>
          <w:spacing w:val="-12"/>
          <w:sz w:val="36"/>
        </w:rPr>
        <w:t xml:space="preserve"> </w:t>
      </w:r>
      <w:r>
        <w:rPr>
          <w:smallCaps/>
          <w:sz w:val="36"/>
        </w:rPr>
        <w:t>6 APRIL</w:t>
      </w:r>
      <w:r>
        <w:rPr>
          <w:smallCaps/>
          <w:spacing w:val="-4"/>
          <w:sz w:val="36"/>
        </w:rPr>
        <w:t xml:space="preserve"> </w:t>
      </w:r>
      <w:r>
        <w:rPr>
          <w:smallCaps/>
          <w:sz w:val="36"/>
        </w:rPr>
        <w:t>2024</w:t>
      </w:r>
    </w:p>
    <w:p w14:paraId="7CB259EF" w14:textId="77777777" w:rsidR="008A4099" w:rsidRDefault="008A4099">
      <w:pPr>
        <w:spacing w:line="448" w:lineRule="auto"/>
        <w:jc w:val="center"/>
        <w:rPr>
          <w:sz w:val="36"/>
        </w:rPr>
        <w:sectPr w:rsidR="008A4099" w:rsidSect="00D43B2D">
          <w:footerReference w:type="default" r:id="rId11"/>
          <w:type w:val="continuous"/>
          <w:pgSz w:w="11910" w:h="16840"/>
          <w:pgMar w:top="1500" w:right="760" w:bottom="280" w:left="1280" w:header="0" w:footer="0" w:gutter="0"/>
          <w:pgNumType w:start="1"/>
          <w:cols w:space="720"/>
        </w:sectPr>
      </w:pPr>
    </w:p>
    <w:p w14:paraId="7CB259F0" w14:textId="77777777" w:rsidR="008A4099" w:rsidRDefault="008A4099">
      <w:pPr>
        <w:pStyle w:val="BodyText"/>
        <w:rPr>
          <w:sz w:val="20"/>
        </w:rPr>
      </w:pPr>
    </w:p>
    <w:p w14:paraId="7CB259F1" w14:textId="77777777" w:rsidR="008A4099" w:rsidRDefault="008A4099">
      <w:pPr>
        <w:pStyle w:val="BodyText"/>
        <w:rPr>
          <w:sz w:val="20"/>
        </w:rPr>
      </w:pPr>
    </w:p>
    <w:p w14:paraId="7CB259F2" w14:textId="77777777" w:rsidR="008A4099" w:rsidRDefault="008A4099">
      <w:pPr>
        <w:pStyle w:val="BodyText"/>
        <w:rPr>
          <w:sz w:val="20"/>
        </w:rPr>
      </w:pPr>
    </w:p>
    <w:p w14:paraId="7CB259F3" w14:textId="77777777" w:rsidR="008A4099" w:rsidRDefault="008A4099">
      <w:pPr>
        <w:pStyle w:val="BodyText"/>
        <w:rPr>
          <w:sz w:val="20"/>
        </w:rPr>
      </w:pPr>
    </w:p>
    <w:p w14:paraId="7CB259F4" w14:textId="77777777" w:rsidR="008A4099" w:rsidRDefault="008A4099">
      <w:pPr>
        <w:pStyle w:val="BodyText"/>
        <w:rPr>
          <w:sz w:val="20"/>
        </w:rPr>
      </w:pPr>
    </w:p>
    <w:p w14:paraId="7CB259F5" w14:textId="77777777" w:rsidR="008A4099" w:rsidRDefault="008A4099">
      <w:pPr>
        <w:pStyle w:val="BodyText"/>
        <w:rPr>
          <w:sz w:val="20"/>
        </w:rPr>
      </w:pPr>
    </w:p>
    <w:p w14:paraId="7CB259F6" w14:textId="77777777" w:rsidR="008A4099" w:rsidRDefault="008A4099">
      <w:pPr>
        <w:pStyle w:val="BodyText"/>
        <w:rPr>
          <w:sz w:val="20"/>
        </w:rPr>
      </w:pPr>
    </w:p>
    <w:p w14:paraId="7CB259F7" w14:textId="77777777" w:rsidR="008A4099" w:rsidRDefault="008A4099">
      <w:pPr>
        <w:pStyle w:val="BodyText"/>
        <w:rPr>
          <w:sz w:val="20"/>
        </w:rPr>
      </w:pPr>
    </w:p>
    <w:p w14:paraId="7CB259F8" w14:textId="77777777" w:rsidR="008A4099" w:rsidRDefault="008A4099">
      <w:pPr>
        <w:pStyle w:val="BodyText"/>
        <w:rPr>
          <w:sz w:val="20"/>
        </w:rPr>
      </w:pPr>
    </w:p>
    <w:p w14:paraId="7CB259F9" w14:textId="77777777" w:rsidR="008A4099" w:rsidRDefault="008A4099">
      <w:pPr>
        <w:pStyle w:val="BodyText"/>
        <w:rPr>
          <w:sz w:val="20"/>
        </w:rPr>
      </w:pPr>
    </w:p>
    <w:p w14:paraId="7CB259FA" w14:textId="77777777" w:rsidR="008A4099" w:rsidRDefault="008A4099">
      <w:pPr>
        <w:pStyle w:val="BodyText"/>
        <w:rPr>
          <w:sz w:val="20"/>
        </w:rPr>
      </w:pPr>
    </w:p>
    <w:p w14:paraId="7CB259FB" w14:textId="77777777" w:rsidR="008A4099" w:rsidRDefault="008A4099">
      <w:pPr>
        <w:pStyle w:val="BodyText"/>
        <w:rPr>
          <w:sz w:val="20"/>
        </w:rPr>
      </w:pPr>
    </w:p>
    <w:p w14:paraId="7CB259FC" w14:textId="77777777" w:rsidR="008A4099" w:rsidRDefault="008A4099">
      <w:pPr>
        <w:pStyle w:val="BodyText"/>
        <w:rPr>
          <w:sz w:val="20"/>
        </w:rPr>
      </w:pPr>
    </w:p>
    <w:p w14:paraId="7CB259FD" w14:textId="77777777" w:rsidR="008A4099" w:rsidRDefault="008A4099">
      <w:pPr>
        <w:pStyle w:val="BodyText"/>
        <w:rPr>
          <w:sz w:val="20"/>
        </w:rPr>
      </w:pPr>
    </w:p>
    <w:p w14:paraId="7CB259FE" w14:textId="77777777" w:rsidR="008A4099" w:rsidRDefault="008A4099">
      <w:pPr>
        <w:pStyle w:val="BodyText"/>
        <w:rPr>
          <w:sz w:val="20"/>
        </w:rPr>
      </w:pPr>
    </w:p>
    <w:p w14:paraId="7CB259FF" w14:textId="77777777" w:rsidR="008A4099" w:rsidRDefault="008A4099">
      <w:pPr>
        <w:pStyle w:val="BodyText"/>
        <w:rPr>
          <w:sz w:val="20"/>
        </w:rPr>
      </w:pPr>
    </w:p>
    <w:p w14:paraId="7CB25A00" w14:textId="77777777" w:rsidR="008A4099" w:rsidRDefault="008A4099">
      <w:pPr>
        <w:pStyle w:val="BodyText"/>
        <w:rPr>
          <w:sz w:val="20"/>
        </w:rPr>
      </w:pPr>
    </w:p>
    <w:p w14:paraId="7CB25A01" w14:textId="77777777" w:rsidR="008A4099" w:rsidRDefault="008A4099">
      <w:pPr>
        <w:pStyle w:val="BodyText"/>
        <w:rPr>
          <w:sz w:val="20"/>
        </w:rPr>
      </w:pPr>
    </w:p>
    <w:p w14:paraId="7CB25A02" w14:textId="77777777" w:rsidR="008A4099" w:rsidRDefault="008A4099">
      <w:pPr>
        <w:pStyle w:val="BodyText"/>
        <w:rPr>
          <w:sz w:val="20"/>
        </w:rPr>
      </w:pPr>
    </w:p>
    <w:p w14:paraId="7CB25A03" w14:textId="77777777" w:rsidR="008A4099" w:rsidRDefault="008A4099">
      <w:pPr>
        <w:pStyle w:val="BodyText"/>
        <w:rPr>
          <w:sz w:val="20"/>
        </w:rPr>
      </w:pPr>
    </w:p>
    <w:p w14:paraId="7CB25A04" w14:textId="77777777" w:rsidR="008A4099" w:rsidRDefault="008A4099">
      <w:pPr>
        <w:pStyle w:val="BodyText"/>
        <w:rPr>
          <w:sz w:val="20"/>
        </w:rPr>
      </w:pPr>
    </w:p>
    <w:p w14:paraId="7CB25A05" w14:textId="77777777" w:rsidR="008A4099" w:rsidRDefault="008A4099">
      <w:pPr>
        <w:pStyle w:val="BodyText"/>
        <w:rPr>
          <w:sz w:val="20"/>
        </w:rPr>
      </w:pPr>
    </w:p>
    <w:p w14:paraId="7CB25A06" w14:textId="77777777" w:rsidR="008A4099" w:rsidRDefault="008A4099">
      <w:pPr>
        <w:pStyle w:val="BodyText"/>
        <w:rPr>
          <w:sz w:val="20"/>
        </w:rPr>
      </w:pPr>
    </w:p>
    <w:p w14:paraId="7CB25A07" w14:textId="77777777" w:rsidR="008A4099" w:rsidRDefault="008A4099">
      <w:pPr>
        <w:pStyle w:val="BodyText"/>
        <w:rPr>
          <w:sz w:val="20"/>
        </w:rPr>
      </w:pPr>
    </w:p>
    <w:p w14:paraId="7CB25A08" w14:textId="77777777" w:rsidR="008A4099" w:rsidRDefault="008A4099">
      <w:pPr>
        <w:pStyle w:val="BodyText"/>
        <w:rPr>
          <w:sz w:val="20"/>
        </w:rPr>
      </w:pPr>
    </w:p>
    <w:p w14:paraId="7CB25A09" w14:textId="77777777" w:rsidR="008A4099" w:rsidRDefault="008A4099">
      <w:pPr>
        <w:pStyle w:val="BodyText"/>
        <w:rPr>
          <w:sz w:val="20"/>
        </w:rPr>
      </w:pPr>
    </w:p>
    <w:p w14:paraId="7CB25A0A" w14:textId="77777777" w:rsidR="008A4099" w:rsidRDefault="008A4099">
      <w:pPr>
        <w:pStyle w:val="BodyText"/>
        <w:rPr>
          <w:sz w:val="20"/>
        </w:rPr>
      </w:pPr>
    </w:p>
    <w:p w14:paraId="7CB25A0B" w14:textId="77777777" w:rsidR="008A4099" w:rsidRDefault="008A4099">
      <w:pPr>
        <w:pStyle w:val="BodyText"/>
        <w:rPr>
          <w:sz w:val="20"/>
        </w:rPr>
      </w:pPr>
    </w:p>
    <w:p w14:paraId="7CB25A0C" w14:textId="77777777" w:rsidR="008A4099" w:rsidRDefault="008A4099">
      <w:pPr>
        <w:pStyle w:val="BodyText"/>
        <w:rPr>
          <w:sz w:val="20"/>
        </w:rPr>
      </w:pPr>
    </w:p>
    <w:p w14:paraId="7CB25A0D" w14:textId="77777777" w:rsidR="008A4099" w:rsidRDefault="008A4099">
      <w:pPr>
        <w:pStyle w:val="BodyText"/>
        <w:rPr>
          <w:sz w:val="20"/>
        </w:rPr>
      </w:pPr>
    </w:p>
    <w:p w14:paraId="7CB25A0E" w14:textId="77777777" w:rsidR="008A4099" w:rsidRDefault="008A4099">
      <w:pPr>
        <w:pStyle w:val="BodyText"/>
        <w:rPr>
          <w:sz w:val="20"/>
        </w:rPr>
      </w:pPr>
    </w:p>
    <w:p w14:paraId="7CB25A0F" w14:textId="77777777" w:rsidR="008A4099" w:rsidRDefault="008A4099">
      <w:pPr>
        <w:pStyle w:val="BodyText"/>
        <w:rPr>
          <w:sz w:val="20"/>
        </w:rPr>
      </w:pPr>
    </w:p>
    <w:p w14:paraId="7CB25A10" w14:textId="77777777" w:rsidR="008A4099" w:rsidRDefault="008A4099">
      <w:pPr>
        <w:pStyle w:val="BodyText"/>
        <w:rPr>
          <w:sz w:val="20"/>
        </w:rPr>
      </w:pPr>
    </w:p>
    <w:p w14:paraId="7CB25A11" w14:textId="77777777" w:rsidR="008A4099" w:rsidRDefault="008A4099">
      <w:pPr>
        <w:pStyle w:val="BodyText"/>
        <w:rPr>
          <w:sz w:val="20"/>
        </w:rPr>
      </w:pPr>
    </w:p>
    <w:p w14:paraId="7CB25A12" w14:textId="77777777" w:rsidR="008A4099" w:rsidRDefault="008A4099">
      <w:pPr>
        <w:pStyle w:val="BodyText"/>
        <w:rPr>
          <w:sz w:val="20"/>
        </w:rPr>
      </w:pPr>
    </w:p>
    <w:p w14:paraId="7CB25A13" w14:textId="77777777" w:rsidR="008A4099" w:rsidRDefault="008A4099">
      <w:pPr>
        <w:pStyle w:val="BodyText"/>
        <w:rPr>
          <w:sz w:val="20"/>
        </w:rPr>
      </w:pPr>
    </w:p>
    <w:p w14:paraId="7CB25A14" w14:textId="77777777" w:rsidR="008A4099" w:rsidRDefault="008A4099">
      <w:pPr>
        <w:pStyle w:val="BodyText"/>
        <w:rPr>
          <w:sz w:val="20"/>
        </w:rPr>
      </w:pPr>
    </w:p>
    <w:p w14:paraId="7CB25A15" w14:textId="77777777" w:rsidR="008A4099" w:rsidRDefault="008A4099">
      <w:pPr>
        <w:pStyle w:val="BodyText"/>
        <w:rPr>
          <w:sz w:val="20"/>
        </w:rPr>
      </w:pPr>
    </w:p>
    <w:p w14:paraId="7CB25A16" w14:textId="77777777" w:rsidR="008A4099" w:rsidRDefault="008A4099">
      <w:pPr>
        <w:pStyle w:val="BodyText"/>
        <w:rPr>
          <w:sz w:val="20"/>
        </w:rPr>
      </w:pPr>
    </w:p>
    <w:p w14:paraId="7CB25A17" w14:textId="77777777" w:rsidR="008A4099" w:rsidRDefault="008A4099">
      <w:pPr>
        <w:pStyle w:val="BodyText"/>
        <w:rPr>
          <w:sz w:val="20"/>
        </w:rPr>
      </w:pPr>
    </w:p>
    <w:p w14:paraId="7CB25A18" w14:textId="77777777" w:rsidR="008A4099" w:rsidRDefault="008A4099">
      <w:pPr>
        <w:pStyle w:val="BodyText"/>
        <w:rPr>
          <w:sz w:val="20"/>
        </w:rPr>
      </w:pPr>
    </w:p>
    <w:p w14:paraId="7CB25A19" w14:textId="77777777" w:rsidR="008A4099" w:rsidRDefault="008A4099">
      <w:pPr>
        <w:pStyle w:val="BodyText"/>
        <w:rPr>
          <w:sz w:val="20"/>
        </w:rPr>
      </w:pPr>
    </w:p>
    <w:p w14:paraId="7CB25A1A" w14:textId="77777777" w:rsidR="008A4099" w:rsidRDefault="008A4099">
      <w:pPr>
        <w:pStyle w:val="BodyText"/>
        <w:rPr>
          <w:sz w:val="20"/>
        </w:rPr>
      </w:pPr>
    </w:p>
    <w:p w14:paraId="7CB25A1B" w14:textId="77777777" w:rsidR="008A4099" w:rsidRDefault="008A4099">
      <w:pPr>
        <w:pStyle w:val="BodyText"/>
        <w:rPr>
          <w:sz w:val="20"/>
        </w:rPr>
      </w:pPr>
    </w:p>
    <w:p w14:paraId="7CB25A1C" w14:textId="77777777" w:rsidR="008A4099" w:rsidRDefault="008A4099">
      <w:pPr>
        <w:pStyle w:val="BodyText"/>
        <w:rPr>
          <w:sz w:val="20"/>
        </w:rPr>
      </w:pPr>
    </w:p>
    <w:p w14:paraId="7CB25A1D" w14:textId="77777777" w:rsidR="008A4099" w:rsidRDefault="008A4099">
      <w:pPr>
        <w:pStyle w:val="BodyText"/>
        <w:rPr>
          <w:sz w:val="20"/>
        </w:rPr>
      </w:pPr>
    </w:p>
    <w:p w14:paraId="7CB25A1E" w14:textId="77777777" w:rsidR="008A4099" w:rsidRDefault="008A4099">
      <w:pPr>
        <w:pStyle w:val="BodyText"/>
        <w:rPr>
          <w:sz w:val="20"/>
        </w:rPr>
      </w:pPr>
    </w:p>
    <w:p w14:paraId="7CB25A1F" w14:textId="77777777" w:rsidR="008A4099" w:rsidRDefault="008A4099">
      <w:pPr>
        <w:pStyle w:val="BodyText"/>
        <w:rPr>
          <w:sz w:val="20"/>
        </w:rPr>
      </w:pPr>
    </w:p>
    <w:p w14:paraId="7CB25A20" w14:textId="77777777" w:rsidR="008A4099" w:rsidRDefault="008A4099">
      <w:pPr>
        <w:pStyle w:val="BodyText"/>
        <w:spacing w:before="98"/>
        <w:rPr>
          <w:sz w:val="20"/>
        </w:rPr>
      </w:pPr>
    </w:p>
    <w:p w14:paraId="7CB25A21" w14:textId="77777777" w:rsidR="008A4099" w:rsidRDefault="006A6EE2">
      <w:pPr>
        <w:spacing w:line="468" w:lineRule="auto"/>
        <w:ind w:left="6384" w:right="108" w:firstLine="170"/>
        <w:jc w:val="right"/>
        <w:rPr>
          <w:sz w:val="20"/>
        </w:rPr>
      </w:pPr>
      <w:r>
        <w:rPr>
          <w:sz w:val="20"/>
        </w:rPr>
        <w:t>©</w:t>
      </w:r>
      <w:r>
        <w:rPr>
          <w:spacing w:val="-8"/>
          <w:sz w:val="20"/>
        </w:rPr>
        <w:t xml:space="preserve"> </w:t>
      </w:r>
      <w:r>
        <w:rPr>
          <w:sz w:val="20"/>
        </w:rPr>
        <w:t>Tasmania</w:t>
      </w:r>
      <w:r>
        <w:rPr>
          <w:spacing w:val="-8"/>
          <w:sz w:val="20"/>
        </w:rPr>
        <w:t xml:space="preserve"> </w:t>
      </w:r>
      <w:r>
        <w:rPr>
          <w:sz w:val="20"/>
        </w:rPr>
        <w:t>Law</w:t>
      </w:r>
      <w:r>
        <w:rPr>
          <w:spacing w:val="-8"/>
          <w:sz w:val="20"/>
        </w:rPr>
        <w:t xml:space="preserve"> </w:t>
      </w:r>
      <w:r>
        <w:rPr>
          <w:sz w:val="20"/>
        </w:rPr>
        <w:t>Reform</w:t>
      </w:r>
      <w:r>
        <w:rPr>
          <w:spacing w:val="-5"/>
          <w:sz w:val="20"/>
        </w:rPr>
        <w:t xml:space="preserve"> </w:t>
      </w:r>
      <w:r>
        <w:rPr>
          <w:sz w:val="20"/>
        </w:rPr>
        <w:t>Institute</w:t>
      </w:r>
      <w:r>
        <w:rPr>
          <w:spacing w:val="-8"/>
          <w:sz w:val="20"/>
        </w:rPr>
        <w:t xml:space="preserve"> </w:t>
      </w:r>
      <w:r>
        <w:rPr>
          <w:sz w:val="20"/>
        </w:rPr>
        <w:t xml:space="preserve">2024 </w:t>
      </w:r>
      <w:hyperlink r:id="rId12">
        <w:r>
          <w:rPr>
            <w:spacing w:val="-2"/>
            <w:sz w:val="20"/>
          </w:rPr>
          <w:t>www.utas.edu.au/law-reform/publications</w:t>
        </w:r>
      </w:hyperlink>
    </w:p>
    <w:p w14:paraId="7CB25A22" w14:textId="77777777" w:rsidR="008A4099" w:rsidRDefault="006A6EE2">
      <w:pPr>
        <w:spacing w:before="1"/>
        <w:ind w:left="5388" w:right="108" w:hanging="1438"/>
        <w:jc w:val="right"/>
        <w:rPr>
          <w:sz w:val="20"/>
        </w:rPr>
      </w:pPr>
      <w:r>
        <w:rPr>
          <w:sz w:val="20"/>
        </w:rPr>
        <w:t>Cite</w:t>
      </w:r>
      <w:r>
        <w:rPr>
          <w:spacing w:val="-3"/>
          <w:sz w:val="20"/>
        </w:rPr>
        <w:t xml:space="preserve"> </w:t>
      </w:r>
      <w:r>
        <w:rPr>
          <w:sz w:val="20"/>
        </w:rPr>
        <w:t>as:</w:t>
      </w:r>
      <w:r>
        <w:rPr>
          <w:spacing w:val="-4"/>
          <w:sz w:val="20"/>
        </w:rPr>
        <w:t xml:space="preserve"> </w:t>
      </w:r>
      <w:r>
        <w:rPr>
          <w:sz w:val="20"/>
        </w:rPr>
        <w:t>Tasmania</w:t>
      </w:r>
      <w:r>
        <w:rPr>
          <w:spacing w:val="-3"/>
          <w:sz w:val="20"/>
        </w:rPr>
        <w:t xml:space="preserve"> </w:t>
      </w:r>
      <w:r>
        <w:rPr>
          <w:sz w:val="20"/>
        </w:rPr>
        <w:t>Law</w:t>
      </w:r>
      <w:r>
        <w:rPr>
          <w:spacing w:val="-4"/>
          <w:sz w:val="20"/>
        </w:rPr>
        <w:t xml:space="preserve"> </w:t>
      </w:r>
      <w:r>
        <w:rPr>
          <w:sz w:val="20"/>
        </w:rPr>
        <w:t>Reform</w:t>
      </w:r>
      <w:r>
        <w:rPr>
          <w:spacing w:val="-3"/>
          <w:sz w:val="20"/>
        </w:rPr>
        <w:t xml:space="preserve"> </w:t>
      </w:r>
      <w:r>
        <w:rPr>
          <w:sz w:val="20"/>
        </w:rPr>
        <w:t xml:space="preserve">Institute, </w:t>
      </w:r>
      <w:r>
        <w:rPr>
          <w:i/>
          <w:sz w:val="20"/>
        </w:rPr>
        <w:t>A</w:t>
      </w:r>
      <w:r>
        <w:rPr>
          <w:i/>
          <w:spacing w:val="-3"/>
          <w:sz w:val="20"/>
        </w:rPr>
        <w:t xml:space="preserve"> </w:t>
      </w:r>
      <w:r>
        <w:rPr>
          <w:i/>
          <w:sz w:val="20"/>
        </w:rPr>
        <w:t>Charter</w:t>
      </w:r>
      <w:r>
        <w:rPr>
          <w:i/>
          <w:spacing w:val="-4"/>
          <w:sz w:val="20"/>
        </w:rPr>
        <w:t xml:space="preserve"> </w:t>
      </w:r>
      <w:r>
        <w:rPr>
          <w:i/>
          <w:sz w:val="20"/>
        </w:rPr>
        <w:t>of</w:t>
      </w:r>
      <w:r>
        <w:rPr>
          <w:i/>
          <w:spacing w:val="-3"/>
          <w:sz w:val="20"/>
        </w:rPr>
        <w:t xml:space="preserve"> </w:t>
      </w:r>
      <w:r>
        <w:rPr>
          <w:i/>
          <w:sz w:val="20"/>
        </w:rPr>
        <w:t>Human</w:t>
      </w:r>
      <w:r>
        <w:rPr>
          <w:i/>
          <w:spacing w:val="-3"/>
          <w:sz w:val="20"/>
        </w:rPr>
        <w:t xml:space="preserve"> </w:t>
      </w:r>
      <w:r>
        <w:rPr>
          <w:i/>
          <w:sz w:val="20"/>
        </w:rPr>
        <w:t>Rights</w:t>
      </w:r>
      <w:r>
        <w:rPr>
          <w:i/>
          <w:spacing w:val="-4"/>
          <w:sz w:val="20"/>
        </w:rPr>
        <w:t xml:space="preserve"> </w:t>
      </w:r>
      <w:r>
        <w:rPr>
          <w:i/>
          <w:sz w:val="20"/>
        </w:rPr>
        <w:t>for Tasmania?</w:t>
      </w:r>
      <w:r>
        <w:rPr>
          <w:i/>
          <w:spacing w:val="-4"/>
          <w:sz w:val="20"/>
        </w:rPr>
        <w:t xml:space="preserve"> </w:t>
      </w:r>
      <w:r>
        <w:rPr>
          <w:i/>
          <w:sz w:val="20"/>
        </w:rPr>
        <w:t>Update</w:t>
      </w:r>
      <w:r>
        <w:rPr>
          <w:i/>
          <w:spacing w:val="-5"/>
          <w:sz w:val="20"/>
        </w:rPr>
        <w:t xml:space="preserve"> </w:t>
      </w:r>
      <w:r>
        <w:rPr>
          <w:sz w:val="20"/>
        </w:rPr>
        <w:t>(Research</w:t>
      </w:r>
      <w:r>
        <w:rPr>
          <w:spacing w:val="-5"/>
          <w:sz w:val="20"/>
        </w:rPr>
        <w:t xml:space="preserve"> </w:t>
      </w:r>
      <w:r>
        <w:rPr>
          <w:sz w:val="20"/>
        </w:rPr>
        <w:t>Paper</w:t>
      </w:r>
      <w:r>
        <w:rPr>
          <w:spacing w:val="-3"/>
          <w:sz w:val="20"/>
        </w:rPr>
        <w:t xml:space="preserve"> </w:t>
      </w:r>
      <w:r>
        <w:rPr>
          <w:sz w:val="20"/>
        </w:rPr>
        <w:t>No</w:t>
      </w:r>
      <w:r>
        <w:rPr>
          <w:spacing w:val="-4"/>
          <w:sz w:val="20"/>
        </w:rPr>
        <w:t xml:space="preserve"> </w:t>
      </w:r>
      <w:r>
        <w:rPr>
          <w:sz w:val="20"/>
        </w:rPr>
        <w:t>6,</w:t>
      </w:r>
      <w:r>
        <w:rPr>
          <w:spacing w:val="-4"/>
          <w:sz w:val="20"/>
        </w:rPr>
        <w:t xml:space="preserve"> </w:t>
      </w:r>
      <w:r>
        <w:rPr>
          <w:sz w:val="20"/>
        </w:rPr>
        <w:t>April</w:t>
      </w:r>
      <w:r>
        <w:rPr>
          <w:spacing w:val="-4"/>
          <w:sz w:val="20"/>
        </w:rPr>
        <w:t xml:space="preserve"> </w:t>
      </w:r>
      <w:r>
        <w:rPr>
          <w:spacing w:val="-2"/>
          <w:sz w:val="20"/>
        </w:rPr>
        <w:t>2024)</w:t>
      </w:r>
    </w:p>
    <w:p w14:paraId="7CB25A23" w14:textId="77777777" w:rsidR="008A4099" w:rsidRDefault="008A4099">
      <w:pPr>
        <w:jc w:val="right"/>
        <w:rPr>
          <w:sz w:val="20"/>
        </w:rPr>
        <w:sectPr w:rsidR="008A4099" w:rsidSect="00D43B2D">
          <w:pgSz w:w="11910" w:h="16840"/>
          <w:pgMar w:top="1920" w:right="760" w:bottom="280" w:left="1280" w:header="0" w:footer="0" w:gutter="0"/>
          <w:cols w:space="720"/>
        </w:sectPr>
      </w:pPr>
    </w:p>
    <w:p w14:paraId="7CB25A24" w14:textId="77777777" w:rsidR="008A4099" w:rsidRDefault="006A6EE2">
      <w:pPr>
        <w:pStyle w:val="Heading2"/>
        <w:spacing w:before="61"/>
        <w:ind w:left="160" w:firstLine="0"/>
        <w:jc w:val="left"/>
      </w:pPr>
      <w:r>
        <w:rPr>
          <w:spacing w:val="-2"/>
        </w:rPr>
        <w:lastRenderedPageBreak/>
        <w:t>Contents</w:t>
      </w:r>
    </w:p>
    <w:p w14:paraId="7CB25A25" w14:textId="77777777" w:rsidR="008A4099" w:rsidRDefault="008A4099">
      <w:pPr>
        <w:sectPr w:rsidR="008A4099" w:rsidSect="00D43B2D">
          <w:footerReference w:type="even" r:id="rId13"/>
          <w:footerReference w:type="default" r:id="rId14"/>
          <w:pgSz w:w="11910" w:h="16840"/>
          <w:pgMar w:top="1360" w:right="760" w:bottom="1456" w:left="1280" w:header="0" w:footer="753" w:gutter="0"/>
          <w:pgNumType w:start="1"/>
          <w:cols w:space="720"/>
        </w:sectPr>
      </w:pPr>
    </w:p>
    <w:sdt>
      <w:sdtPr>
        <w:id w:val="271212141"/>
        <w:docPartObj>
          <w:docPartGallery w:val="Table of Contents"/>
          <w:docPartUnique/>
        </w:docPartObj>
      </w:sdtPr>
      <w:sdtContent>
        <w:p w14:paraId="7CB25A26" w14:textId="77777777" w:rsidR="008A4099" w:rsidRDefault="006A6EE2">
          <w:pPr>
            <w:pStyle w:val="TOC2"/>
            <w:tabs>
              <w:tab w:val="left" w:leader="dot" w:pos="9008"/>
            </w:tabs>
            <w:spacing w:before="222"/>
            <w:ind w:left="160" w:firstLine="0"/>
          </w:pPr>
          <w:r>
            <w:t>About</w:t>
          </w:r>
          <w:r>
            <w:rPr>
              <w:spacing w:val="-3"/>
            </w:rPr>
            <w:t xml:space="preserve"> </w:t>
          </w:r>
          <w:r>
            <w:t>the</w:t>
          </w:r>
          <w:r>
            <w:rPr>
              <w:spacing w:val="-3"/>
            </w:rPr>
            <w:t xml:space="preserve"> </w:t>
          </w:r>
          <w:r>
            <w:t>Tasmania</w:t>
          </w:r>
          <w:r>
            <w:rPr>
              <w:spacing w:val="-3"/>
            </w:rPr>
            <w:t xml:space="preserve"> </w:t>
          </w:r>
          <w:r>
            <w:t>Law</w:t>
          </w:r>
          <w:r>
            <w:rPr>
              <w:spacing w:val="-3"/>
            </w:rPr>
            <w:t xml:space="preserve"> </w:t>
          </w:r>
          <w:r>
            <w:t>Reform</w:t>
          </w:r>
          <w:r>
            <w:rPr>
              <w:spacing w:val="-2"/>
            </w:rPr>
            <w:t xml:space="preserve"> Institute</w:t>
          </w:r>
          <w:r>
            <w:tab/>
          </w:r>
          <w:r>
            <w:rPr>
              <w:spacing w:val="-5"/>
            </w:rPr>
            <w:t>iv</w:t>
          </w:r>
        </w:p>
        <w:p w14:paraId="7CB25A27" w14:textId="77777777" w:rsidR="008A4099" w:rsidRDefault="006A6EE2">
          <w:pPr>
            <w:pStyle w:val="TOC2"/>
            <w:tabs>
              <w:tab w:val="left" w:leader="dot" w:pos="9008"/>
            </w:tabs>
            <w:ind w:left="160" w:firstLine="0"/>
          </w:pPr>
          <w:r>
            <w:rPr>
              <w:spacing w:val="-2"/>
            </w:rPr>
            <w:t>Acknowledgements</w:t>
          </w:r>
          <w:r>
            <w:tab/>
          </w:r>
          <w:r>
            <w:rPr>
              <w:spacing w:val="-5"/>
            </w:rPr>
            <w:t>vi</w:t>
          </w:r>
        </w:p>
        <w:p w14:paraId="7CB25A28" w14:textId="77777777" w:rsidR="008A4099" w:rsidRDefault="006A6EE2">
          <w:pPr>
            <w:pStyle w:val="TOC2"/>
            <w:tabs>
              <w:tab w:val="left" w:leader="dot" w:pos="8945"/>
            </w:tabs>
            <w:spacing w:before="99"/>
            <w:ind w:left="160" w:firstLine="0"/>
          </w:pPr>
          <w:r>
            <w:t>List</w:t>
          </w:r>
          <w:r>
            <w:rPr>
              <w:spacing w:val="-5"/>
            </w:rPr>
            <w:t xml:space="preserve"> </w:t>
          </w:r>
          <w:r>
            <w:t>of</w:t>
          </w:r>
          <w:r>
            <w:rPr>
              <w:spacing w:val="-1"/>
            </w:rPr>
            <w:t xml:space="preserve"> </w:t>
          </w:r>
          <w:r>
            <w:t>acronyms</w:t>
          </w:r>
          <w:r>
            <w:rPr>
              <w:spacing w:val="-2"/>
            </w:rPr>
            <w:t xml:space="preserve"> </w:t>
          </w:r>
          <w:r>
            <w:t>and</w:t>
          </w:r>
          <w:r>
            <w:rPr>
              <w:spacing w:val="-2"/>
            </w:rPr>
            <w:t xml:space="preserve"> abbreviations</w:t>
          </w:r>
          <w:r>
            <w:tab/>
          </w:r>
          <w:r>
            <w:rPr>
              <w:spacing w:val="-5"/>
            </w:rPr>
            <w:t>vii</w:t>
          </w:r>
        </w:p>
        <w:p w14:paraId="7CB25A29" w14:textId="77777777" w:rsidR="008A4099" w:rsidRDefault="006A6EE2">
          <w:pPr>
            <w:pStyle w:val="TOC2"/>
            <w:tabs>
              <w:tab w:val="left" w:leader="dot" w:pos="9008"/>
            </w:tabs>
            <w:ind w:left="160" w:firstLine="0"/>
          </w:pPr>
          <w:r>
            <w:rPr>
              <w:spacing w:val="-2"/>
            </w:rPr>
            <w:t>Recommendations</w:t>
          </w:r>
          <w:r>
            <w:tab/>
          </w:r>
          <w:r>
            <w:rPr>
              <w:spacing w:val="-5"/>
            </w:rPr>
            <w:t>ix</w:t>
          </w:r>
        </w:p>
        <w:p w14:paraId="7CB25A2A" w14:textId="77777777" w:rsidR="008A4099" w:rsidRDefault="00000000">
          <w:pPr>
            <w:pStyle w:val="TOC2"/>
            <w:tabs>
              <w:tab w:val="left" w:leader="dot" w:pos="8957"/>
            </w:tabs>
            <w:ind w:left="160" w:firstLine="0"/>
          </w:pPr>
          <w:hyperlink w:anchor="_TOC_250060" w:history="1">
            <w:r w:rsidR="006A6EE2">
              <w:t>Executive</w:t>
            </w:r>
            <w:r w:rsidR="006A6EE2">
              <w:rPr>
                <w:spacing w:val="-4"/>
              </w:rPr>
              <w:t xml:space="preserve"> </w:t>
            </w:r>
            <w:r w:rsidR="006A6EE2">
              <w:rPr>
                <w:spacing w:val="-2"/>
              </w:rPr>
              <w:t>Summary</w:t>
            </w:r>
            <w:r w:rsidR="006A6EE2">
              <w:tab/>
            </w:r>
            <w:r w:rsidR="006A6EE2">
              <w:rPr>
                <w:spacing w:val="-5"/>
              </w:rPr>
              <w:t>xv</w:t>
            </w:r>
          </w:hyperlink>
        </w:p>
        <w:p w14:paraId="7CB25A2B" w14:textId="77777777" w:rsidR="008A4099" w:rsidRDefault="006A6EE2">
          <w:pPr>
            <w:pStyle w:val="TOC1"/>
            <w:tabs>
              <w:tab w:val="left" w:leader="dot" w:pos="9068"/>
            </w:tabs>
          </w:pPr>
          <w:r>
            <w:t>Part</w:t>
          </w:r>
          <w:r>
            <w:rPr>
              <w:spacing w:val="-2"/>
            </w:rPr>
            <w:t xml:space="preserve"> </w:t>
          </w:r>
          <w:r>
            <w:t xml:space="preserve">1: </w:t>
          </w:r>
          <w:r>
            <w:rPr>
              <w:spacing w:val="-2"/>
            </w:rPr>
            <w:t>Introduction</w:t>
          </w:r>
          <w:r>
            <w:tab/>
          </w:r>
          <w:r>
            <w:rPr>
              <w:spacing w:val="-10"/>
            </w:rPr>
            <w:t>1</w:t>
          </w:r>
        </w:p>
        <w:p w14:paraId="7CB25A2C" w14:textId="77777777" w:rsidR="008A4099" w:rsidRDefault="00000000">
          <w:pPr>
            <w:pStyle w:val="TOC2"/>
            <w:numPr>
              <w:ilvl w:val="1"/>
              <w:numId w:val="18"/>
            </w:numPr>
            <w:tabs>
              <w:tab w:val="left" w:pos="880"/>
              <w:tab w:val="left" w:leader="dot" w:pos="9068"/>
            </w:tabs>
          </w:pPr>
          <w:hyperlink w:anchor="_TOC_250059" w:history="1">
            <w:r w:rsidR="006A6EE2">
              <w:t>Background</w:t>
            </w:r>
            <w:r w:rsidR="006A6EE2">
              <w:rPr>
                <w:spacing w:val="-7"/>
              </w:rPr>
              <w:t xml:space="preserve"> </w:t>
            </w:r>
            <w:r w:rsidR="006A6EE2">
              <w:t>to</w:t>
            </w:r>
            <w:r w:rsidR="006A6EE2">
              <w:rPr>
                <w:spacing w:val="-3"/>
              </w:rPr>
              <w:t xml:space="preserve"> </w:t>
            </w:r>
            <w:r w:rsidR="006A6EE2">
              <w:t>this</w:t>
            </w:r>
            <w:r w:rsidR="006A6EE2">
              <w:rPr>
                <w:spacing w:val="-3"/>
              </w:rPr>
              <w:t xml:space="preserve"> </w:t>
            </w:r>
            <w:r w:rsidR="006A6EE2">
              <w:t>Research</w:t>
            </w:r>
            <w:r w:rsidR="006A6EE2">
              <w:rPr>
                <w:spacing w:val="-3"/>
              </w:rPr>
              <w:t xml:space="preserve"> </w:t>
            </w:r>
            <w:r w:rsidR="006A6EE2">
              <w:rPr>
                <w:spacing w:val="-2"/>
              </w:rPr>
              <w:t>Paper</w:t>
            </w:r>
            <w:r w:rsidR="006A6EE2">
              <w:tab/>
            </w:r>
            <w:r w:rsidR="006A6EE2">
              <w:rPr>
                <w:spacing w:val="-10"/>
              </w:rPr>
              <w:t>1</w:t>
            </w:r>
          </w:hyperlink>
        </w:p>
        <w:p w14:paraId="7CB25A2D" w14:textId="77777777" w:rsidR="008A4099" w:rsidRDefault="00000000">
          <w:pPr>
            <w:pStyle w:val="TOC2"/>
            <w:numPr>
              <w:ilvl w:val="1"/>
              <w:numId w:val="18"/>
            </w:numPr>
            <w:tabs>
              <w:tab w:val="left" w:pos="880"/>
              <w:tab w:val="left" w:leader="dot" w:pos="9068"/>
            </w:tabs>
            <w:spacing w:before="102"/>
          </w:pPr>
          <w:hyperlink w:anchor="_TOC_250058" w:history="1">
            <w:r w:rsidR="006A6EE2">
              <w:t>Scope</w:t>
            </w:r>
            <w:r w:rsidR="006A6EE2">
              <w:rPr>
                <w:spacing w:val="-3"/>
              </w:rPr>
              <w:t xml:space="preserve"> </w:t>
            </w:r>
            <w:r w:rsidR="006A6EE2">
              <w:t>of</w:t>
            </w:r>
            <w:r w:rsidR="006A6EE2">
              <w:rPr>
                <w:spacing w:val="-2"/>
              </w:rPr>
              <w:t xml:space="preserve"> </w:t>
            </w:r>
            <w:r w:rsidR="006A6EE2">
              <w:t>this</w:t>
            </w:r>
            <w:r w:rsidR="006A6EE2">
              <w:rPr>
                <w:spacing w:val="-2"/>
              </w:rPr>
              <w:t xml:space="preserve"> </w:t>
            </w:r>
            <w:r w:rsidR="006A6EE2">
              <w:t>Research</w:t>
            </w:r>
            <w:r w:rsidR="006A6EE2">
              <w:rPr>
                <w:spacing w:val="-4"/>
              </w:rPr>
              <w:t xml:space="preserve"> </w:t>
            </w:r>
            <w:r w:rsidR="006A6EE2">
              <w:rPr>
                <w:spacing w:val="-2"/>
              </w:rPr>
              <w:t>Paper</w:t>
            </w:r>
            <w:r w:rsidR="006A6EE2">
              <w:tab/>
            </w:r>
            <w:r w:rsidR="006A6EE2">
              <w:rPr>
                <w:spacing w:val="-10"/>
              </w:rPr>
              <w:t>1</w:t>
            </w:r>
          </w:hyperlink>
        </w:p>
        <w:p w14:paraId="7CB25A2E" w14:textId="77777777" w:rsidR="008A4099" w:rsidRDefault="00000000">
          <w:pPr>
            <w:pStyle w:val="TOC2"/>
            <w:numPr>
              <w:ilvl w:val="1"/>
              <w:numId w:val="18"/>
            </w:numPr>
            <w:tabs>
              <w:tab w:val="left" w:pos="880"/>
              <w:tab w:val="left" w:leader="dot" w:pos="9068"/>
            </w:tabs>
          </w:pPr>
          <w:hyperlink w:anchor="_TOC_250057" w:history="1">
            <w:r w:rsidR="006A6EE2">
              <w:t>The</w:t>
            </w:r>
            <w:r w:rsidR="006A6EE2">
              <w:rPr>
                <w:spacing w:val="-2"/>
              </w:rPr>
              <w:t xml:space="preserve"> </w:t>
            </w:r>
            <w:r w:rsidR="006A6EE2">
              <w:t>2007</w:t>
            </w:r>
            <w:r w:rsidR="006A6EE2">
              <w:rPr>
                <w:spacing w:val="-2"/>
              </w:rPr>
              <w:t xml:space="preserve"> </w:t>
            </w:r>
            <w:r w:rsidR="006A6EE2">
              <w:t xml:space="preserve">Final </w:t>
            </w:r>
            <w:r w:rsidR="006A6EE2">
              <w:rPr>
                <w:spacing w:val="-2"/>
              </w:rPr>
              <w:t>Report</w:t>
            </w:r>
            <w:r w:rsidR="006A6EE2">
              <w:tab/>
            </w:r>
            <w:r w:rsidR="006A6EE2">
              <w:rPr>
                <w:spacing w:val="-10"/>
              </w:rPr>
              <w:t>3</w:t>
            </w:r>
          </w:hyperlink>
        </w:p>
        <w:p w14:paraId="7CB25A2F" w14:textId="77777777" w:rsidR="008A4099" w:rsidRDefault="00000000">
          <w:pPr>
            <w:pStyle w:val="TOC3"/>
            <w:tabs>
              <w:tab w:val="left" w:leader="dot" w:pos="9068"/>
            </w:tabs>
          </w:pPr>
          <w:hyperlink w:anchor="_TOC_250056" w:history="1">
            <w:r w:rsidR="006A6EE2">
              <w:t>Recommendations</w:t>
            </w:r>
            <w:r w:rsidR="006A6EE2">
              <w:rPr>
                <w:spacing w:val="-4"/>
              </w:rPr>
              <w:t xml:space="preserve"> </w:t>
            </w:r>
            <w:r w:rsidR="006A6EE2">
              <w:t>in</w:t>
            </w:r>
            <w:r w:rsidR="006A6EE2">
              <w:rPr>
                <w:spacing w:val="-6"/>
              </w:rPr>
              <w:t xml:space="preserve"> </w:t>
            </w:r>
            <w:r w:rsidR="006A6EE2">
              <w:t>the</w:t>
            </w:r>
            <w:r w:rsidR="006A6EE2">
              <w:rPr>
                <w:spacing w:val="-3"/>
              </w:rPr>
              <w:t xml:space="preserve"> </w:t>
            </w:r>
            <w:r w:rsidR="006A6EE2">
              <w:t>TLRI</w:t>
            </w:r>
            <w:r w:rsidR="006A6EE2">
              <w:rPr>
                <w:spacing w:val="-5"/>
              </w:rPr>
              <w:t xml:space="preserve"> </w:t>
            </w:r>
            <w:r w:rsidR="006A6EE2">
              <w:t>2007</w:t>
            </w:r>
            <w:r w:rsidR="006A6EE2">
              <w:rPr>
                <w:spacing w:val="-3"/>
              </w:rPr>
              <w:t xml:space="preserve"> </w:t>
            </w:r>
            <w:r w:rsidR="006A6EE2">
              <w:t>Final</w:t>
            </w:r>
            <w:r w:rsidR="006A6EE2">
              <w:rPr>
                <w:spacing w:val="-2"/>
              </w:rPr>
              <w:t xml:space="preserve"> Report</w:t>
            </w:r>
            <w:r w:rsidR="006A6EE2">
              <w:tab/>
            </w:r>
            <w:r w:rsidR="006A6EE2">
              <w:rPr>
                <w:spacing w:val="-10"/>
              </w:rPr>
              <w:t>3</w:t>
            </w:r>
          </w:hyperlink>
        </w:p>
        <w:p w14:paraId="7CB25A30" w14:textId="77777777" w:rsidR="008A4099" w:rsidRDefault="00000000">
          <w:pPr>
            <w:pStyle w:val="TOC3"/>
            <w:tabs>
              <w:tab w:val="left" w:leader="dot" w:pos="9068"/>
            </w:tabs>
            <w:spacing w:before="98"/>
            <w:ind w:right="680"/>
          </w:pPr>
          <w:hyperlink w:anchor="_TOC_250055" w:history="1">
            <w:r w:rsidR="006A6EE2">
              <w:t>A</w:t>
            </w:r>
            <w:r w:rsidR="006A6EE2">
              <w:rPr>
                <w:spacing w:val="-14"/>
              </w:rPr>
              <w:t xml:space="preserve"> </w:t>
            </w:r>
            <w:r w:rsidR="006A6EE2">
              <w:t>statutory</w:t>
            </w:r>
            <w:r w:rsidR="006A6EE2">
              <w:rPr>
                <w:spacing w:val="-13"/>
              </w:rPr>
              <w:t xml:space="preserve"> </w:t>
            </w:r>
            <w:r w:rsidR="006A6EE2">
              <w:t>instrument</w:t>
            </w:r>
            <w:r w:rsidR="006A6EE2">
              <w:rPr>
                <w:spacing w:val="-12"/>
              </w:rPr>
              <w:t xml:space="preserve"> </w:t>
            </w:r>
            <w:r w:rsidR="006A6EE2">
              <w:t>that</w:t>
            </w:r>
            <w:r w:rsidR="006A6EE2">
              <w:rPr>
                <w:spacing w:val="-14"/>
              </w:rPr>
              <w:t xml:space="preserve"> </w:t>
            </w:r>
            <w:r w:rsidR="006A6EE2">
              <w:t>binds</w:t>
            </w:r>
            <w:r w:rsidR="006A6EE2">
              <w:rPr>
                <w:spacing w:val="-12"/>
              </w:rPr>
              <w:t xml:space="preserve"> </w:t>
            </w:r>
            <w:r w:rsidR="006A6EE2">
              <w:t>public</w:t>
            </w:r>
            <w:r w:rsidR="006A6EE2">
              <w:rPr>
                <w:spacing w:val="-13"/>
              </w:rPr>
              <w:t xml:space="preserve"> </w:t>
            </w:r>
            <w:r w:rsidR="006A6EE2">
              <w:t>authorities,</w:t>
            </w:r>
            <w:r w:rsidR="006A6EE2">
              <w:rPr>
                <w:spacing w:val="-13"/>
              </w:rPr>
              <w:t xml:space="preserve"> </w:t>
            </w:r>
            <w:r w:rsidR="006A6EE2">
              <w:t>guides</w:t>
            </w:r>
            <w:r w:rsidR="006A6EE2">
              <w:rPr>
                <w:spacing w:val="-12"/>
              </w:rPr>
              <w:t xml:space="preserve"> </w:t>
            </w:r>
            <w:r w:rsidR="006A6EE2">
              <w:t>legislative</w:t>
            </w:r>
            <w:r w:rsidR="006A6EE2">
              <w:rPr>
                <w:spacing w:val="-13"/>
              </w:rPr>
              <w:t xml:space="preserve"> </w:t>
            </w:r>
            <w:r w:rsidR="006A6EE2">
              <w:t>development</w:t>
            </w:r>
            <w:r w:rsidR="006A6EE2">
              <w:rPr>
                <w:spacing w:val="-14"/>
              </w:rPr>
              <w:t xml:space="preserve"> </w:t>
            </w:r>
            <w:r w:rsidR="006A6EE2">
              <w:t>and</w:t>
            </w:r>
            <w:r w:rsidR="006A6EE2">
              <w:rPr>
                <w:spacing w:val="-13"/>
              </w:rPr>
              <w:t xml:space="preserve"> </w:t>
            </w:r>
            <w:r w:rsidR="006A6EE2">
              <w:t>judicial interpretation,</w:t>
            </w:r>
            <w:r w:rsidR="006A6EE2">
              <w:rPr>
                <w:spacing w:val="-7"/>
              </w:rPr>
              <w:t xml:space="preserve"> </w:t>
            </w:r>
            <w:r w:rsidR="006A6EE2">
              <w:t>and</w:t>
            </w:r>
            <w:r w:rsidR="006A6EE2">
              <w:rPr>
                <w:spacing w:val="-4"/>
              </w:rPr>
              <w:t xml:space="preserve"> </w:t>
            </w:r>
            <w:r w:rsidR="006A6EE2">
              <w:t>protects</w:t>
            </w:r>
            <w:r w:rsidR="006A6EE2">
              <w:rPr>
                <w:spacing w:val="-6"/>
              </w:rPr>
              <w:t xml:space="preserve"> </w:t>
            </w:r>
            <w:r w:rsidR="006A6EE2">
              <w:t>natural</w:t>
            </w:r>
            <w:r w:rsidR="006A6EE2">
              <w:rPr>
                <w:spacing w:val="-5"/>
              </w:rPr>
              <w:t xml:space="preserve"> </w:t>
            </w:r>
            <w:r w:rsidR="006A6EE2">
              <w:rPr>
                <w:spacing w:val="-2"/>
              </w:rPr>
              <w:t>persons</w:t>
            </w:r>
            <w:r w:rsidR="006A6EE2">
              <w:tab/>
            </w:r>
            <w:r w:rsidR="006A6EE2">
              <w:rPr>
                <w:spacing w:val="-10"/>
              </w:rPr>
              <w:t>3</w:t>
            </w:r>
          </w:hyperlink>
        </w:p>
        <w:p w14:paraId="7CB25A31" w14:textId="77777777" w:rsidR="008A4099" w:rsidRDefault="00000000">
          <w:pPr>
            <w:pStyle w:val="TOC3"/>
            <w:tabs>
              <w:tab w:val="left" w:leader="dot" w:pos="9068"/>
            </w:tabs>
            <w:spacing w:before="101"/>
          </w:pPr>
          <w:hyperlink w:anchor="_TOC_250054" w:history="1">
            <w:r w:rsidR="006A6EE2">
              <w:t>A</w:t>
            </w:r>
            <w:r w:rsidR="006A6EE2">
              <w:rPr>
                <w:spacing w:val="-5"/>
              </w:rPr>
              <w:t xml:space="preserve"> </w:t>
            </w:r>
            <w:r w:rsidR="006A6EE2">
              <w:t>Charter</w:t>
            </w:r>
            <w:r w:rsidR="006A6EE2">
              <w:rPr>
                <w:spacing w:val="-5"/>
              </w:rPr>
              <w:t xml:space="preserve"> </w:t>
            </w:r>
            <w:r w:rsidR="006A6EE2">
              <w:t>that</w:t>
            </w:r>
            <w:r w:rsidR="006A6EE2">
              <w:rPr>
                <w:spacing w:val="-2"/>
              </w:rPr>
              <w:t xml:space="preserve"> </w:t>
            </w:r>
            <w:r w:rsidR="006A6EE2">
              <w:t>encourages</w:t>
            </w:r>
            <w:r w:rsidR="006A6EE2">
              <w:rPr>
                <w:spacing w:val="-5"/>
              </w:rPr>
              <w:t xml:space="preserve"> </w:t>
            </w:r>
            <w:r w:rsidR="006A6EE2">
              <w:t>parliamentary</w:t>
            </w:r>
            <w:r w:rsidR="006A6EE2">
              <w:rPr>
                <w:spacing w:val="-3"/>
              </w:rPr>
              <w:t xml:space="preserve"> </w:t>
            </w:r>
            <w:r w:rsidR="006A6EE2">
              <w:t>dialogue</w:t>
            </w:r>
            <w:r w:rsidR="006A6EE2">
              <w:rPr>
                <w:spacing w:val="-5"/>
              </w:rPr>
              <w:t xml:space="preserve"> </w:t>
            </w:r>
            <w:r w:rsidR="006A6EE2">
              <w:t>about</w:t>
            </w:r>
            <w:r w:rsidR="006A6EE2">
              <w:rPr>
                <w:spacing w:val="-2"/>
              </w:rPr>
              <w:t xml:space="preserve"> </w:t>
            </w:r>
            <w:r w:rsidR="006A6EE2">
              <w:t>human</w:t>
            </w:r>
            <w:r w:rsidR="006A6EE2">
              <w:rPr>
                <w:spacing w:val="-5"/>
              </w:rPr>
              <w:t xml:space="preserve"> </w:t>
            </w:r>
            <w:r w:rsidR="006A6EE2">
              <w:rPr>
                <w:spacing w:val="-2"/>
              </w:rPr>
              <w:t>rights</w:t>
            </w:r>
            <w:r w:rsidR="006A6EE2">
              <w:tab/>
            </w:r>
            <w:r w:rsidR="006A6EE2">
              <w:rPr>
                <w:spacing w:val="-10"/>
              </w:rPr>
              <w:t>4</w:t>
            </w:r>
          </w:hyperlink>
        </w:p>
        <w:p w14:paraId="7CB25A32" w14:textId="77777777" w:rsidR="008A4099" w:rsidRDefault="00000000">
          <w:pPr>
            <w:pStyle w:val="TOC3"/>
            <w:tabs>
              <w:tab w:val="left" w:leader="dot" w:pos="9068"/>
            </w:tabs>
          </w:pPr>
          <w:hyperlink w:anchor="_TOC_250053" w:history="1">
            <w:r w:rsidR="006A6EE2">
              <w:t>Role</w:t>
            </w:r>
            <w:r w:rsidR="006A6EE2">
              <w:rPr>
                <w:spacing w:val="-2"/>
              </w:rPr>
              <w:t xml:space="preserve"> </w:t>
            </w:r>
            <w:r w:rsidR="006A6EE2">
              <w:t>of</w:t>
            </w:r>
            <w:r w:rsidR="006A6EE2">
              <w:rPr>
                <w:spacing w:val="-2"/>
              </w:rPr>
              <w:t xml:space="preserve"> </w:t>
            </w:r>
            <w:r w:rsidR="006A6EE2">
              <w:t>the</w:t>
            </w:r>
            <w:r w:rsidR="006A6EE2">
              <w:rPr>
                <w:spacing w:val="-2"/>
              </w:rPr>
              <w:t xml:space="preserve"> Courts</w:t>
            </w:r>
            <w:r w:rsidR="006A6EE2">
              <w:tab/>
            </w:r>
            <w:r w:rsidR="006A6EE2">
              <w:rPr>
                <w:spacing w:val="-10"/>
              </w:rPr>
              <w:t>5</w:t>
            </w:r>
          </w:hyperlink>
        </w:p>
        <w:p w14:paraId="7CB25A33" w14:textId="77777777" w:rsidR="008A4099" w:rsidRDefault="00000000">
          <w:pPr>
            <w:pStyle w:val="TOC3"/>
            <w:tabs>
              <w:tab w:val="left" w:leader="dot" w:pos="9068"/>
            </w:tabs>
            <w:spacing w:before="99"/>
          </w:pPr>
          <w:hyperlink w:anchor="_TOC_250052" w:history="1">
            <w:r w:rsidR="006A6EE2">
              <w:t>Role</w:t>
            </w:r>
            <w:r w:rsidR="006A6EE2">
              <w:rPr>
                <w:spacing w:val="-2"/>
              </w:rPr>
              <w:t xml:space="preserve"> </w:t>
            </w:r>
            <w:r w:rsidR="006A6EE2">
              <w:t>of</w:t>
            </w:r>
            <w:r w:rsidR="006A6EE2">
              <w:rPr>
                <w:spacing w:val="-2"/>
              </w:rPr>
              <w:t xml:space="preserve"> </w:t>
            </w:r>
            <w:r w:rsidR="006A6EE2">
              <w:t>the</w:t>
            </w:r>
            <w:r w:rsidR="006A6EE2">
              <w:rPr>
                <w:spacing w:val="-2"/>
              </w:rPr>
              <w:t xml:space="preserve"> Executive</w:t>
            </w:r>
            <w:r w:rsidR="006A6EE2">
              <w:tab/>
            </w:r>
            <w:r w:rsidR="006A6EE2">
              <w:rPr>
                <w:spacing w:val="-10"/>
              </w:rPr>
              <w:t>6</w:t>
            </w:r>
          </w:hyperlink>
        </w:p>
        <w:p w14:paraId="7CB25A34" w14:textId="77777777" w:rsidR="008A4099" w:rsidRDefault="00000000">
          <w:pPr>
            <w:pStyle w:val="TOC3"/>
            <w:tabs>
              <w:tab w:val="left" w:leader="dot" w:pos="9068"/>
            </w:tabs>
          </w:pPr>
          <w:hyperlink w:anchor="_TOC_250051" w:history="1">
            <w:r w:rsidR="006A6EE2">
              <w:t>What</w:t>
            </w:r>
            <w:r w:rsidR="006A6EE2">
              <w:rPr>
                <w:spacing w:val="-5"/>
              </w:rPr>
              <w:t xml:space="preserve"> </w:t>
            </w:r>
            <w:r w:rsidR="006A6EE2">
              <w:t>rights</w:t>
            </w:r>
            <w:r w:rsidR="006A6EE2">
              <w:rPr>
                <w:spacing w:val="-3"/>
              </w:rPr>
              <w:t xml:space="preserve"> </w:t>
            </w:r>
            <w:r w:rsidR="006A6EE2">
              <w:t>should</w:t>
            </w:r>
            <w:r w:rsidR="006A6EE2">
              <w:rPr>
                <w:spacing w:val="-5"/>
              </w:rPr>
              <w:t xml:space="preserve"> </w:t>
            </w:r>
            <w:r w:rsidR="006A6EE2">
              <w:t>the</w:t>
            </w:r>
            <w:r w:rsidR="006A6EE2">
              <w:rPr>
                <w:spacing w:val="-5"/>
              </w:rPr>
              <w:t xml:space="preserve"> </w:t>
            </w:r>
            <w:r w:rsidR="006A6EE2">
              <w:t>proposed</w:t>
            </w:r>
            <w:r w:rsidR="006A6EE2">
              <w:rPr>
                <w:spacing w:val="-3"/>
              </w:rPr>
              <w:t xml:space="preserve"> </w:t>
            </w:r>
            <w:r w:rsidR="006A6EE2">
              <w:t>Charter</w:t>
            </w:r>
            <w:r w:rsidR="006A6EE2">
              <w:rPr>
                <w:spacing w:val="-4"/>
              </w:rPr>
              <w:t xml:space="preserve"> </w:t>
            </w:r>
            <w:r w:rsidR="006A6EE2">
              <w:rPr>
                <w:spacing w:val="-2"/>
              </w:rPr>
              <w:t>protect?</w:t>
            </w:r>
            <w:r w:rsidR="006A6EE2">
              <w:tab/>
            </w:r>
            <w:r w:rsidR="006A6EE2">
              <w:rPr>
                <w:spacing w:val="-10"/>
              </w:rPr>
              <w:t>7</w:t>
            </w:r>
          </w:hyperlink>
        </w:p>
        <w:p w14:paraId="7CB25A35" w14:textId="77777777" w:rsidR="008A4099" w:rsidRDefault="006A6EE2">
          <w:pPr>
            <w:pStyle w:val="TOC1"/>
            <w:tabs>
              <w:tab w:val="left" w:leader="dot" w:pos="9068"/>
            </w:tabs>
            <w:spacing w:before="102"/>
          </w:pPr>
          <w:r>
            <w:t>Part</w:t>
          </w:r>
          <w:r>
            <w:rPr>
              <w:spacing w:val="-3"/>
            </w:rPr>
            <w:t xml:space="preserve"> </w:t>
          </w:r>
          <w:r>
            <w:t>2:</w:t>
          </w:r>
          <w:r>
            <w:rPr>
              <w:spacing w:val="-2"/>
            </w:rPr>
            <w:t xml:space="preserve"> </w:t>
          </w:r>
          <w:r>
            <w:t>Developments</w:t>
          </w:r>
          <w:r>
            <w:rPr>
              <w:spacing w:val="-3"/>
            </w:rPr>
            <w:t xml:space="preserve"> </w:t>
          </w:r>
          <w:r>
            <w:t>in</w:t>
          </w:r>
          <w:r>
            <w:rPr>
              <w:spacing w:val="-9"/>
            </w:rPr>
            <w:t xml:space="preserve"> </w:t>
          </w:r>
          <w:r>
            <w:t>Other</w:t>
          </w:r>
          <w:r>
            <w:rPr>
              <w:spacing w:val="-2"/>
            </w:rPr>
            <w:t xml:space="preserve"> Jurisdictions</w:t>
          </w:r>
          <w:r>
            <w:tab/>
          </w:r>
          <w:r>
            <w:rPr>
              <w:spacing w:val="-10"/>
            </w:rPr>
            <w:t>8</w:t>
          </w:r>
        </w:p>
        <w:p w14:paraId="7CB25A36" w14:textId="77777777" w:rsidR="008A4099" w:rsidRDefault="00000000">
          <w:pPr>
            <w:pStyle w:val="TOC2"/>
            <w:numPr>
              <w:ilvl w:val="1"/>
              <w:numId w:val="17"/>
            </w:numPr>
            <w:tabs>
              <w:tab w:val="left" w:pos="880"/>
              <w:tab w:val="left" w:leader="dot" w:pos="9068"/>
            </w:tabs>
          </w:pPr>
          <w:hyperlink w:anchor="_TOC_250050" w:history="1">
            <w:r w:rsidR="006A6EE2">
              <w:rPr>
                <w:spacing w:val="-2"/>
              </w:rPr>
              <w:t>Introduction</w:t>
            </w:r>
            <w:r w:rsidR="006A6EE2">
              <w:tab/>
            </w:r>
            <w:r w:rsidR="006A6EE2">
              <w:rPr>
                <w:spacing w:val="-10"/>
              </w:rPr>
              <w:t>8</w:t>
            </w:r>
          </w:hyperlink>
        </w:p>
        <w:p w14:paraId="7CB25A37" w14:textId="77777777" w:rsidR="008A4099" w:rsidRDefault="00000000">
          <w:pPr>
            <w:pStyle w:val="TOC2"/>
            <w:numPr>
              <w:ilvl w:val="1"/>
              <w:numId w:val="17"/>
            </w:numPr>
            <w:tabs>
              <w:tab w:val="left" w:pos="880"/>
              <w:tab w:val="left" w:leader="dot" w:pos="9068"/>
            </w:tabs>
          </w:pPr>
          <w:hyperlink w:anchor="_TOC_250049" w:history="1">
            <w:r w:rsidR="006A6EE2">
              <w:t>Updates</w:t>
            </w:r>
            <w:r w:rsidR="006A6EE2">
              <w:rPr>
                <w:spacing w:val="-3"/>
              </w:rPr>
              <w:t xml:space="preserve"> </w:t>
            </w:r>
            <w:r w:rsidR="006A6EE2">
              <w:t>from</w:t>
            </w:r>
            <w:r w:rsidR="006A6EE2">
              <w:rPr>
                <w:spacing w:val="-5"/>
              </w:rPr>
              <w:t xml:space="preserve"> </w:t>
            </w:r>
            <w:r w:rsidR="006A6EE2">
              <w:t>the</w:t>
            </w:r>
            <w:r w:rsidR="006A6EE2">
              <w:rPr>
                <w:spacing w:val="-2"/>
              </w:rPr>
              <w:t xml:space="preserve"> </w:t>
            </w:r>
            <w:r w:rsidR="006A6EE2">
              <w:rPr>
                <w:spacing w:val="-5"/>
              </w:rPr>
              <w:t>ACT</w:t>
            </w:r>
            <w:r w:rsidR="006A6EE2">
              <w:tab/>
            </w:r>
            <w:r w:rsidR="006A6EE2">
              <w:rPr>
                <w:spacing w:val="-10"/>
              </w:rPr>
              <w:t>8</w:t>
            </w:r>
          </w:hyperlink>
        </w:p>
        <w:p w14:paraId="7CB25A38" w14:textId="77777777" w:rsidR="008A4099" w:rsidRDefault="00000000">
          <w:pPr>
            <w:pStyle w:val="TOC2"/>
            <w:numPr>
              <w:ilvl w:val="1"/>
              <w:numId w:val="17"/>
            </w:numPr>
            <w:tabs>
              <w:tab w:val="left" w:pos="880"/>
              <w:tab w:val="left" w:leader="dot" w:pos="8957"/>
            </w:tabs>
          </w:pPr>
          <w:hyperlink w:anchor="_TOC_250048" w:history="1">
            <w:r w:rsidR="006A6EE2">
              <w:t>Updates</w:t>
            </w:r>
            <w:r w:rsidR="006A6EE2">
              <w:rPr>
                <w:spacing w:val="-3"/>
              </w:rPr>
              <w:t xml:space="preserve"> </w:t>
            </w:r>
            <w:r w:rsidR="006A6EE2">
              <w:t>from</w:t>
            </w:r>
            <w:r w:rsidR="006A6EE2">
              <w:rPr>
                <w:spacing w:val="-4"/>
              </w:rPr>
              <w:t xml:space="preserve"> </w:t>
            </w:r>
            <w:r w:rsidR="006A6EE2">
              <w:rPr>
                <w:spacing w:val="-2"/>
              </w:rPr>
              <w:t>Victoria</w:t>
            </w:r>
            <w:r w:rsidR="006A6EE2">
              <w:tab/>
            </w:r>
            <w:r w:rsidR="006A6EE2">
              <w:rPr>
                <w:spacing w:val="-5"/>
              </w:rPr>
              <w:t>10</w:t>
            </w:r>
          </w:hyperlink>
        </w:p>
        <w:p w14:paraId="7CB25A39" w14:textId="77777777" w:rsidR="008A4099" w:rsidRDefault="00000000">
          <w:pPr>
            <w:pStyle w:val="TOC2"/>
            <w:numPr>
              <w:ilvl w:val="1"/>
              <w:numId w:val="17"/>
            </w:numPr>
            <w:tabs>
              <w:tab w:val="left" w:pos="880"/>
              <w:tab w:val="left" w:leader="dot" w:pos="8957"/>
            </w:tabs>
          </w:pPr>
          <w:hyperlink w:anchor="_TOC_250047" w:history="1">
            <w:r w:rsidR="006A6EE2">
              <w:t>Updates</w:t>
            </w:r>
            <w:r w:rsidR="006A6EE2">
              <w:rPr>
                <w:spacing w:val="-3"/>
              </w:rPr>
              <w:t xml:space="preserve"> </w:t>
            </w:r>
            <w:r w:rsidR="006A6EE2">
              <w:t>from</w:t>
            </w:r>
            <w:r w:rsidR="006A6EE2">
              <w:rPr>
                <w:spacing w:val="-4"/>
              </w:rPr>
              <w:t xml:space="preserve"> </w:t>
            </w:r>
            <w:r w:rsidR="006A6EE2">
              <w:rPr>
                <w:spacing w:val="-2"/>
              </w:rPr>
              <w:t>Queensland</w:t>
            </w:r>
            <w:r w:rsidR="006A6EE2">
              <w:tab/>
            </w:r>
            <w:r w:rsidR="006A6EE2">
              <w:rPr>
                <w:spacing w:val="-5"/>
              </w:rPr>
              <w:t>11</w:t>
            </w:r>
          </w:hyperlink>
        </w:p>
        <w:p w14:paraId="7CB25A3A" w14:textId="77777777" w:rsidR="008A4099" w:rsidRDefault="00000000">
          <w:pPr>
            <w:pStyle w:val="TOC2"/>
            <w:numPr>
              <w:ilvl w:val="1"/>
              <w:numId w:val="17"/>
            </w:numPr>
            <w:tabs>
              <w:tab w:val="left" w:pos="880"/>
              <w:tab w:val="left" w:leader="dot" w:pos="8957"/>
            </w:tabs>
          </w:pPr>
          <w:hyperlink w:anchor="_TOC_250046" w:history="1">
            <w:r w:rsidR="006A6EE2">
              <w:t>Updates</w:t>
            </w:r>
            <w:r w:rsidR="006A6EE2">
              <w:rPr>
                <w:spacing w:val="-3"/>
              </w:rPr>
              <w:t xml:space="preserve"> </w:t>
            </w:r>
            <w:r w:rsidR="006A6EE2">
              <w:t>from</w:t>
            </w:r>
            <w:r w:rsidR="006A6EE2">
              <w:rPr>
                <w:spacing w:val="-5"/>
              </w:rPr>
              <w:t xml:space="preserve"> </w:t>
            </w:r>
            <w:r w:rsidR="006A6EE2">
              <w:t>the</w:t>
            </w:r>
            <w:r w:rsidR="006A6EE2">
              <w:rPr>
                <w:spacing w:val="-2"/>
              </w:rPr>
              <w:t xml:space="preserve"> Commonwealth</w:t>
            </w:r>
            <w:r w:rsidR="006A6EE2">
              <w:tab/>
            </w:r>
            <w:r w:rsidR="006A6EE2">
              <w:rPr>
                <w:spacing w:val="-5"/>
              </w:rPr>
              <w:t>15</w:t>
            </w:r>
          </w:hyperlink>
        </w:p>
        <w:p w14:paraId="7CB25A3B" w14:textId="77777777" w:rsidR="008A4099" w:rsidRDefault="006A6EE2">
          <w:pPr>
            <w:pStyle w:val="TOC1"/>
            <w:tabs>
              <w:tab w:val="left" w:leader="dot" w:pos="8957"/>
            </w:tabs>
          </w:pPr>
          <w:r>
            <w:t>Part</w:t>
          </w:r>
          <w:r>
            <w:rPr>
              <w:spacing w:val="-5"/>
            </w:rPr>
            <w:t xml:space="preserve"> </w:t>
          </w:r>
          <w:r>
            <w:t>3:</w:t>
          </w:r>
          <w:r>
            <w:rPr>
              <w:spacing w:val="-1"/>
            </w:rPr>
            <w:t xml:space="preserve"> </w:t>
          </w:r>
          <w:r>
            <w:t>Approaches</w:t>
          </w:r>
          <w:r>
            <w:rPr>
              <w:spacing w:val="-5"/>
            </w:rPr>
            <w:t xml:space="preserve"> </w:t>
          </w:r>
          <w:r>
            <w:t>to</w:t>
          </w:r>
          <w:r>
            <w:rPr>
              <w:spacing w:val="-5"/>
            </w:rPr>
            <w:t xml:space="preserve"> </w:t>
          </w:r>
          <w:r>
            <w:t>Human</w:t>
          </w:r>
          <w:r>
            <w:rPr>
              <w:spacing w:val="-3"/>
            </w:rPr>
            <w:t xml:space="preserve"> </w:t>
          </w:r>
          <w:r>
            <w:t>Rights</w:t>
          </w:r>
          <w:r>
            <w:rPr>
              <w:spacing w:val="-4"/>
            </w:rPr>
            <w:t xml:space="preserve"> </w:t>
          </w:r>
          <w:r>
            <w:t>in</w:t>
          </w:r>
          <w:r>
            <w:rPr>
              <w:spacing w:val="-2"/>
            </w:rPr>
            <w:t xml:space="preserve"> </w:t>
          </w:r>
          <w:r>
            <w:t>the</w:t>
          </w:r>
          <w:r>
            <w:rPr>
              <w:spacing w:val="-3"/>
            </w:rPr>
            <w:t xml:space="preserve"> </w:t>
          </w:r>
          <w:r>
            <w:t>Development</w:t>
          </w:r>
          <w:r>
            <w:rPr>
              <w:spacing w:val="-4"/>
            </w:rPr>
            <w:t xml:space="preserve"> </w:t>
          </w:r>
          <w:r>
            <w:t>of</w:t>
          </w:r>
          <w:r>
            <w:rPr>
              <w:spacing w:val="-3"/>
            </w:rPr>
            <w:t xml:space="preserve"> </w:t>
          </w:r>
          <w:r>
            <w:t>Law</w:t>
          </w:r>
          <w:r>
            <w:rPr>
              <w:spacing w:val="-1"/>
            </w:rPr>
            <w:t xml:space="preserve"> </w:t>
          </w:r>
          <w:r>
            <w:t>and</w:t>
          </w:r>
          <w:r>
            <w:rPr>
              <w:spacing w:val="-3"/>
            </w:rPr>
            <w:t xml:space="preserve"> </w:t>
          </w:r>
          <w:r>
            <w:rPr>
              <w:spacing w:val="-2"/>
            </w:rPr>
            <w:t>Policy</w:t>
          </w:r>
          <w:r>
            <w:tab/>
          </w:r>
          <w:r>
            <w:rPr>
              <w:spacing w:val="-5"/>
            </w:rPr>
            <w:t>18</w:t>
          </w:r>
        </w:p>
        <w:p w14:paraId="7CB25A3C" w14:textId="77777777" w:rsidR="008A4099" w:rsidRDefault="00000000">
          <w:pPr>
            <w:pStyle w:val="TOC2"/>
            <w:numPr>
              <w:ilvl w:val="1"/>
              <w:numId w:val="16"/>
            </w:numPr>
            <w:tabs>
              <w:tab w:val="left" w:pos="880"/>
              <w:tab w:val="left" w:leader="dot" w:pos="8957"/>
            </w:tabs>
          </w:pPr>
          <w:hyperlink w:anchor="_TOC_250045" w:history="1">
            <w:r w:rsidR="006A6EE2">
              <w:rPr>
                <w:spacing w:val="-2"/>
              </w:rPr>
              <w:t>Introduction</w:t>
            </w:r>
            <w:r w:rsidR="006A6EE2">
              <w:tab/>
            </w:r>
            <w:r w:rsidR="006A6EE2">
              <w:rPr>
                <w:spacing w:val="-5"/>
              </w:rPr>
              <w:t>18</w:t>
            </w:r>
          </w:hyperlink>
        </w:p>
        <w:p w14:paraId="7CB25A3D" w14:textId="77777777" w:rsidR="008A4099" w:rsidRDefault="00000000">
          <w:pPr>
            <w:pStyle w:val="TOC2"/>
            <w:numPr>
              <w:ilvl w:val="1"/>
              <w:numId w:val="16"/>
            </w:numPr>
            <w:tabs>
              <w:tab w:val="left" w:pos="880"/>
              <w:tab w:val="left" w:leader="dot" w:pos="8957"/>
            </w:tabs>
            <w:spacing w:before="99"/>
          </w:pPr>
          <w:hyperlink w:anchor="_TOC_250044" w:history="1">
            <w:r w:rsidR="006A6EE2">
              <w:t>Overview</w:t>
            </w:r>
            <w:r w:rsidR="006A6EE2">
              <w:rPr>
                <w:spacing w:val="-2"/>
              </w:rPr>
              <w:t xml:space="preserve"> </w:t>
            </w:r>
            <w:r w:rsidR="006A6EE2">
              <w:t>of</w:t>
            </w:r>
            <w:r w:rsidR="006A6EE2">
              <w:rPr>
                <w:spacing w:val="-2"/>
              </w:rPr>
              <w:t xml:space="preserve"> </w:t>
            </w:r>
            <w:r w:rsidR="006A6EE2">
              <w:t>Key</w:t>
            </w:r>
            <w:r w:rsidR="006A6EE2">
              <w:rPr>
                <w:spacing w:val="-2"/>
              </w:rPr>
              <w:t xml:space="preserve"> </w:t>
            </w:r>
            <w:r w:rsidR="006A6EE2">
              <w:t>Events</w:t>
            </w:r>
            <w:r w:rsidR="006A6EE2">
              <w:rPr>
                <w:spacing w:val="-3"/>
              </w:rPr>
              <w:t xml:space="preserve"> </w:t>
            </w:r>
            <w:r w:rsidR="006A6EE2">
              <w:t>in</w:t>
            </w:r>
            <w:r w:rsidR="006A6EE2">
              <w:rPr>
                <w:spacing w:val="-3"/>
              </w:rPr>
              <w:t xml:space="preserve"> </w:t>
            </w:r>
            <w:r w:rsidR="006A6EE2">
              <w:t>the</w:t>
            </w:r>
            <w:r w:rsidR="006A6EE2">
              <w:rPr>
                <w:spacing w:val="-2"/>
              </w:rPr>
              <w:t xml:space="preserve"> </w:t>
            </w:r>
            <w:r w:rsidR="006A6EE2">
              <w:t>Review</w:t>
            </w:r>
            <w:r w:rsidR="006A6EE2">
              <w:rPr>
                <w:spacing w:val="-1"/>
              </w:rPr>
              <w:t xml:space="preserve"> </w:t>
            </w:r>
            <w:r w:rsidR="006A6EE2">
              <w:rPr>
                <w:spacing w:val="-2"/>
              </w:rPr>
              <w:t>Period</w:t>
            </w:r>
            <w:r w:rsidR="006A6EE2">
              <w:tab/>
            </w:r>
            <w:r w:rsidR="006A6EE2">
              <w:rPr>
                <w:spacing w:val="-5"/>
              </w:rPr>
              <w:t>19</w:t>
            </w:r>
          </w:hyperlink>
        </w:p>
        <w:p w14:paraId="7CB25A3E" w14:textId="77777777" w:rsidR="008A4099" w:rsidRDefault="00000000">
          <w:pPr>
            <w:pStyle w:val="TOC3"/>
            <w:tabs>
              <w:tab w:val="left" w:leader="dot" w:pos="8957"/>
            </w:tabs>
          </w:pPr>
          <w:hyperlink w:anchor="_TOC_250043" w:history="1">
            <w:r w:rsidR="006A6EE2">
              <w:t>The</w:t>
            </w:r>
            <w:r w:rsidR="006A6EE2">
              <w:rPr>
                <w:spacing w:val="-3"/>
              </w:rPr>
              <w:t xml:space="preserve"> </w:t>
            </w:r>
            <w:r w:rsidR="006A6EE2">
              <w:t>legislation</w:t>
            </w:r>
            <w:r w:rsidR="006A6EE2">
              <w:rPr>
                <w:spacing w:val="-3"/>
              </w:rPr>
              <w:t xml:space="preserve"> </w:t>
            </w:r>
            <w:r w:rsidR="006A6EE2">
              <w:t>relating</w:t>
            </w:r>
            <w:r w:rsidR="006A6EE2">
              <w:rPr>
                <w:spacing w:val="-3"/>
              </w:rPr>
              <w:t xml:space="preserve"> </w:t>
            </w:r>
            <w:r w:rsidR="006A6EE2">
              <w:t>to</w:t>
            </w:r>
            <w:r w:rsidR="006A6EE2">
              <w:rPr>
                <w:spacing w:val="-3"/>
              </w:rPr>
              <w:t xml:space="preserve"> </w:t>
            </w:r>
            <w:r w:rsidR="006A6EE2">
              <w:t>the</w:t>
            </w:r>
            <w:r w:rsidR="006A6EE2">
              <w:rPr>
                <w:spacing w:val="-3"/>
              </w:rPr>
              <w:t xml:space="preserve"> </w:t>
            </w:r>
            <w:r w:rsidR="006A6EE2">
              <w:t>right</w:t>
            </w:r>
            <w:r w:rsidR="006A6EE2">
              <w:rPr>
                <w:spacing w:val="-5"/>
              </w:rPr>
              <w:t xml:space="preserve"> </w:t>
            </w:r>
            <w:r w:rsidR="006A6EE2">
              <w:t>to</w:t>
            </w:r>
            <w:r w:rsidR="006A6EE2">
              <w:rPr>
                <w:spacing w:val="-2"/>
              </w:rPr>
              <w:t xml:space="preserve"> protest</w:t>
            </w:r>
            <w:r w:rsidR="006A6EE2">
              <w:tab/>
            </w:r>
            <w:r w:rsidR="006A6EE2">
              <w:rPr>
                <w:spacing w:val="-5"/>
              </w:rPr>
              <w:t>19</w:t>
            </w:r>
          </w:hyperlink>
        </w:p>
        <w:p w14:paraId="7CB25A3F" w14:textId="77777777" w:rsidR="008A4099" w:rsidRDefault="00000000">
          <w:pPr>
            <w:pStyle w:val="TOC3"/>
            <w:tabs>
              <w:tab w:val="left" w:leader="dot" w:pos="8957"/>
            </w:tabs>
          </w:pPr>
          <w:hyperlink w:anchor="_TOC_250042" w:history="1">
            <w:r w:rsidR="006A6EE2">
              <w:t>Responses</w:t>
            </w:r>
            <w:r w:rsidR="006A6EE2">
              <w:rPr>
                <w:spacing w:val="-8"/>
              </w:rPr>
              <w:t xml:space="preserve"> </w:t>
            </w:r>
            <w:r w:rsidR="006A6EE2">
              <w:t>to</w:t>
            </w:r>
            <w:r w:rsidR="006A6EE2">
              <w:rPr>
                <w:spacing w:val="-6"/>
              </w:rPr>
              <w:t xml:space="preserve"> </w:t>
            </w:r>
            <w:r w:rsidR="006A6EE2">
              <w:t>COVID-</w:t>
            </w:r>
            <w:r w:rsidR="006A6EE2">
              <w:rPr>
                <w:spacing w:val="-5"/>
              </w:rPr>
              <w:t>19</w:t>
            </w:r>
            <w:r w:rsidR="006A6EE2">
              <w:tab/>
            </w:r>
            <w:r w:rsidR="006A6EE2">
              <w:rPr>
                <w:spacing w:val="-5"/>
              </w:rPr>
              <w:t>22</w:t>
            </w:r>
          </w:hyperlink>
        </w:p>
        <w:p w14:paraId="7CB25A40" w14:textId="77777777" w:rsidR="008A4099" w:rsidRDefault="00000000">
          <w:pPr>
            <w:pStyle w:val="TOC3"/>
            <w:tabs>
              <w:tab w:val="left" w:leader="dot" w:pos="8957"/>
            </w:tabs>
          </w:pPr>
          <w:hyperlink w:anchor="_TOC_250041" w:history="1">
            <w:r w:rsidR="006A6EE2">
              <w:t>Protection</w:t>
            </w:r>
            <w:r w:rsidR="006A6EE2">
              <w:rPr>
                <w:spacing w:val="-3"/>
              </w:rPr>
              <w:t xml:space="preserve"> </w:t>
            </w:r>
            <w:r w:rsidR="006A6EE2">
              <w:t>of</w:t>
            </w:r>
            <w:r w:rsidR="006A6EE2">
              <w:rPr>
                <w:spacing w:val="-3"/>
              </w:rPr>
              <w:t xml:space="preserve"> </w:t>
            </w:r>
            <w:r w:rsidR="006A6EE2">
              <w:rPr>
                <w:spacing w:val="-2"/>
              </w:rPr>
              <w:t>privacy</w:t>
            </w:r>
            <w:r w:rsidR="006A6EE2">
              <w:tab/>
            </w:r>
            <w:r w:rsidR="006A6EE2">
              <w:rPr>
                <w:spacing w:val="-5"/>
              </w:rPr>
              <w:t>28</w:t>
            </w:r>
          </w:hyperlink>
        </w:p>
        <w:p w14:paraId="7CB25A41" w14:textId="77777777" w:rsidR="008A4099" w:rsidRDefault="00000000">
          <w:pPr>
            <w:pStyle w:val="TOC3"/>
            <w:tabs>
              <w:tab w:val="left" w:leader="dot" w:pos="8957"/>
            </w:tabs>
          </w:pPr>
          <w:hyperlink w:anchor="_TOC_250040" w:history="1">
            <w:r w:rsidR="006A6EE2">
              <w:t>Treatment</w:t>
            </w:r>
            <w:r w:rsidR="006A6EE2">
              <w:rPr>
                <w:spacing w:val="-6"/>
              </w:rPr>
              <w:t xml:space="preserve"> </w:t>
            </w:r>
            <w:r w:rsidR="006A6EE2">
              <w:t>of</w:t>
            </w:r>
            <w:r w:rsidR="006A6EE2">
              <w:rPr>
                <w:spacing w:val="-3"/>
              </w:rPr>
              <w:t xml:space="preserve"> </w:t>
            </w:r>
            <w:r w:rsidR="006A6EE2">
              <w:t>prisoners,</w:t>
            </w:r>
            <w:r w:rsidR="006A6EE2">
              <w:rPr>
                <w:spacing w:val="-6"/>
              </w:rPr>
              <w:t xml:space="preserve"> </w:t>
            </w:r>
            <w:r w:rsidR="006A6EE2">
              <w:t>including</w:t>
            </w:r>
            <w:r w:rsidR="006A6EE2">
              <w:rPr>
                <w:spacing w:val="-6"/>
              </w:rPr>
              <w:t xml:space="preserve"> </w:t>
            </w:r>
            <w:r w:rsidR="006A6EE2">
              <w:t>strip</w:t>
            </w:r>
            <w:r w:rsidR="006A6EE2">
              <w:rPr>
                <w:spacing w:val="-6"/>
              </w:rPr>
              <w:t xml:space="preserve"> </w:t>
            </w:r>
            <w:r w:rsidR="006A6EE2">
              <w:t>searching</w:t>
            </w:r>
            <w:r w:rsidR="006A6EE2">
              <w:rPr>
                <w:spacing w:val="-3"/>
              </w:rPr>
              <w:t xml:space="preserve"> </w:t>
            </w:r>
            <w:r w:rsidR="006A6EE2">
              <w:rPr>
                <w:spacing w:val="-2"/>
              </w:rPr>
              <w:t>detainees</w:t>
            </w:r>
            <w:r w:rsidR="006A6EE2">
              <w:tab/>
            </w:r>
            <w:r w:rsidR="006A6EE2">
              <w:rPr>
                <w:spacing w:val="-5"/>
              </w:rPr>
              <w:t>30</w:t>
            </w:r>
          </w:hyperlink>
        </w:p>
        <w:p w14:paraId="7CB25A42" w14:textId="77777777" w:rsidR="008A4099" w:rsidRDefault="00000000">
          <w:pPr>
            <w:pStyle w:val="TOC3"/>
            <w:tabs>
              <w:tab w:val="left" w:leader="dot" w:pos="8957"/>
            </w:tabs>
          </w:pPr>
          <w:hyperlink w:anchor="_TOC_250039" w:history="1">
            <w:r w:rsidR="006A6EE2">
              <w:t>Housing</w:t>
            </w:r>
            <w:r w:rsidR="006A6EE2">
              <w:rPr>
                <w:spacing w:val="-6"/>
              </w:rPr>
              <w:t xml:space="preserve"> </w:t>
            </w:r>
            <w:r w:rsidR="006A6EE2">
              <w:t>and</w:t>
            </w:r>
            <w:r w:rsidR="006A6EE2">
              <w:rPr>
                <w:spacing w:val="-3"/>
              </w:rPr>
              <w:t xml:space="preserve"> </w:t>
            </w:r>
            <w:r w:rsidR="006A6EE2">
              <w:t>homelessness</w:t>
            </w:r>
            <w:r w:rsidR="006A6EE2">
              <w:rPr>
                <w:spacing w:val="-4"/>
              </w:rPr>
              <w:t xml:space="preserve"> </w:t>
            </w:r>
            <w:r w:rsidR="006A6EE2">
              <w:t>and</w:t>
            </w:r>
            <w:r w:rsidR="006A6EE2">
              <w:rPr>
                <w:spacing w:val="-3"/>
              </w:rPr>
              <w:t xml:space="preserve"> </w:t>
            </w:r>
            <w:r w:rsidR="006A6EE2">
              <w:t>the</w:t>
            </w:r>
            <w:r w:rsidR="006A6EE2">
              <w:rPr>
                <w:spacing w:val="-2"/>
              </w:rPr>
              <w:t xml:space="preserve"> </w:t>
            </w:r>
            <w:r w:rsidR="006A6EE2">
              <w:t>rights</w:t>
            </w:r>
            <w:r w:rsidR="006A6EE2">
              <w:rPr>
                <w:spacing w:val="-3"/>
              </w:rPr>
              <w:t xml:space="preserve"> </w:t>
            </w:r>
            <w:r w:rsidR="006A6EE2">
              <w:t>of</w:t>
            </w:r>
            <w:r w:rsidR="006A6EE2">
              <w:rPr>
                <w:spacing w:val="-2"/>
              </w:rPr>
              <w:t xml:space="preserve"> tenants</w:t>
            </w:r>
            <w:r w:rsidR="006A6EE2">
              <w:tab/>
            </w:r>
            <w:r w:rsidR="006A6EE2">
              <w:rPr>
                <w:spacing w:val="-5"/>
              </w:rPr>
              <w:t>31</w:t>
            </w:r>
          </w:hyperlink>
        </w:p>
        <w:p w14:paraId="7CB25A43" w14:textId="77777777" w:rsidR="008A4099" w:rsidRDefault="00000000">
          <w:pPr>
            <w:pStyle w:val="TOC3"/>
            <w:tabs>
              <w:tab w:val="left" w:leader="dot" w:pos="8957"/>
            </w:tabs>
            <w:spacing w:before="102"/>
          </w:pPr>
          <w:hyperlink w:anchor="_TOC_250038" w:history="1">
            <w:r w:rsidR="006A6EE2">
              <w:t>Religious</w:t>
            </w:r>
            <w:r w:rsidR="006A6EE2">
              <w:rPr>
                <w:spacing w:val="-4"/>
              </w:rPr>
              <w:t xml:space="preserve"> </w:t>
            </w:r>
            <w:r w:rsidR="006A6EE2">
              <w:t>freedom</w:t>
            </w:r>
            <w:r w:rsidR="006A6EE2">
              <w:rPr>
                <w:spacing w:val="-6"/>
              </w:rPr>
              <w:t xml:space="preserve"> </w:t>
            </w:r>
            <w:r w:rsidR="006A6EE2">
              <w:t>and</w:t>
            </w:r>
            <w:r w:rsidR="006A6EE2">
              <w:rPr>
                <w:spacing w:val="-5"/>
              </w:rPr>
              <w:t xml:space="preserve"> </w:t>
            </w:r>
            <w:r w:rsidR="006A6EE2">
              <w:t>freedom</w:t>
            </w:r>
            <w:r w:rsidR="006A6EE2">
              <w:rPr>
                <w:spacing w:val="-6"/>
              </w:rPr>
              <w:t xml:space="preserve"> </w:t>
            </w:r>
            <w:r w:rsidR="006A6EE2">
              <w:t>from</w:t>
            </w:r>
            <w:r w:rsidR="006A6EE2">
              <w:rPr>
                <w:spacing w:val="-2"/>
              </w:rPr>
              <w:t xml:space="preserve"> discrimination</w:t>
            </w:r>
            <w:r w:rsidR="006A6EE2">
              <w:tab/>
            </w:r>
            <w:r w:rsidR="006A6EE2">
              <w:rPr>
                <w:spacing w:val="-5"/>
              </w:rPr>
              <w:t>32</w:t>
            </w:r>
          </w:hyperlink>
        </w:p>
        <w:p w14:paraId="7CB25A44" w14:textId="77777777" w:rsidR="008A4099" w:rsidRDefault="00000000">
          <w:pPr>
            <w:pStyle w:val="TOC2"/>
            <w:numPr>
              <w:ilvl w:val="1"/>
              <w:numId w:val="16"/>
            </w:numPr>
            <w:tabs>
              <w:tab w:val="left" w:pos="880"/>
              <w:tab w:val="left" w:leader="dot" w:pos="8957"/>
            </w:tabs>
          </w:pPr>
          <w:hyperlink w:anchor="_TOC_250037" w:history="1">
            <w:r w:rsidR="006A6EE2">
              <w:t>Key</w:t>
            </w:r>
            <w:r w:rsidR="006A6EE2">
              <w:rPr>
                <w:spacing w:val="-4"/>
              </w:rPr>
              <w:t xml:space="preserve"> </w:t>
            </w:r>
            <w:r w:rsidR="006A6EE2">
              <w:t>themes</w:t>
            </w:r>
            <w:r w:rsidR="006A6EE2">
              <w:rPr>
                <w:spacing w:val="-4"/>
              </w:rPr>
              <w:t xml:space="preserve"> </w:t>
            </w:r>
            <w:r w:rsidR="006A6EE2">
              <w:t>from</w:t>
            </w:r>
            <w:r w:rsidR="006A6EE2">
              <w:rPr>
                <w:spacing w:val="-3"/>
              </w:rPr>
              <w:t xml:space="preserve"> </w:t>
            </w:r>
            <w:r w:rsidR="006A6EE2">
              <w:t>the</w:t>
            </w:r>
            <w:r w:rsidR="006A6EE2">
              <w:rPr>
                <w:spacing w:val="-4"/>
              </w:rPr>
              <w:t xml:space="preserve"> </w:t>
            </w:r>
            <w:r w:rsidR="006A6EE2">
              <w:t>examination</w:t>
            </w:r>
            <w:r w:rsidR="006A6EE2">
              <w:rPr>
                <w:spacing w:val="-3"/>
              </w:rPr>
              <w:t xml:space="preserve"> </w:t>
            </w:r>
            <w:r w:rsidR="006A6EE2">
              <w:t>of</w:t>
            </w:r>
            <w:r w:rsidR="006A6EE2">
              <w:rPr>
                <w:spacing w:val="-4"/>
              </w:rPr>
              <w:t xml:space="preserve"> </w:t>
            </w:r>
            <w:r w:rsidR="006A6EE2">
              <w:t>selected</w:t>
            </w:r>
            <w:r w:rsidR="006A6EE2">
              <w:rPr>
                <w:spacing w:val="-6"/>
              </w:rPr>
              <w:t xml:space="preserve"> </w:t>
            </w:r>
            <w:r w:rsidR="006A6EE2">
              <w:t>experiences</w:t>
            </w:r>
            <w:r w:rsidR="006A6EE2">
              <w:rPr>
                <w:spacing w:val="-5"/>
              </w:rPr>
              <w:t xml:space="preserve"> </w:t>
            </w:r>
            <w:r w:rsidR="006A6EE2">
              <w:t>in</w:t>
            </w:r>
            <w:r w:rsidR="006A6EE2">
              <w:rPr>
                <w:spacing w:val="-4"/>
              </w:rPr>
              <w:t xml:space="preserve"> </w:t>
            </w:r>
            <w:r w:rsidR="006A6EE2">
              <w:t>the</w:t>
            </w:r>
            <w:r w:rsidR="006A6EE2">
              <w:rPr>
                <w:spacing w:val="-4"/>
              </w:rPr>
              <w:t xml:space="preserve"> </w:t>
            </w:r>
            <w:r w:rsidR="006A6EE2">
              <w:t>Review</w:t>
            </w:r>
            <w:r w:rsidR="006A6EE2">
              <w:rPr>
                <w:spacing w:val="-3"/>
              </w:rPr>
              <w:t xml:space="preserve"> </w:t>
            </w:r>
            <w:r w:rsidR="006A6EE2">
              <w:rPr>
                <w:spacing w:val="-2"/>
              </w:rPr>
              <w:t>Period</w:t>
            </w:r>
            <w:r w:rsidR="006A6EE2">
              <w:tab/>
            </w:r>
            <w:r w:rsidR="006A6EE2">
              <w:rPr>
                <w:spacing w:val="-5"/>
              </w:rPr>
              <w:t>33</w:t>
            </w:r>
          </w:hyperlink>
        </w:p>
        <w:p w14:paraId="7CB25A45" w14:textId="77777777" w:rsidR="008A4099" w:rsidRDefault="00000000">
          <w:pPr>
            <w:pStyle w:val="TOC3"/>
            <w:tabs>
              <w:tab w:val="left" w:leader="dot" w:pos="8957"/>
            </w:tabs>
            <w:spacing w:before="98"/>
            <w:ind w:right="682"/>
          </w:pPr>
          <w:hyperlink w:anchor="_TOC_250036" w:history="1">
            <w:r w:rsidR="006A6EE2">
              <w:t>A human rights enactment can increase parliamentary scrutiny and transparency in relation to consideration</w:t>
            </w:r>
            <w:r w:rsidR="006A6EE2">
              <w:rPr>
                <w:spacing w:val="-5"/>
              </w:rPr>
              <w:t xml:space="preserve"> </w:t>
            </w:r>
            <w:r w:rsidR="006A6EE2">
              <w:t>of</w:t>
            </w:r>
            <w:r w:rsidR="006A6EE2">
              <w:rPr>
                <w:spacing w:val="-4"/>
              </w:rPr>
              <w:t xml:space="preserve"> </w:t>
            </w:r>
            <w:r w:rsidR="006A6EE2">
              <w:t>human</w:t>
            </w:r>
            <w:r w:rsidR="006A6EE2">
              <w:rPr>
                <w:spacing w:val="-6"/>
              </w:rPr>
              <w:t xml:space="preserve"> </w:t>
            </w:r>
            <w:r w:rsidR="006A6EE2">
              <w:t>rights</w:t>
            </w:r>
            <w:r w:rsidR="006A6EE2">
              <w:rPr>
                <w:spacing w:val="-6"/>
              </w:rPr>
              <w:t xml:space="preserve"> </w:t>
            </w:r>
            <w:r w:rsidR="006A6EE2">
              <w:rPr>
                <w:spacing w:val="-2"/>
              </w:rPr>
              <w:t>factors</w:t>
            </w:r>
            <w:r w:rsidR="006A6EE2">
              <w:tab/>
            </w:r>
            <w:r w:rsidR="006A6EE2">
              <w:rPr>
                <w:spacing w:val="-5"/>
              </w:rPr>
              <w:t>33</w:t>
            </w:r>
          </w:hyperlink>
        </w:p>
        <w:p w14:paraId="7CB25A46" w14:textId="77777777" w:rsidR="008A4099" w:rsidRDefault="00000000">
          <w:pPr>
            <w:pStyle w:val="TOC3"/>
            <w:tabs>
              <w:tab w:val="left" w:leader="dot" w:pos="8957"/>
            </w:tabs>
            <w:spacing w:before="98" w:line="244" w:lineRule="auto"/>
            <w:ind w:right="680"/>
          </w:pPr>
          <w:hyperlink w:anchor="_TOC_250035" w:history="1">
            <w:r w:rsidR="006A6EE2">
              <w:t>A</w:t>
            </w:r>
            <w:r w:rsidR="006A6EE2">
              <w:rPr>
                <w:spacing w:val="-1"/>
              </w:rPr>
              <w:t xml:space="preserve"> </w:t>
            </w:r>
            <w:r w:rsidR="006A6EE2">
              <w:t>human</w:t>
            </w:r>
            <w:r w:rsidR="006A6EE2">
              <w:rPr>
                <w:spacing w:val="-2"/>
              </w:rPr>
              <w:t xml:space="preserve"> </w:t>
            </w:r>
            <w:r w:rsidR="006A6EE2">
              <w:t>rights</w:t>
            </w:r>
            <w:r w:rsidR="006A6EE2">
              <w:rPr>
                <w:spacing w:val="-2"/>
              </w:rPr>
              <w:t xml:space="preserve"> </w:t>
            </w:r>
            <w:r w:rsidR="006A6EE2">
              <w:t>enactment</w:t>
            </w:r>
            <w:r w:rsidR="006A6EE2">
              <w:rPr>
                <w:spacing w:val="-4"/>
              </w:rPr>
              <w:t xml:space="preserve"> </w:t>
            </w:r>
            <w:r w:rsidR="006A6EE2">
              <w:t>can build</w:t>
            </w:r>
            <w:r w:rsidR="006A6EE2">
              <w:rPr>
                <w:spacing w:val="-2"/>
              </w:rPr>
              <w:t xml:space="preserve"> </w:t>
            </w:r>
            <w:r w:rsidR="006A6EE2">
              <w:t>a consistent</w:t>
            </w:r>
            <w:r w:rsidR="006A6EE2">
              <w:rPr>
                <w:spacing w:val="-1"/>
              </w:rPr>
              <w:t xml:space="preserve"> </w:t>
            </w:r>
            <w:r w:rsidR="006A6EE2">
              <w:t>process</w:t>
            </w:r>
            <w:r w:rsidR="006A6EE2">
              <w:rPr>
                <w:spacing w:val="-1"/>
              </w:rPr>
              <w:t xml:space="preserve"> </w:t>
            </w:r>
            <w:r w:rsidR="006A6EE2">
              <w:t>for</w:t>
            </w:r>
            <w:r w:rsidR="006A6EE2">
              <w:rPr>
                <w:spacing w:val="-2"/>
              </w:rPr>
              <w:t xml:space="preserve"> </w:t>
            </w:r>
            <w:r w:rsidR="006A6EE2">
              <w:t>the provision of</w:t>
            </w:r>
            <w:r w:rsidR="006A6EE2">
              <w:rPr>
                <w:spacing w:val="-2"/>
              </w:rPr>
              <w:t xml:space="preserve"> </w:t>
            </w:r>
            <w:r w:rsidR="006A6EE2">
              <w:t>external</w:t>
            </w:r>
            <w:r w:rsidR="006A6EE2">
              <w:rPr>
                <w:spacing w:val="-1"/>
              </w:rPr>
              <w:t xml:space="preserve"> </w:t>
            </w:r>
            <w:r w:rsidR="006A6EE2">
              <w:t xml:space="preserve">scrutiny and </w:t>
            </w:r>
            <w:r w:rsidR="006A6EE2">
              <w:rPr>
                <w:spacing w:val="-2"/>
              </w:rPr>
              <w:t>advice</w:t>
            </w:r>
            <w:r w:rsidR="006A6EE2">
              <w:tab/>
            </w:r>
            <w:r w:rsidR="006A6EE2">
              <w:rPr>
                <w:spacing w:val="-5"/>
              </w:rPr>
              <w:t>35</w:t>
            </w:r>
          </w:hyperlink>
        </w:p>
        <w:p w14:paraId="7CB25A47" w14:textId="77777777" w:rsidR="008A4099" w:rsidRDefault="00000000">
          <w:pPr>
            <w:pStyle w:val="TOC3"/>
            <w:tabs>
              <w:tab w:val="left" w:leader="dot" w:pos="8957"/>
            </w:tabs>
            <w:spacing w:before="92"/>
            <w:ind w:right="682"/>
          </w:pPr>
          <w:hyperlink w:anchor="_TOC_250034" w:history="1">
            <w:r w:rsidR="006A6EE2">
              <w:t>Human rights enactments can provide a framework to allow for the balancing of rights, and</w:t>
            </w:r>
            <w:r w:rsidR="006A6EE2">
              <w:rPr>
                <w:spacing w:val="40"/>
              </w:rPr>
              <w:t xml:space="preserve"> </w:t>
            </w:r>
            <w:r w:rsidR="006A6EE2">
              <w:t>influencing</w:t>
            </w:r>
            <w:r w:rsidR="006A6EE2">
              <w:rPr>
                <w:spacing w:val="-7"/>
              </w:rPr>
              <w:t xml:space="preserve"> </w:t>
            </w:r>
            <w:r w:rsidR="006A6EE2">
              <w:t>public</w:t>
            </w:r>
            <w:r w:rsidR="006A6EE2">
              <w:rPr>
                <w:spacing w:val="-5"/>
              </w:rPr>
              <w:t xml:space="preserve"> </w:t>
            </w:r>
            <w:r w:rsidR="006A6EE2">
              <w:t>discourse</w:t>
            </w:r>
            <w:r w:rsidR="006A6EE2">
              <w:rPr>
                <w:spacing w:val="-4"/>
              </w:rPr>
              <w:t xml:space="preserve"> </w:t>
            </w:r>
            <w:r w:rsidR="006A6EE2">
              <w:t>and</w:t>
            </w:r>
            <w:r w:rsidR="006A6EE2">
              <w:rPr>
                <w:spacing w:val="-4"/>
              </w:rPr>
              <w:t xml:space="preserve"> </w:t>
            </w:r>
            <w:r w:rsidR="006A6EE2">
              <w:t>policy</w:t>
            </w:r>
            <w:r w:rsidR="006A6EE2">
              <w:rPr>
                <w:spacing w:val="-3"/>
              </w:rPr>
              <w:t xml:space="preserve"> </w:t>
            </w:r>
            <w:r w:rsidR="006A6EE2">
              <w:rPr>
                <w:spacing w:val="-2"/>
              </w:rPr>
              <w:t>outcomes</w:t>
            </w:r>
            <w:r w:rsidR="006A6EE2">
              <w:tab/>
            </w:r>
            <w:r w:rsidR="006A6EE2">
              <w:rPr>
                <w:spacing w:val="-5"/>
              </w:rPr>
              <w:t>38</w:t>
            </w:r>
          </w:hyperlink>
        </w:p>
        <w:p w14:paraId="7CB25A48" w14:textId="77777777" w:rsidR="008A4099" w:rsidRDefault="006A6EE2">
          <w:pPr>
            <w:pStyle w:val="TOC3"/>
            <w:tabs>
              <w:tab w:val="left" w:leader="dot" w:pos="8957"/>
            </w:tabs>
            <w:spacing w:before="101" w:after="84"/>
          </w:pPr>
          <w:r>
            <w:t>Case</w:t>
          </w:r>
          <w:r>
            <w:rPr>
              <w:spacing w:val="-5"/>
            </w:rPr>
            <w:t xml:space="preserve"> </w:t>
          </w:r>
          <w:r>
            <w:t>Study:</w:t>
          </w:r>
          <w:r>
            <w:rPr>
              <w:spacing w:val="-5"/>
            </w:rPr>
            <w:t xml:space="preserve"> </w:t>
          </w:r>
          <w:r>
            <w:t>Melbourne</w:t>
          </w:r>
          <w:r>
            <w:rPr>
              <w:spacing w:val="-4"/>
            </w:rPr>
            <w:t xml:space="preserve"> </w:t>
          </w:r>
          <w:r>
            <w:t>Tower</w:t>
          </w:r>
          <w:r>
            <w:rPr>
              <w:spacing w:val="-3"/>
            </w:rPr>
            <w:t xml:space="preserve"> </w:t>
          </w:r>
          <w:r>
            <w:rPr>
              <w:spacing w:val="-2"/>
            </w:rPr>
            <w:t>Lockdown</w:t>
          </w:r>
          <w:r>
            <w:tab/>
          </w:r>
          <w:r>
            <w:rPr>
              <w:spacing w:val="-5"/>
            </w:rPr>
            <w:t>38</w:t>
          </w:r>
        </w:p>
        <w:p w14:paraId="7CB25A49" w14:textId="77777777" w:rsidR="008A4099" w:rsidRDefault="006A6EE2">
          <w:pPr>
            <w:pStyle w:val="TOC3"/>
            <w:tabs>
              <w:tab w:val="left" w:leader="dot" w:pos="8957"/>
            </w:tabs>
            <w:spacing w:before="62"/>
          </w:pPr>
          <w:r>
            <w:lastRenderedPageBreak/>
            <w:t>Human</w:t>
          </w:r>
          <w:r>
            <w:rPr>
              <w:spacing w:val="-6"/>
            </w:rPr>
            <w:t xml:space="preserve"> </w:t>
          </w:r>
          <w:r>
            <w:t>rights</w:t>
          </w:r>
          <w:r>
            <w:rPr>
              <w:spacing w:val="-5"/>
            </w:rPr>
            <w:t xml:space="preserve"> </w:t>
          </w:r>
          <w:r>
            <w:t>enactments</w:t>
          </w:r>
          <w:r>
            <w:rPr>
              <w:spacing w:val="-5"/>
            </w:rPr>
            <w:t xml:space="preserve"> </w:t>
          </w:r>
          <w:r>
            <w:t>in</w:t>
          </w:r>
          <w:r>
            <w:rPr>
              <w:spacing w:val="-3"/>
            </w:rPr>
            <w:t xml:space="preserve"> </w:t>
          </w:r>
          <w:r>
            <w:t>judicial</w:t>
          </w:r>
          <w:r>
            <w:rPr>
              <w:spacing w:val="-5"/>
            </w:rPr>
            <w:t xml:space="preserve"> </w:t>
          </w:r>
          <w:r>
            <w:rPr>
              <w:spacing w:val="-2"/>
            </w:rPr>
            <w:t>reasoning</w:t>
          </w:r>
          <w:r>
            <w:tab/>
          </w:r>
          <w:r>
            <w:rPr>
              <w:spacing w:val="-5"/>
            </w:rPr>
            <w:t>43</w:t>
          </w:r>
        </w:p>
        <w:p w14:paraId="7CB25A4A" w14:textId="77777777" w:rsidR="008A4099" w:rsidRDefault="00000000">
          <w:pPr>
            <w:pStyle w:val="TOC2"/>
            <w:numPr>
              <w:ilvl w:val="1"/>
              <w:numId w:val="16"/>
            </w:numPr>
            <w:tabs>
              <w:tab w:val="left" w:pos="880"/>
              <w:tab w:val="left" w:leader="dot" w:pos="8957"/>
            </w:tabs>
            <w:spacing w:before="101"/>
          </w:pPr>
          <w:hyperlink w:anchor="_TOC_250033" w:history="1">
            <w:r w:rsidR="006A6EE2">
              <w:t>TLRI’s</w:t>
            </w:r>
            <w:r w:rsidR="006A6EE2">
              <w:rPr>
                <w:spacing w:val="-3"/>
              </w:rPr>
              <w:t xml:space="preserve"> </w:t>
            </w:r>
            <w:r w:rsidR="006A6EE2">
              <w:t>views</w:t>
            </w:r>
            <w:r w:rsidR="006A6EE2">
              <w:rPr>
                <w:spacing w:val="-5"/>
              </w:rPr>
              <w:t xml:space="preserve"> </w:t>
            </w:r>
            <w:r w:rsidR="006A6EE2">
              <w:t>and</w:t>
            </w:r>
            <w:r w:rsidR="006A6EE2">
              <w:rPr>
                <w:spacing w:val="-3"/>
              </w:rPr>
              <w:t xml:space="preserve"> </w:t>
            </w:r>
            <w:r w:rsidR="006A6EE2">
              <w:rPr>
                <w:spacing w:val="-2"/>
              </w:rPr>
              <w:t>recommendations</w:t>
            </w:r>
            <w:r w:rsidR="006A6EE2">
              <w:tab/>
            </w:r>
            <w:r w:rsidR="006A6EE2">
              <w:rPr>
                <w:spacing w:val="-5"/>
              </w:rPr>
              <w:t>46</w:t>
            </w:r>
          </w:hyperlink>
        </w:p>
        <w:p w14:paraId="7CB25A4B" w14:textId="77777777" w:rsidR="008A4099" w:rsidRDefault="006A6EE2">
          <w:pPr>
            <w:pStyle w:val="TOC4"/>
            <w:tabs>
              <w:tab w:val="left" w:leader="dot" w:pos="8957"/>
            </w:tabs>
            <w:spacing w:before="99"/>
            <w:rPr>
              <w:i w:val="0"/>
            </w:rPr>
          </w:pPr>
          <w:r>
            <w:t>Recommendation</w:t>
          </w:r>
          <w:r>
            <w:rPr>
              <w:spacing w:val="-4"/>
            </w:rPr>
            <w:t xml:space="preserve"> </w:t>
          </w:r>
          <w:r>
            <w:t>1</w:t>
          </w:r>
          <w:r>
            <w:rPr>
              <w:spacing w:val="-2"/>
            </w:rPr>
            <w:t xml:space="preserve"> </w:t>
          </w:r>
          <w:r>
            <w:t>–</w:t>
          </w:r>
          <w:r>
            <w:rPr>
              <w:spacing w:val="-3"/>
            </w:rPr>
            <w:t xml:space="preserve"> </w:t>
          </w:r>
          <w:r>
            <w:t>Tasmanian</w:t>
          </w:r>
          <w:r>
            <w:rPr>
              <w:spacing w:val="-3"/>
            </w:rPr>
            <w:t xml:space="preserve"> </w:t>
          </w:r>
          <w:r>
            <w:t>Human</w:t>
          </w:r>
          <w:r>
            <w:rPr>
              <w:spacing w:val="-3"/>
            </w:rPr>
            <w:t xml:space="preserve"> </w:t>
          </w:r>
          <w:r>
            <w:t>Rights</w:t>
          </w:r>
          <w:r>
            <w:rPr>
              <w:spacing w:val="-3"/>
            </w:rPr>
            <w:t xml:space="preserve"> </w:t>
          </w:r>
          <w:r>
            <w:rPr>
              <w:spacing w:val="-2"/>
            </w:rPr>
            <w:t>Enactment</w:t>
          </w:r>
          <w:r>
            <w:tab/>
          </w:r>
          <w:r>
            <w:rPr>
              <w:i w:val="0"/>
              <w:spacing w:val="-5"/>
            </w:rPr>
            <w:t>48</w:t>
          </w:r>
        </w:p>
        <w:p w14:paraId="7CB25A4C" w14:textId="77777777" w:rsidR="008A4099" w:rsidRDefault="006A6EE2">
          <w:pPr>
            <w:pStyle w:val="TOC1"/>
            <w:tabs>
              <w:tab w:val="left" w:leader="dot" w:pos="8957"/>
            </w:tabs>
          </w:pPr>
          <w:r>
            <w:t>Part</w:t>
          </w:r>
          <w:r>
            <w:rPr>
              <w:spacing w:val="-3"/>
            </w:rPr>
            <w:t xml:space="preserve"> </w:t>
          </w:r>
          <w:r>
            <w:t>4:</w:t>
          </w:r>
          <w:r>
            <w:rPr>
              <w:spacing w:val="-1"/>
            </w:rPr>
            <w:t xml:space="preserve"> </w:t>
          </w:r>
          <w:r>
            <w:t>Building</w:t>
          </w:r>
          <w:r>
            <w:rPr>
              <w:spacing w:val="-4"/>
            </w:rPr>
            <w:t xml:space="preserve"> </w:t>
          </w:r>
          <w:r>
            <w:t>on</w:t>
          </w:r>
          <w:r>
            <w:rPr>
              <w:spacing w:val="-3"/>
            </w:rPr>
            <w:t xml:space="preserve"> </w:t>
          </w:r>
          <w:r>
            <w:t>the</w:t>
          </w:r>
          <w:r>
            <w:rPr>
              <w:spacing w:val="-2"/>
            </w:rPr>
            <w:t xml:space="preserve"> </w:t>
          </w:r>
          <w:r>
            <w:t>TLRI’s</w:t>
          </w:r>
          <w:r>
            <w:rPr>
              <w:spacing w:val="-2"/>
            </w:rPr>
            <w:t xml:space="preserve"> </w:t>
          </w:r>
          <w:r>
            <w:t>2007</w:t>
          </w:r>
          <w:r>
            <w:rPr>
              <w:spacing w:val="-1"/>
            </w:rPr>
            <w:t xml:space="preserve"> </w:t>
          </w:r>
          <w:r>
            <w:rPr>
              <w:spacing w:val="-4"/>
            </w:rPr>
            <w:t>Model</w:t>
          </w:r>
          <w:r>
            <w:tab/>
          </w:r>
          <w:r>
            <w:rPr>
              <w:spacing w:val="-5"/>
            </w:rPr>
            <w:t>49</w:t>
          </w:r>
        </w:p>
        <w:p w14:paraId="7CB25A4D" w14:textId="77777777" w:rsidR="008A4099" w:rsidRDefault="00000000">
          <w:pPr>
            <w:pStyle w:val="TOC2"/>
            <w:numPr>
              <w:ilvl w:val="1"/>
              <w:numId w:val="15"/>
            </w:numPr>
            <w:tabs>
              <w:tab w:val="left" w:pos="880"/>
              <w:tab w:val="left" w:leader="dot" w:pos="8957"/>
            </w:tabs>
          </w:pPr>
          <w:hyperlink w:anchor="_TOC_250032" w:history="1">
            <w:r w:rsidR="006A6EE2">
              <w:rPr>
                <w:spacing w:val="-2"/>
              </w:rPr>
              <w:t>Introduction</w:t>
            </w:r>
            <w:r w:rsidR="006A6EE2">
              <w:tab/>
            </w:r>
            <w:r w:rsidR="006A6EE2">
              <w:rPr>
                <w:spacing w:val="-5"/>
              </w:rPr>
              <w:t>49</w:t>
            </w:r>
          </w:hyperlink>
        </w:p>
        <w:p w14:paraId="7CB25A4E" w14:textId="77777777" w:rsidR="008A4099" w:rsidRDefault="00000000">
          <w:pPr>
            <w:pStyle w:val="TOC2"/>
            <w:numPr>
              <w:ilvl w:val="1"/>
              <w:numId w:val="15"/>
            </w:numPr>
            <w:tabs>
              <w:tab w:val="left" w:pos="880"/>
              <w:tab w:val="left" w:leader="dot" w:pos="8957"/>
            </w:tabs>
          </w:pPr>
          <w:hyperlink w:anchor="_TOC_250031" w:history="1">
            <w:r w:rsidR="006A6EE2">
              <w:t>Who</w:t>
            </w:r>
            <w:r w:rsidR="006A6EE2">
              <w:rPr>
                <w:spacing w:val="-5"/>
              </w:rPr>
              <w:t xml:space="preserve"> </w:t>
            </w:r>
            <w:r w:rsidR="006A6EE2">
              <w:t>should</w:t>
            </w:r>
            <w:r w:rsidR="006A6EE2">
              <w:rPr>
                <w:spacing w:val="-5"/>
              </w:rPr>
              <w:t xml:space="preserve"> </w:t>
            </w:r>
            <w:r w:rsidR="006A6EE2">
              <w:t>have</w:t>
            </w:r>
            <w:r w:rsidR="006A6EE2">
              <w:rPr>
                <w:spacing w:val="-4"/>
              </w:rPr>
              <w:t xml:space="preserve"> </w:t>
            </w:r>
            <w:r w:rsidR="006A6EE2">
              <w:t>human</w:t>
            </w:r>
            <w:r w:rsidR="006A6EE2">
              <w:rPr>
                <w:spacing w:val="-5"/>
              </w:rPr>
              <w:t xml:space="preserve"> </w:t>
            </w:r>
            <w:r w:rsidR="006A6EE2">
              <w:t>rights</w:t>
            </w:r>
            <w:r w:rsidR="006A6EE2">
              <w:rPr>
                <w:spacing w:val="-2"/>
              </w:rPr>
              <w:t xml:space="preserve"> </w:t>
            </w:r>
            <w:r w:rsidR="006A6EE2">
              <w:t>under</w:t>
            </w:r>
            <w:r w:rsidR="006A6EE2">
              <w:rPr>
                <w:spacing w:val="-2"/>
              </w:rPr>
              <w:t xml:space="preserve"> </w:t>
            </w:r>
            <w:r w:rsidR="006A6EE2">
              <w:t>a</w:t>
            </w:r>
            <w:r w:rsidR="006A6EE2">
              <w:rPr>
                <w:spacing w:val="-3"/>
              </w:rPr>
              <w:t xml:space="preserve"> </w:t>
            </w:r>
            <w:r w:rsidR="006A6EE2">
              <w:t>Tasmanian</w:t>
            </w:r>
            <w:r w:rsidR="006A6EE2">
              <w:rPr>
                <w:spacing w:val="-2"/>
              </w:rPr>
              <w:t xml:space="preserve"> </w:t>
            </w:r>
            <w:r w:rsidR="006A6EE2">
              <w:t>human</w:t>
            </w:r>
            <w:r w:rsidR="006A6EE2">
              <w:rPr>
                <w:spacing w:val="-4"/>
              </w:rPr>
              <w:t xml:space="preserve"> </w:t>
            </w:r>
            <w:r w:rsidR="006A6EE2">
              <w:t>rights</w:t>
            </w:r>
            <w:r w:rsidR="006A6EE2">
              <w:rPr>
                <w:spacing w:val="-4"/>
              </w:rPr>
              <w:t xml:space="preserve"> </w:t>
            </w:r>
            <w:r w:rsidR="006A6EE2">
              <w:rPr>
                <w:spacing w:val="-2"/>
              </w:rPr>
              <w:t>enactment?</w:t>
            </w:r>
            <w:r w:rsidR="006A6EE2">
              <w:tab/>
            </w:r>
            <w:r w:rsidR="006A6EE2">
              <w:rPr>
                <w:spacing w:val="-5"/>
              </w:rPr>
              <w:t>49</w:t>
            </w:r>
          </w:hyperlink>
        </w:p>
        <w:p w14:paraId="7CB25A4F" w14:textId="77777777" w:rsidR="008A4099" w:rsidRDefault="00000000">
          <w:pPr>
            <w:pStyle w:val="TOC3"/>
            <w:tabs>
              <w:tab w:val="left" w:leader="dot" w:pos="8957"/>
            </w:tabs>
          </w:pPr>
          <w:hyperlink w:anchor="_TOC_250030" w:history="1">
            <w:r w:rsidR="006A6EE2">
              <w:t>Public</w:t>
            </w:r>
            <w:r w:rsidR="006A6EE2">
              <w:rPr>
                <w:spacing w:val="-1"/>
              </w:rPr>
              <w:t xml:space="preserve"> </w:t>
            </w:r>
            <w:r w:rsidR="006A6EE2">
              <w:rPr>
                <w:spacing w:val="-2"/>
              </w:rPr>
              <w:t>authorities</w:t>
            </w:r>
            <w:r w:rsidR="006A6EE2">
              <w:tab/>
            </w:r>
            <w:r w:rsidR="006A6EE2">
              <w:rPr>
                <w:spacing w:val="-5"/>
              </w:rPr>
              <w:t>49</w:t>
            </w:r>
          </w:hyperlink>
        </w:p>
        <w:p w14:paraId="7CB25A50" w14:textId="77777777" w:rsidR="008A4099" w:rsidRDefault="006A6EE2">
          <w:pPr>
            <w:pStyle w:val="TOC4"/>
            <w:tabs>
              <w:tab w:val="left" w:leader="dot" w:pos="8957"/>
            </w:tabs>
            <w:spacing w:before="102"/>
            <w:rPr>
              <w:i w:val="0"/>
            </w:rPr>
          </w:pPr>
          <w:r>
            <w:t>Recommendation</w:t>
          </w:r>
          <w:r>
            <w:rPr>
              <w:spacing w:val="-6"/>
            </w:rPr>
            <w:t xml:space="preserve"> </w:t>
          </w:r>
          <w:r>
            <w:t>2</w:t>
          </w:r>
          <w:r>
            <w:rPr>
              <w:spacing w:val="-4"/>
            </w:rPr>
            <w:t xml:space="preserve"> </w:t>
          </w:r>
          <w:r>
            <w:t>–</w:t>
          </w:r>
          <w:r>
            <w:rPr>
              <w:spacing w:val="-4"/>
            </w:rPr>
            <w:t xml:space="preserve"> </w:t>
          </w:r>
          <w:r>
            <w:t>Human</w:t>
          </w:r>
          <w:r>
            <w:rPr>
              <w:spacing w:val="-3"/>
            </w:rPr>
            <w:t xml:space="preserve"> </w:t>
          </w:r>
          <w:r>
            <w:t>Rights</w:t>
          </w:r>
          <w:r>
            <w:rPr>
              <w:spacing w:val="-4"/>
            </w:rPr>
            <w:t xml:space="preserve"> </w:t>
          </w:r>
          <w:r>
            <w:t>Obligations</w:t>
          </w:r>
          <w:r>
            <w:rPr>
              <w:spacing w:val="-4"/>
            </w:rPr>
            <w:t xml:space="preserve"> </w:t>
          </w:r>
          <w:r>
            <w:t>of</w:t>
          </w:r>
          <w:r>
            <w:rPr>
              <w:spacing w:val="-4"/>
            </w:rPr>
            <w:t xml:space="preserve"> </w:t>
          </w:r>
          <w:r>
            <w:t>Public</w:t>
          </w:r>
          <w:r>
            <w:rPr>
              <w:spacing w:val="-3"/>
            </w:rPr>
            <w:t xml:space="preserve"> </w:t>
          </w:r>
          <w:r>
            <w:rPr>
              <w:spacing w:val="-2"/>
            </w:rPr>
            <w:t>Authorities</w:t>
          </w:r>
          <w:r>
            <w:tab/>
          </w:r>
          <w:r>
            <w:rPr>
              <w:i w:val="0"/>
              <w:spacing w:val="-5"/>
            </w:rPr>
            <w:t>53</w:t>
          </w:r>
        </w:p>
        <w:p w14:paraId="7CB25A51" w14:textId="77777777" w:rsidR="008A4099" w:rsidRDefault="006A6EE2">
          <w:pPr>
            <w:pStyle w:val="TOC4"/>
            <w:tabs>
              <w:tab w:val="left" w:leader="dot" w:pos="8957"/>
            </w:tabs>
            <w:rPr>
              <w:i w:val="0"/>
            </w:rPr>
          </w:pPr>
          <w:r>
            <w:t>Recommendation</w:t>
          </w:r>
          <w:r>
            <w:rPr>
              <w:spacing w:val="-5"/>
            </w:rPr>
            <w:t xml:space="preserve"> </w:t>
          </w:r>
          <w:r>
            <w:t>3</w:t>
          </w:r>
          <w:r>
            <w:rPr>
              <w:spacing w:val="-3"/>
            </w:rPr>
            <w:t xml:space="preserve"> </w:t>
          </w:r>
          <w:r>
            <w:t>–</w:t>
          </w:r>
          <w:r>
            <w:rPr>
              <w:spacing w:val="-4"/>
            </w:rPr>
            <w:t xml:space="preserve"> </w:t>
          </w:r>
          <w:r>
            <w:t>Public</w:t>
          </w:r>
          <w:r>
            <w:rPr>
              <w:spacing w:val="-4"/>
            </w:rPr>
            <w:t xml:space="preserve"> </w:t>
          </w:r>
          <w:r>
            <w:t>Authorities:</w:t>
          </w:r>
          <w:r>
            <w:rPr>
              <w:spacing w:val="-6"/>
            </w:rPr>
            <w:t xml:space="preserve"> </w:t>
          </w:r>
          <w:r>
            <w:rPr>
              <w:spacing w:val="-2"/>
            </w:rPr>
            <w:t>Definition</w:t>
          </w:r>
          <w:r>
            <w:tab/>
          </w:r>
          <w:r>
            <w:rPr>
              <w:i w:val="0"/>
              <w:spacing w:val="-5"/>
            </w:rPr>
            <w:t>53</w:t>
          </w:r>
        </w:p>
        <w:p w14:paraId="7CB25A52" w14:textId="77777777" w:rsidR="008A4099" w:rsidRDefault="00000000">
          <w:pPr>
            <w:pStyle w:val="TOC3"/>
            <w:tabs>
              <w:tab w:val="left" w:leader="dot" w:pos="8957"/>
            </w:tabs>
          </w:pPr>
          <w:hyperlink w:anchor="_TOC_250029" w:history="1">
            <w:r w:rsidR="006A6EE2">
              <w:t>Courts</w:t>
            </w:r>
            <w:r w:rsidR="006A6EE2">
              <w:rPr>
                <w:spacing w:val="-2"/>
              </w:rPr>
              <w:t xml:space="preserve"> </w:t>
            </w:r>
            <w:r w:rsidR="006A6EE2">
              <w:t>and</w:t>
            </w:r>
            <w:r w:rsidR="006A6EE2">
              <w:rPr>
                <w:spacing w:val="-4"/>
              </w:rPr>
              <w:t xml:space="preserve"> </w:t>
            </w:r>
            <w:r w:rsidR="006A6EE2">
              <w:rPr>
                <w:spacing w:val="-2"/>
              </w:rPr>
              <w:t>tribunals</w:t>
            </w:r>
            <w:r w:rsidR="006A6EE2">
              <w:tab/>
            </w:r>
            <w:r w:rsidR="006A6EE2">
              <w:rPr>
                <w:spacing w:val="-5"/>
              </w:rPr>
              <w:t>53</w:t>
            </w:r>
          </w:hyperlink>
        </w:p>
        <w:p w14:paraId="7CB25A53" w14:textId="77777777" w:rsidR="008A4099" w:rsidRDefault="00000000">
          <w:pPr>
            <w:pStyle w:val="TOC3"/>
            <w:tabs>
              <w:tab w:val="left" w:leader="dot" w:pos="8957"/>
            </w:tabs>
            <w:spacing w:before="99"/>
          </w:pPr>
          <w:hyperlink w:anchor="_TOC_250028" w:history="1">
            <w:r w:rsidR="006A6EE2">
              <w:t>Interpreting</w:t>
            </w:r>
            <w:r w:rsidR="006A6EE2">
              <w:rPr>
                <w:spacing w:val="-6"/>
              </w:rPr>
              <w:t xml:space="preserve"> </w:t>
            </w:r>
            <w:r w:rsidR="006A6EE2">
              <w:t>the</w:t>
            </w:r>
            <w:r w:rsidR="006A6EE2">
              <w:rPr>
                <w:spacing w:val="-5"/>
              </w:rPr>
              <w:t xml:space="preserve"> law</w:t>
            </w:r>
            <w:r w:rsidR="006A6EE2">
              <w:tab/>
            </w:r>
            <w:r w:rsidR="006A6EE2">
              <w:rPr>
                <w:spacing w:val="-5"/>
              </w:rPr>
              <w:t>53</w:t>
            </w:r>
          </w:hyperlink>
        </w:p>
        <w:p w14:paraId="7CB25A54" w14:textId="77777777" w:rsidR="008A4099" w:rsidRDefault="00000000">
          <w:pPr>
            <w:pStyle w:val="TOC3"/>
            <w:tabs>
              <w:tab w:val="left" w:leader="dot" w:pos="8957"/>
            </w:tabs>
            <w:spacing w:before="101"/>
          </w:pPr>
          <w:hyperlink w:anchor="_TOC_250027" w:history="1">
            <w:r w:rsidR="006A6EE2">
              <w:t>Courts</w:t>
            </w:r>
            <w:r w:rsidR="006A6EE2">
              <w:rPr>
                <w:spacing w:val="-3"/>
              </w:rPr>
              <w:t xml:space="preserve"> </w:t>
            </w:r>
            <w:r w:rsidR="006A6EE2">
              <w:t>and</w:t>
            </w:r>
            <w:r w:rsidR="006A6EE2">
              <w:rPr>
                <w:spacing w:val="-6"/>
              </w:rPr>
              <w:t xml:space="preserve"> </w:t>
            </w:r>
            <w:r w:rsidR="006A6EE2">
              <w:t>tribunals</w:t>
            </w:r>
            <w:r w:rsidR="006A6EE2">
              <w:rPr>
                <w:spacing w:val="-4"/>
              </w:rPr>
              <w:t xml:space="preserve"> </w:t>
            </w:r>
            <w:r w:rsidR="006A6EE2">
              <w:t>as</w:t>
            </w:r>
            <w:r w:rsidR="006A6EE2">
              <w:rPr>
                <w:spacing w:val="-3"/>
              </w:rPr>
              <w:t xml:space="preserve"> </w:t>
            </w:r>
            <w:r w:rsidR="006A6EE2">
              <w:t>public</w:t>
            </w:r>
            <w:r w:rsidR="006A6EE2">
              <w:rPr>
                <w:spacing w:val="-4"/>
              </w:rPr>
              <w:t xml:space="preserve"> </w:t>
            </w:r>
            <w:r w:rsidR="006A6EE2">
              <w:rPr>
                <w:spacing w:val="-2"/>
              </w:rPr>
              <w:t>authorities</w:t>
            </w:r>
            <w:r w:rsidR="006A6EE2">
              <w:tab/>
            </w:r>
            <w:r w:rsidR="006A6EE2">
              <w:rPr>
                <w:spacing w:val="-5"/>
              </w:rPr>
              <w:t>55</w:t>
            </w:r>
          </w:hyperlink>
        </w:p>
        <w:p w14:paraId="7CB25A55" w14:textId="77777777" w:rsidR="008A4099" w:rsidRDefault="006A6EE2">
          <w:pPr>
            <w:pStyle w:val="TOC4"/>
            <w:tabs>
              <w:tab w:val="left" w:leader="dot" w:pos="8957"/>
            </w:tabs>
            <w:rPr>
              <w:i w:val="0"/>
            </w:rPr>
          </w:pPr>
          <w:r>
            <w:t>Inclusion</w:t>
          </w:r>
          <w:r>
            <w:rPr>
              <w:spacing w:val="-3"/>
            </w:rPr>
            <w:t xml:space="preserve"> </w:t>
          </w:r>
          <w:r>
            <w:t>of</w:t>
          </w:r>
          <w:r>
            <w:rPr>
              <w:spacing w:val="-2"/>
            </w:rPr>
            <w:t xml:space="preserve"> </w:t>
          </w:r>
          <w:r>
            <w:t>Courts</w:t>
          </w:r>
          <w:r>
            <w:rPr>
              <w:spacing w:val="-3"/>
            </w:rPr>
            <w:t xml:space="preserve"> </w:t>
          </w:r>
          <w:r>
            <w:t>and</w:t>
          </w:r>
          <w:r>
            <w:rPr>
              <w:spacing w:val="-2"/>
            </w:rPr>
            <w:t xml:space="preserve"> Tribunals</w:t>
          </w:r>
          <w:r>
            <w:tab/>
          </w:r>
          <w:r>
            <w:rPr>
              <w:i w:val="0"/>
              <w:spacing w:val="-5"/>
            </w:rPr>
            <w:t>58</w:t>
          </w:r>
        </w:p>
        <w:p w14:paraId="7CB25A56" w14:textId="77777777" w:rsidR="008A4099" w:rsidRDefault="006A6EE2">
          <w:pPr>
            <w:pStyle w:val="TOC4"/>
            <w:tabs>
              <w:tab w:val="left" w:leader="dot" w:pos="8957"/>
            </w:tabs>
            <w:spacing w:before="99"/>
            <w:rPr>
              <w:i w:val="0"/>
            </w:rPr>
          </w:pPr>
          <w:r>
            <w:t>Recommendation</w:t>
          </w:r>
          <w:r>
            <w:rPr>
              <w:spacing w:val="-8"/>
            </w:rPr>
            <w:t xml:space="preserve"> </w:t>
          </w:r>
          <w:r>
            <w:rPr>
              <w:spacing w:val="-10"/>
            </w:rPr>
            <w:t>4</w:t>
          </w:r>
          <w:r>
            <w:tab/>
          </w:r>
          <w:r>
            <w:rPr>
              <w:i w:val="0"/>
              <w:spacing w:val="-5"/>
            </w:rPr>
            <w:t>58</w:t>
          </w:r>
        </w:p>
        <w:p w14:paraId="7CB25A57" w14:textId="77777777" w:rsidR="008A4099" w:rsidRDefault="006A6EE2">
          <w:pPr>
            <w:pStyle w:val="TOC4"/>
            <w:tabs>
              <w:tab w:val="left" w:leader="dot" w:pos="8957"/>
            </w:tabs>
            <w:rPr>
              <w:i w:val="0"/>
            </w:rPr>
          </w:pPr>
          <w:r>
            <w:t>Recommendation</w:t>
          </w:r>
          <w:r>
            <w:rPr>
              <w:spacing w:val="-8"/>
            </w:rPr>
            <w:t xml:space="preserve"> </w:t>
          </w:r>
          <w:r>
            <w:rPr>
              <w:spacing w:val="-10"/>
            </w:rPr>
            <w:t>5</w:t>
          </w:r>
          <w:r>
            <w:tab/>
          </w:r>
          <w:r>
            <w:rPr>
              <w:i w:val="0"/>
              <w:spacing w:val="-5"/>
            </w:rPr>
            <w:t>58</w:t>
          </w:r>
        </w:p>
        <w:p w14:paraId="7CB25A58" w14:textId="77777777" w:rsidR="008A4099" w:rsidRDefault="00000000">
          <w:pPr>
            <w:pStyle w:val="TOC3"/>
            <w:tabs>
              <w:tab w:val="left" w:leader="dot" w:pos="8957"/>
            </w:tabs>
          </w:pPr>
          <w:hyperlink w:anchor="_TOC_250026" w:history="1">
            <w:r w:rsidR="006A6EE2">
              <w:t>Other</w:t>
            </w:r>
            <w:r w:rsidR="006A6EE2">
              <w:rPr>
                <w:spacing w:val="-6"/>
              </w:rPr>
              <w:t xml:space="preserve"> </w:t>
            </w:r>
            <w:r w:rsidR="006A6EE2">
              <w:t>exempted</w:t>
            </w:r>
            <w:r w:rsidR="006A6EE2">
              <w:rPr>
                <w:spacing w:val="-3"/>
              </w:rPr>
              <w:t xml:space="preserve"> </w:t>
            </w:r>
            <w:r w:rsidR="006A6EE2">
              <w:rPr>
                <w:spacing w:val="-2"/>
              </w:rPr>
              <w:t>organisations</w:t>
            </w:r>
            <w:r w:rsidR="006A6EE2">
              <w:tab/>
            </w:r>
            <w:r w:rsidR="006A6EE2">
              <w:rPr>
                <w:spacing w:val="-5"/>
              </w:rPr>
              <w:t>58</w:t>
            </w:r>
          </w:hyperlink>
        </w:p>
        <w:p w14:paraId="7CB25A59" w14:textId="77777777" w:rsidR="008A4099" w:rsidRDefault="006A6EE2">
          <w:pPr>
            <w:pStyle w:val="TOC4"/>
            <w:tabs>
              <w:tab w:val="left" w:leader="dot" w:pos="8957"/>
            </w:tabs>
            <w:rPr>
              <w:i w:val="0"/>
            </w:rPr>
          </w:pPr>
          <w:r>
            <w:t>Recommendation</w:t>
          </w:r>
          <w:r>
            <w:rPr>
              <w:spacing w:val="-4"/>
            </w:rPr>
            <w:t xml:space="preserve"> </w:t>
          </w:r>
          <w:r>
            <w:t>6</w:t>
          </w:r>
          <w:r>
            <w:rPr>
              <w:spacing w:val="-3"/>
            </w:rPr>
            <w:t xml:space="preserve"> </w:t>
          </w:r>
          <w:r>
            <w:t>–</w:t>
          </w:r>
          <w:r>
            <w:rPr>
              <w:spacing w:val="-4"/>
            </w:rPr>
            <w:t xml:space="preserve"> </w:t>
          </w:r>
          <w:r>
            <w:t>Exempt</w:t>
          </w:r>
          <w:r>
            <w:rPr>
              <w:spacing w:val="-2"/>
            </w:rPr>
            <w:t xml:space="preserve"> Organisations</w:t>
          </w:r>
          <w:r>
            <w:tab/>
          </w:r>
          <w:r>
            <w:rPr>
              <w:i w:val="0"/>
              <w:spacing w:val="-5"/>
            </w:rPr>
            <w:t>59</w:t>
          </w:r>
        </w:p>
        <w:p w14:paraId="7CB25A5A" w14:textId="77777777" w:rsidR="008A4099" w:rsidRDefault="00000000">
          <w:pPr>
            <w:pStyle w:val="TOC2"/>
            <w:numPr>
              <w:ilvl w:val="1"/>
              <w:numId w:val="15"/>
            </w:numPr>
            <w:tabs>
              <w:tab w:val="left" w:pos="880"/>
              <w:tab w:val="left" w:leader="dot" w:pos="8957"/>
            </w:tabs>
          </w:pPr>
          <w:hyperlink w:anchor="_TOC_250025" w:history="1">
            <w:r w:rsidR="006A6EE2">
              <w:t>What</w:t>
            </w:r>
            <w:r w:rsidR="006A6EE2">
              <w:rPr>
                <w:spacing w:val="-4"/>
              </w:rPr>
              <w:t xml:space="preserve"> </w:t>
            </w:r>
            <w:r w:rsidR="006A6EE2">
              <w:t>rights</w:t>
            </w:r>
            <w:r w:rsidR="006A6EE2">
              <w:rPr>
                <w:spacing w:val="-2"/>
              </w:rPr>
              <w:t xml:space="preserve"> </w:t>
            </w:r>
            <w:r w:rsidR="006A6EE2">
              <w:t>should</w:t>
            </w:r>
            <w:r w:rsidR="006A6EE2">
              <w:rPr>
                <w:spacing w:val="-5"/>
              </w:rPr>
              <w:t xml:space="preserve"> </w:t>
            </w:r>
            <w:r w:rsidR="006A6EE2">
              <w:t>be</w:t>
            </w:r>
            <w:r w:rsidR="006A6EE2">
              <w:rPr>
                <w:spacing w:val="-1"/>
              </w:rPr>
              <w:t xml:space="preserve"> </w:t>
            </w:r>
            <w:r w:rsidR="006A6EE2">
              <w:rPr>
                <w:spacing w:val="-2"/>
              </w:rPr>
              <w:t>protected?</w:t>
            </w:r>
            <w:r w:rsidR="006A6EE2">
              <w:tab/>
            </w:r>
            <w:r w:rsidR="006A6EE2">
              <w:rPr>
                <w:spacing w:val="-5"/>
              </w:rPr>
              <w:t>59</w:t>
            </w:r>
          </w:hyperlink>
        </w:p>
        <w:p w14:paraId="7CB25A5B" w14:textId="77777777" w:rsidR="008A4099" w:rsidRDefault="00000000">
          <w:pPr>
            <w:pStyle w:val="TOC3"/>
            <w:tabs>
              <w:tab w:val="left" w:leader="dot" w:pos="8957"/>
            </w:tabs>
            <w:spacing w:before="99"/>
          </w:pPr>
          <w:hyperlink w:anchor="_TOC_250024" w:history="1">
            <w:r w:rsidR="006A6EE2">
              <w:t>Extension</w:t>
            </w:r>
            <w:r w:rsidR="006A6EE2">
              <w:rPr>
                <w:spacing w:val="-6"/>
              </w:rPr>
              <w:t xml:space="preserve"> </w:t>
            </w:r>
            <w:r w:rsidR="006A6EE2">
              <w:t>beyond</w:t>
            </w:r>
            <w:r w:rsidR="006A6EE2">
              <w:rPr>
                <w:spacing w:val="-3"/>
              </w:rPr>
              <w:t xml:space="preserve"> </w:t>
            </w:r>
            <w:r w:rsidR="006A6EE2">
              <w:t>civil</w:t>
            </w:r>
            <w:r w:rsidR="006A6EE2">
              <w:rPr>
                <w:spacing w:val="-2"/>
              </w:rPr>
              <w:t xml:space="preserve"> </w:t>
            </w:r>
            <w:r w:rsidR="006A6EE2">
              <w:t>and</w:t>
            </w:r>
            <w:r w:rsidR="006A6EE2">
              <w:rPr>
                <w:spacing w:val="-8"/>
              </w:rPr>
              <w:t xml:space="preserve"> </w:t>
            </w:r>
            <w:r w:rsidR="006A6EE2">
              <w:t>political</w:t>
            </w:r>
            <w:r w:rsidR="006A6EE2">
              <w:rPr>
                <w:spacing w:val="-1"/>
              </w:rPr>
              <w:t xml:space="preserve"> </w:t>
            </w:r>
            <w:r w:rsidR="006A6EE2">
              <w:rPr>
                <w:spacing w:val="-2"/>
              </w:rPr>
              <w:t>rights</w:t>
            </w:r>
            <w:r w:rsidR="006A6EE2">
              <w:tab/>
            </w:r>
            <w:r w:rsidR="006A6EE2">
              <w:rPr>
                <w:spacing w:val="-5"/>
              </w:rPr>
              <w:t>59</w:t>
            </w:r>
          </w:hyperlink>
        </w:p>
        <w:p w14:paraId="7CB25A5C" w14:textId="77777777" w:rsidR="008A4099" w:rsidRDefault="00000000">
          <w:pPr>
            <w:pStyle w:val="TOC3"/>
            <w:tabs>
              <w:tab w:val="left" w:leader="dot" w:pos="8957"/>
            </w:tabs>
          </w:pPr>
          <w:hyperlink w:anchor="_TOC_250023" w:history="1">
            <w:r w:rsidR="006A6EE2">
              <w:t>Right</w:t>
            </w:r>
            <w:r w:rsidR="006A6EE2">
              <w:rPr>
                <w:spacing w:val="-3"/>
              </w:rPr>
              <w:t xml:space="preserve"> </w:t>
            </w:r>
            <w:r w:rsidR="006A6EE2">
              <w:t xml:space="preserve">to </w:t>
            </w:r>
            <w:r w:rsidR="006A6EE2">
              <w:rPr>
                <w:spacing w:val="-2"/>
              </w:rPr>
              <w:t>education</w:t>
            </w:r>
            <w:r w:rsidR="006A6EE2">
              <w:tab/>
            </w:r>
            <w:r w:rsidR="006A6EE2">
              <w:rPr>
                <w:spacing w:val="-5"/>
              </w:rPr>
              <w:t>61</w:t>
            </w:r>
          </w:hyperlink>
        </w:p>
        <w:p w14:paraId="7CB25A5D" w14:textId="77777777" w:rsidR="008A4099" w:rsidRDefault="00000000">
          <w:pPr>
            <w:pStyle w:val="TOC3"/>
            <w:tabs>
              <w:tab w:val="left" w:leader="dot" w:pos="8957"/>
            </w:tabs>
          </w:pPr>
          <w:hyperlink w:anchor="_TOC_250022" w:history="1">
            <w:r w:rsidR="006A6EE2">
              <w:t>Rights</w:t>
            </w:r>
            <w:r w:rsidR="006A6EE2">
              <w:rPr>
                <w:spacing w:val="-5"/>
              </w:rPr>
              <w:t xml:space="preserve"> </w:t>
            </w:r>
            <w:r w:rsidR="006A6EE2">
              <w:t>of</w:t>
            </w:r>
            <w:r w:rsidR="006A6EE2">
              <w:rPr>
                <w:spacing w:val="-3"/>
              </w:rPr>
              <w:t xml:space="preserve"> </w:t>
            </w:r>
            <w:r w:rsidR="006A6EE2">
              <w:t>Tasmania’s</w:t>
            </w:r>
            <w:r w:rsidR="006A6EE2">
              <w:rPr>
                <w:spacing w:val="-5"/>
              </w:rPr>
              <w:t xml:space="preserve"> </w:t>
            </w:r>
            <w:r w:rsidR="006A6EE2">
              <w:t>First</w:t>
            </w:r>
            <w:r w:rsidR="006A6EE2">
              <w:rPr>
                <w:spacing w:val="-6"/>
              </w:rPr>
              <w:t xml:space="preserve"> </w:t>
            </w:r>
            <w:r w:rsidR="006A6EE2">
              <w:t>Nations</w:t>
            </w:r>
            <w:r w:rsidR="006A6EE2">
              <w:rPr>
                <w:spacing w:val="-4"/>
              </w:rPr>
              <w:t xml:space="preserve"> </w:t>
            </w:r>
            <w:r w:rsidR="006A6EE2">
              <w:rPr>
                <w:spacing w:val="-2"/>
              </w:rPr>
              <w:t>people</w:t>
            </w:r>
            <w:r w:rsidR="006A6EE2">
              <w:tab/>
            </w:r>
            <w:r w:rsidR="006A6EE2">
              <w:rPr>
                <w:spacing w:val="-5"/>
              </w:rPr>
              <w:t>61</w:t>
            </w:r>
          </w:hyperlink>
        </w:p>
        <w:p w14:paraId="7CB25A5E" w14:textId="77777777" w:rsidR="008A4099" w:rsidRDefault="00000000">
          <w:pPr>
            <w:pStyle w:val="TOC3"/>
            <w:tabs>
              <w:tab w:val="left" w:leader="dot" w:pos="8957"/>
            </w:tabs>
            <w:spacing w:before="103"/>
          </w:pPr>
          <w:hyperlink w:anchor="_TOC_250021" w:history="1">
            <w:r w:rsidR="006A6EE2">
              <w:t>Right</w:t>
            </w:r>
            <w:r w:rsidR="006A6EE2">
              <w:rPr>
                <w:spacing w:val="-5"/>
              </w:rPr>
              <w:t xml:space="preserve"> </w:t>
            </w:r>
            <w:r w:rsidR="006A6EE2">
              <w:t xml:space="preserve">to </w:t>
            </w:r>
            <w:r w:rsidR="006A6EE2">
              <w:rPr>
                <w:spacing w:val="-4"/>
              </w:rPr>
              <w:t>work</w:t>
            </w:r>
            <w:r w:rsidR="006A6EE2">
              <w:tab/>
            </w:r>
            <w:r w:rsidR="006A6EE2">
              <w:rPr>
                <w:spacing w:val="-5"/>
              </w:rPr>
              <w:t>62</w:t>
            </w:r>
          </w:hyperlink>
        </w:p>
        <w:p w14:paraId="7CB25A5F" w14:textId="77777777" w:rsidR="008A4099" w:rsidRDefault="00000000">
          <w:pPr>
            <w:pStyle w:val="TOC3"/>
            <w:tabs>
              <w:tab w:val="left" w:leader="dot" w:pos="8957"/>
            </w:tabs>
          </w:pPr>
          <w:hyperlink w:anchor="_TOC_250020" w:history="1">
            <w:r w:rsidR="006A6EE2">
              <w:t>Health</w:t>
            </w:r>
            <w:r w:rsidR="006A6EE2">
              <w:rPr>
                <w:spacing w:val="-4"/>
              </w:rPr>
              <w:t xml:space="preserve"> </w:t>
            </w:r>
            <w:r w:rsidR="006A6EE2">
              <w:rPr>
                <w:spacing w:val="-2"/>
              </w:rPr>
              <w:t>rights</w:t>
            </w:r>
            <w:r w:rsidR="006A6EE2">
              <w:tab/>
            </w:r>
            <w:r w:rsidR="006A6EE2">
              <w:rPr>
                <w:spacing w:val="-5"/>
              </w:rPr>
              <w:t>63</w:t>
            </w:r>
          </w:hyperlink>
        </w:p>
        <w:p w14:paraId="7CB25A60" w14:textId="77777777" w:rsidR="008A4099" w:rsidRDefault="00000000">
          <w:pPr>
            <w:pStyle w:val="TOC3"/>
            <w:tabs>
              <w:tab w:val="left" w:leader="dot" w:pos="8957"/>
            </w:tabs>
            <w:spacing w:before="99"/>
          </w:pPr>
          <w:hyperlink w:anchor="_TOC_250019" w:history="1">
            <w:r w:rsidR="006A6EE2">
              <w:t>Right</w:t>
            </w:r>
            <w:r w:rsidR="006A6EE2">
              <w:rPr>
                <w:spacing w:val="-5"/>
              </w:rPr>
              <w:t xml:space="preserve"> </w:t>
            </w:r>
            <w:r w:rsidR="006A6EE2">
              <w:t xml:space="preserve">to </w:t>
            </w:r>
            <w:r w:rsidR="006A6EE2">
              <w:rPr>
                <w:spacing w:val="-2"/>
              </w:rPr>
              <w:t>housing</w:t>
            </w:r>
            <w:r w:rsidR="006A6EE2">
              <w:tab/>
            </w:r>
            <w:r w:rsidR="006A6EE2">
              <w:rPr>
                <w:spacing w:val="-5"/>
              </w:rPr>
              <w:t>64</w:t>
            </w:r>
          </w:hyperlink>
        </w:p>
        <w:p w14:paraId="7CB25A61" w14:textId="77777777" w:rsidR="008A4099" w:rsidRDefault="00000000">
          <w:pPr>
            <w:pStyle w:val="TOC3"/>
            <w:tabs>
              <w:tab w:val="left" w:leader="dot" w:pos="8957"/>
            </w:tabs>
          </w:pPr>
          <w:hyperlink w:anchor="_TOC_250018" w:history="1">
            <w:r w:rsidR="006A6EE2">
              <w:t>Right</w:t>
            </w:r>
            <w:r w:rsidR="006A6EE2">
              <w:rPr>
                <w:spacing w:val="-3"/>
              </w:rPr>
              <w:t xml:space="preserve"> </w:t>
            </w:r>
            <w:r w:rsidR="006A6EE2">
              <w:t>to</w:t>
            </w:r>
            <w:r w:rsidR="006A6EE2">
              <w:rPr>
                <w:spacing w:val="-1"/>
              </w:rPr>
              <w:t xml:space="preserve"> </w:t>
            </w:r>
            <w:r w:rsidR="006A6EE2">
              <w:t>a</w:t>
            </w:r>
            <w:r w:rsidR="006A6EE2">
              <w:rPr>
                <w:spacing w:val="-3"/>
              </w:rPr>
              <w:t xml:space="preserve"> </w:t>
            </w:r>
            <w:r w:rsidR="006A6EE2">
              <w:t xml:space="preserve">safe </w:t>
            </w:r>
            <w:r w:rsidR="006A6EE2">
              <w:rPr>
                <w:spacing w:val="-2"/>
              </w:rPr>
              <w:t>environment</w:t>
            </w:r>
            <w:r w:rsidR="006A6EE2">
              <w:tab/>
            </w:r>
            <w:r w:rsidR="006A6EE2">
              <w:rPr>
                <w:spacing w:val="-5"/>
              </w:rPr>
              <w:t>64</w:t>
            </w:r>
          </w:hyperlink>
        </w:p>
        <w:p w14:paraId="7CB25A62" w14:textId="685071AE" w:rsidR="008A4099" w:rsidRDefault="00000000">
          <w:pPr>
            <w:pStyle w:val="TOC3"/>
            <w:tabs>
              <w:tab w:val="left" w:leader="dot" w:pos="8957"/>
            </w:tabs>
            <w:spacing w:before="98"/>
            <w:ind w:right="683"/>
          </w:pPr>
          <w:hyperlink w:anchor="_TOC_250017" w:history="1">
            <w:r w:rsidR="006A6EE2">
              <w:t>Summary</w:t>
            </w:r>
            <w:r w:rsidR="006A6EE2">
              <w:rPr>
                <w:spacing w:val="23"/>
              </w:rPr>
              <w:t xml:space="preserve"> </w:t>
            </w:r>
            <w:r w:rsidR="006A6EE2">
              <w:t>of</w:t>
            </w:r>
            <w:r w:rsidR="006A6EE2">
              <w:rPr>
                <w:spacing w:val="21"/>
              </w:rPr>
              <w:t xml:space="preserve"> </w:t>
            </w:r>
            <w:r w:rsidR="006A6EE2">
              <w:t>the</w:t>
            </w:r>
            <w:r w:rsidR="006A6EE2">
              <w:rPr>
                <w:spacing w:val="23"/>
              </w:rPr>
              <w:t xml:space="preserve"> </w:t>
            </w:r>
            <w:r w:rsidR="006A6EE2">
              <w:t>TLRI</w:t>
            </w:r>
            <w:r w:rsidR="006847A3">
              <w:t>’s</w:t>
            </w:r>
            <w:r w:rsidR="006A6EE2">
              <w:rPr>
                <w:spacing w:val="21"/>
              </w:rPr>
              <w:t xml:space="preserve"> </w:t>
            </w:r>
            <w:r w:rsidR="006A6EE2">
              <w:t>views</w:t>
            </w:r>
            <w:r w:rsidR="006A6EE2">
              <w:rPr>
                <w:spacing w:val="23"/>
              </w:rPr>
              <w:t xml:space="preserve"> </w:t>
            </w:r>
            <w:r w:rsidR="006A6EE2">
              <w:t>and</w:t>
            </w:r>
            <w:r w:rsidR="006A6EE2">
              <w:rPr>
                <w:spacing w:val="21"/>
              </w:rPr>
              <w:t xml:space="preserve"> </w:t>
            </w:r>
            <w:r w:rsidR="006A6EE2">
              <w:t>recommendations</w:t>
            </w:r>
            <w:r w:rsidR="006A6EE2">
              <w:rPr>
                <w:spacing w:val="21"/>
              </w:rPr>
              <w:t xml:space="preserve"> </w:t>
            </w:r>
            <w:r w:rsidR="006A6EE2">
              <w:t>on</w:t>
            </w:r>
            <w:r w:rsidR="006A6EE2">
              <w:rPr>
                <w:spacing w:val="23"/>
              </w:rPr>
              <w:t xml:space="preserve"> </w:t>
            </w:r>
            <w:r w:rsidR="006A6EE2">
              <w:t>specific</w:t>
            </w:r>
            <w:r w:rsidR="006A6EE2">
              <w:rPr>
                <w:spacing w:val="23"/>
              </w:rPr>
              <w:t xml:space="preserve"> </w:t>
            </w:r>
            <w:r w:rsidR="006A6EE2">
              <w:t>rights</w:t>
            </w:r>
            <w:r w:rsidR="006A6EE2">
              <w:rPr>
                <w:spacing w:val="21"/>
              </w:rPr>
              <w:t xml:space="preserve"> </w:t>
            </w:r>
            <w:r w:rsidR="006A6EE2">
              <w:t>to</w:t>
            </w:r>
            <w:r w:rsidR="006A6EE2">
              <w:rPr>
                <w:spacing w:val="23"/>
              </w:rPr>
              <w:t xml:space="preserve"> </w:t>
            </w:r>
            <w:r w:rsidR="006A6EE2">
              <w:t>be</w:t>
            </w:r>
            <w:r w:rsidR="006A6EE2">
              <w:rPr>
                <w:spacing w:val="23"/>
              </w:rPr>
              <w:t xml:space="preserve"> </w:t>
            </w:r>
            <w:r w:rsidR="006A6EE2">
              <w:t>included</w:t>
            </w:r>
            <w:r w:rsidR="006A6EE2">
              <w:rPr>
                <w:spacing w:val="23"/>
              </w:rPr>
              <w:t xml:space="preserve"> </w:t>
            </w:r>
            <w:r w:rsidR="006A6EE2">
              <w:t>in</w:t>
            </w:r>
            <w:r w:rsidR="006A6EE2">
              <w:rPr>
                <w:spacing w:val="23"/>
              </w:rPr>
              <w:t xml:space="preserve"> </w:t>
            </w:r>
            <w:r w:rsidR="006A6EE2">
              <w:t xml:space="preserve">the </w:t>
            </w:r>
            <w:r w:rsidR="006A6EE2">
              <w:rPr>
                <w:spacing w:val="-2"/>
              </w:rPr>
              <w:t>Charter</w:t>
            </w:r>
            <w:r w:rsidR="006A6EE2">
              <w:tab/>
            </w:r>
            <w:r w:rsidR="006A6EE2">
              <w:rPr>
                <w:spacing w:val="-5"/>
              </w:rPr>
              <w:t>65</w:t>
            </w:r>
          </w:hyperlink>
        </w:p>
        <w:p w14:paraId="7CB25A63" w14:textId="77777777" w:rsidR="008A4099" w:rsidRDefault="006A6EE2">
          <w:pPr>
            <w:pStyle w:val="TOC4"/>
            <w:tabs>
              <w:tab w:val="left" w:leader="dot" w:pos="8957"/>
            </w:tabs>
            <w:spacing w:before="101"/>
            <w:rPr>
              <w:i w:val="0"/>
            </w:rPr>
          </w:pPr>
          <w:r>
            <w:t>Recommendation</w:t>
          </w:r>
          <w:r>
            <w:rPr>
              <w:spacing w:val="-4"/>
            </w:rPr>
            <w:t xml:space="preserve"> </w:t>
          </w:r>
          <w:r>
            <w:t>7</w:t>
          </w:r>
          <w:r>
            <w:rPr>
              <w:spacing w:val="-3"/>
            </w:rPr>
            <w:t xml:space="preserve"> </w:t>
          </w:r>
          <w:r>
            <w:t>–</w:t>
          </w:r>
          <w:r>
            <w:rPr>
              <w:spacing w:val="-6"/>
            </w:rPr>
            <w:t xml:space="preserve"> </w:t>
          </w:r>
          <w:r>
            <w:t>Inclusion</w:t>
          </w:r>
          <w:r>
            <w:rPr>
              <w:spacing w:val="-4"/>
            </w:rPr>
            <w:t xml:space="preserve"> </w:t>
          </w:r>
          <w:r>
            <w:t>of</w:t>
          </w:r>
          <w:r>
            <w:rPr>
              <w:spacing w:val="-3"/>
            </w:rPr>
            <w:t xml:space="preserve"> </w:t>
          </w:r>
          <w:r>
            <w:t>Economic,</w:t>
          </w:r>
          <w:r>
            <w:rPr>
              <w:spacing w:val="-4"/>
            </w:rPr>
            <w:t xml:space="preserve"> </w:t>
          </w:r>
          <w:r>
            <w:t>Social,</w:t>
          </w:r>
          <w:r>
            <w:rPr>
              <w:spacing w:val="-6"/>
            </w:rPr>
            <w:t xml:space="preserve"> </w:t>
          </w:r>
          <w:r>
            <w:t>and</w:t>
          </w:r>
          <w:r>
            <w:rPr>
              <w:spacing w:val="-4"/>
            </w:rPr>
            <w:t xml:space="preserve"> </w:t>
          </w:r>
          <w:r>
            <w:t>Cultural</w:t>
          </w:r>
          <w:r>
            <w:rPr>
              <w:spacing w:val="-2"/>
            </w:rPr>
            <w:t xml:space="preserve"> Rights</w:t>
          </w:r>
          <w:r>
            <w:tab/>
          </w:r>
          <w:r>
            <w:rPr>
              <w:i w:val="0"/>
              <w:spacing w:val="-5"/>
            </w:rPr>
            <w:t>66</w:t>
          </w:r>
        </w:p>
        <w:p w14:paraId="7CB25A64" w14:textId="77777777" w:rsidR="008A4099" w:rsidRDefault="00000000">
          <w:pPr>
            <w:pStyle w:val="TOC2"/>
            <w:numPr>
              <w:ilvl w:val="1"/>
              <w:numId w:val="15"/>
            </w:numPr>
            <w:tabs>
              <w:tab w:val="left" w:pos="880"/>
              <w:tab w:val="left" w:leader="dot" w:pos="8957"/>
            </w:tabs>
          </w:pPr>
          <w:hyperlink w:anchor="_TOC_250016" w:history="1">
            <w:r w:rsidR="006A6EE2">
              <w:t>Role</w:t>
            </w:r>
            <w:r w:rsidR="006A6EE2">
              <w:rPr>
                <w:spacing w:val="-2"/>
              </w:rPr>
              <w:t xml:space="preserve"> </w:t>
            </w:r>
            <w:r w:rsidR="006A6EE2">
              <w:t>of</w:t>
            </w:r>
            <w:r w:rsidR="006A6EE2">
              <w:rPr>
                <w:spacing w:val="-1"/>
              </w:rPr>
              <w:t xml:space="preserve"> </w:t>
            </w:r>
            <w:r w:rsidR="006A6EE2">
              <w:rPr>
                <w:spacing w:val="-2"/>
              </w:rPr>
              <w:t>Parliament</w:t>
            </w:r>
            <w:r w:rsidR="006A6EE2">
              <w:tab/>
            </w:r>
            <w:r w:rsidR="006A6EE2">
              <w:rPr>
                <w:spacing w:val="-5"/>
              </w:rPr>
              <w:t>66</w:t>
            </w:r>
          </w:hyperlink>
        </w:p>
        <w:p w14:paraId="7CB25A65" w14:textId="77777777" w:rsidR="008A4099" w:rsidRDefault="00000000">
          <w:pPr>
            <w:pStyle w:val="TOC3"/>
            <w:tabs>
              <w:tab w:val="left" w:leader="dot" w:pos="8957"/>
            </w:tabs>
          </w:pPr>
          <w:hyperlink w:anchor="_TOC_250015" w:history="1">
            <w:r w:rsidR="006A6EE2">
              <w:t>Scrutiny:</w:t>
            </w:r>
            <w:r w:rsidR="006A6EE2">
              <w:rPr>
                <w:spacing w:val="-4"/>
              </w:rPr>
              <w:t xml:space="preserve"> </w:t>
            </w:r>
            <w:r w:rsidR="006A6EE2">
              <w:t>Preparation</w:t>
            </w:r>
            <w:r w:rsidR="006A6EE2">
              <w:rPr>
                <w:spacing w:val="-7"/>
              </w:rPr>
              <w:t xml:space="preserve"> </w:t>
            </w:r>
            <w:r w:rsidR="006A6EE2">
              <w:t>of</w:t>
            </w:r>
            <w:r w:rsidR="006A6EE2">
              <w:rPr>
                <w:spacing w:val="-6"/>
              </w:rPr>
              <w:t xml:space="preserve"> </w:t>
            </w:r>
            <w:r w:rsidR="006A6EE2">
              <w:t>statements</w:t>
            </w:r>
            <w:r w:rsidR="006A6EE2">
              <w:rPr>
                <w:spacing w:val="-4"/>
              </w:rPr>
              <w:t xml:space="preserve"> </w:t>
            </w:r>
            <w:r w:rsidR="006A6EE2">
              <w:t>of</w:t>
            </w:r>
            <w:r w:rsidR="006A6EE2">
              <w:rPr>
                <w:spacing w:val="-4"/>
              </w:rPr>
              <w:t xml:space="preserve"> </w:t>
            </w:r>
            <w:r w:rsidR="006A6EE2">
              <w:t>compatibility</w:t>
            </w:r>
            <w:r w:rsidR="006A6EE2">
              <w:rPr>
                <w:spacing w:val="-5"/>
              </w:rPr>
              <w:t xml:space="preserve"> </w:t>
            </w:r>
            <w:r w:rsidR="006A6EE2">
              <w:t>and</w:t>
            </w:r>
            <w:r w:rsidR="006A6EE2">
              <w:rPr>
                <w:spacing w:val="-4"/>
              </w:rPr>
              <w:t xml:space="preserve"> </w:t>
            </w:r>
            <w:r w:rsidR="006A6EE2">
              <w:t>Human</w:t>
            </w:r>
            <w:r w:rsidR="006A6EE2">
              <w:rPr>
                <w:spacing w:val="-4"/>
              </w:rPr>
              <w:t xml:space="preserve"> </w:t>
            </w:r>
            <w:r w:rsidR="006A6EE2">
              <w:t>Rights</w:t>
            </w:r>
            <w:r w:rsidR="006A6EE2">
              <w:rPr>
                <w:spacing w:val="-4"/>
              </w:rPr>
              <w:t xml:space="preserve"> Unit</w:t>
            </w:r>
            <w:r w:rsidR="006A6EE2">
              <w:tab/>
            </w:r>
            <w:r w:rsidR="006A6EE2">
              <w:rPr>
                <w:spacing w:val="-5"/>
              </w:rPr>
              <w:t>66</w:t>
            </w:r>
          </w:hyperlink>
        </w:p>
        <w:p w14:paraId="7CB25A66" w14:textId="77777777" w:rsidR="008A4099" w:rsidRDefault="00000000">
          <w:pPr>
            <w:pStyle w:val="TOC3"/>
            <w:tabs>
              <w:tab w:val="left" w:leader="dot" w:pos="8957"/>
            </w:tabs>
            <w:spacing w:before="102"/>
          </w:pPr>
          <w:hyperlink w:anchor="_TOC_250014" w:history="1">
            <w:r w:rsidR="006A6EE2">
              <w:t>2007</w:t>
            </w:r>
            <w:r w:rsidR="006A6EE2">
              <w:rPr>
                <w:spacing w:val="-4"/>
              </w:rPr>
              <w:t xml:space="preserve"> </w:t>
            </w:r>
            <w:r w:rsidR="006A6EE2">
              <w:t>Final</w:t>
            </w:r>
            <w:r w:rsidR="006A6EE2">
              <w:rPr>
                <w:spacing w:val="-2"/>
              </w:rPr>
              <w:t xml:space="preserve"> </w:t>
            </w:r>
            <w:r w:rsidR="006A6EE2">
              <w:t>Report</w:t>
            </w:r>
            <w:r w:rsidR="006A6EE2">
              <w:rPr>
                <w:spacing w:val="-3"/>
              </w:rPr>
              <w:t xml:space="preserve"> </w:t>
            </w:r>
            <w:r w:rsidR="006A6EE2">
              <w:t>and</w:t>
            </w:r>
            <w:r w:rsidR="006A6EE2">
              <w:rPr>
                <w:spacing w:val="-3"/>
              </w:rPr>
              <w:t xml:space="preserve"> </w:t>
            </w:r>
            <w:r w:rsidR="006A6EE2">
              <w:t>subsequent</w:t>
            </w:r>
            <w:r w:rsidR="006A6EE2">
              <w:rPr>
                <w:spacing w:val="-2"/>
              </w:rPr>
              <w:t xml:space="preserve"> developments</w:t>
            </w:r>
            <w:r w:rsidR="006A6EE2">
              <w:tab/>
            </w:r>
            <w:r w:rsidR="006A6EE2">
              <w:rPr>
                <w:spacing w:val="-5"/>
              </w:rPr>
              <w:t>66</w:t>
            </w:r>
          </w:hyperlink>
        </w:p>
        <w:p w14:paraId="7CB25A67" w14:textId="77777777" w:rsidR="008A4099" w:rsidRDefault="006A6EE2">
          <w:pPr>
            <w:pStyle w:val="TOC4"/>
            <w:tabs>
              <w:tab w:val="left" w:leader="dot" w:pos="8957"/>
            </w:tabs>
            <w:rPr>
              <w:i w:val="0"/>
            </w:rPr>
          </w:pPr>
          <w:r>
            <w:t>Recommendation</w:t>
          </w:r>
          <w:r>
            <w:rPr>
              <w:spacing w:val="-4"/>
            </w:rPr>
            <w:t xml:space="preserve"> </w:t>
          </w:r>
          <w:r>
            <w:t>8</w:t>
          </w:r>
          <w:r>
            <w:rPr>
              <w:spacing w:val="-3"/>
            </w:rPr>
            <w:t xml:space="preserve"> </w:t>
          </w:r>
          <w:r>
            <w:t>–</w:t>
          </w:r>
          <w:r>
            <w:rPr>
              <w:spacing w:val="-4"/>
            </w:rPr>
            <w:t xml:space="preserve"> </w:t>
          </w:r>
          <w:r>
            <w:t>Statements</w:t>
          </w:r>
          <w:r>
            <w:rPr>
              <w:spacing w:val="-4"/>
            </w:rPr>
            <w:t xml:space="preserve"> </w:t>
          </w:r>
          <w:r>
            <w:t>of</w:t>
          </w:r>
          <w:r>
            <w:rPr>
              <w:spacing w:val="-2"/>
            </w:rPr>
            <w:t xml:space="preserve"> Compatibility</w:t>
          </w:r>
          <w:r>
            <w:tab/>
          </w:r>
          <w:r>
            <w:rPr>
              <w:i w:val="0"/>
              <w:spacing w:val="-5"/>
            </w:rPr>
            <w:t>68</w:t>
          </w:r>
        </w:p>
        <w:p w14:paraId="7CB25A68" w14:textId="77777777" w:rsidR="008A4099" w:rsidRDefault="006A6EE2">
          <w:pPr>
            <w:pStyle w:val="TOC4"/>
            <w:tabs>
              <w:tab w:val="left" w:leader="dot" w:pos="8957"/>
            </w:tabs>
            <w:rPr>
              <w:i w:val="0"/>
            </w:rPr>
          </w:pPr>
          <w:r>
            <w:t>Recommendation</w:t>
          </w:r>
          <w:r>
            <w:rPr>
              <w:spacing w:val="-4"/>
            </w:rPr>
            <w:t xml:space="preserve"> </w:t>
          </w:r>
          <w:r>
            <w:t>9</w:t>
          </w:r>
          <w:r>
            <w:rPr>
              <w:spacing w:val="-2"/>
            </w:rPr>
            <w:t xml:space="preserve"> </w:t>
          </w:r>
          <w:r>
            <w:t>–</w:t>
          </w:r>
          <w:r>
            <w:rPr>
              <w:spacing w:val="-4"/>
            </w:rPr>
            <w:t xml:space="preserve"> </w:t>
          </w:r>
          <w:r>
            <w:t>Human</w:t>
          </w:r>
          <w:r>
            <w:rPr>
              <w:spacing w:val="-3"/>
            </w:rPr>
            <w:t xml:space="preserve"> </w:t>
          </w:r>
          <w:r>
            <w:t>Rights</w:t>
          </w:r>
          <w:r>
            <w:rPr>
              <w:spacing w:val="-3"/>
            </w:rPr>
            <w:t xml:space="preserve"> </w:t>
          </w:r>
          <w:r>
            <w:rPr>
              <w:spacing w:val="-4"/>
            </w:rPr>
            <w:t>Unit</w:t>
          </w:r>
          <w:r>
            <w:tab/>
          </w:r>
          <w:r>
            <w:rPr>
              <w:i w:val="0"/>
              <w:spacing w:val="-5"/>
            </w:rPr>
            <w:t>69</w:t>
          </w:r>
        </w:p>
        <w:p w14:paraId="7CB25A69" w14:textId="77777777" w:rsidR="008A4099" w:rsidRDefault="00000000">
          <w:pPr>
            <w:pStyle w:val="TOC3"/>
            <w:tabs>
              <w:tab w:val="left" w:leader="dot" w:pos="8957"/>
            </w:tabs>
          </w:pPr>
          <w:hyperlink w:anchor="_TOC_250013" w:history="1">
            <w:r w:rsidR="006A6EE2">
              <w:t>Scrutiny:</w:t>
            </w:r>
            <w:r w:rsidR="006A6EE2">
              <w:rPr>
                <w:spacing w:val="-5"/>
              </w:rPr>
              <w:t xml:space="preserve"> </w:t>
            </w:r>
            <w:r w:rsidR="006A6EE2">
              <w:t>Delegated</w:t>
            </w:r>
            <w:r w:rsidR="006A6EE2">
              <w:rPr>
                <w:spacing w:val="-7"/>
              </w:rPr>
              <w:t xml:space="preserve"> </w:t>
            </w:r>
            <w:r w:rsidR="006A6EE2">
              <w:rPr>
                <w:spacing w:val="-2"/>
              </w:rPr>
              <w:t>legislation</w:t>
            </w:r>
            <w:r w:rsidR="006A6EE2">
              <w:tab/>
            </w:r>
            <w:r w:rsidR="006A6EE2">
              <w:rPr>
                <w:spacing w:val="-5"/>
              </w:rPr>
              <w:t>69</w:t>
            </w:r>
          </w:hyperlink>
        </w:p>
        <w:p w14:paraId="7CB25A6A" w14:textId="77777777" w:rsidR="008A4099" w:rsidRDefault="006A6EE2">
          <w:pPr>
            <w:pStyle w:val="TOC4"/>
            <w:tabs>
              <w:tab w:val="left" w:leader="dot" w:pos="8957"/>
            </w:tabs>
            <w:rPr>
              <w:i w:val="0"/>
            </w:rPr>
          </w:pPr>
          <w:r>
            <w:t>Recommendation</w:t>
          </w:r>
          <w:r>
            <w:rPr>
              <w:spacing w:val="-4"/>
            </w:rPr>
            <w:t xml:space="preserve"> </w:t>
          </w:r>
          <w:r>
            <w:t>10</w:t>
          </w:r>
          <w:r>
            <w:rPr>
              <w:spacing w:val="-4"/>
            </w:rPr>
            <w:t xml:space="preserve"> </w:t>
          </w:r>
          <w:r>
            <w:t>–</w:t>
          </w:r>
          <w:r>
            <w:rPr>
              <w:spacing w:val="-4"/>
            </w:rPr>
            <w:t xml:space="preserve"> </w:t>
          </w:r>
          <w:r>
            <w:t>Subordinate</w:t>
          </w:r>
          <w:r>
            <w:rPr>
              <w:spacing w:val="-3"/>
            </w:rPr>
            <w:t xml:space="preserve"> </w:t>
          </w:r>
          <w:r>
            <w:rPr>
              <w:spacing w:val="-2"/>
            </w:rPr>
            <w:t>Legislation</w:t>
          </w:r>
          <w:r>
            <w:tab/>
          </w:r>
          <w:r>
            <w:rPr>
              <w:i w:val="0"/>
              <w:spacing w:val="-5"/>
            </w:rPr>
            <w:t>70</w:t>
          </w:r>
        </w:p>
        <w:p w14:paraId="7CB25A6B" w14:textId="77777777" w:rsidR="008A4099" w:rsidRDefault="00000000">
          <w:pPr>
            <w:pStyle w:val="TOC3"/>
            <w:tabs>
              <w:tab w:val="left" w:leader="dot" w:pos="8957"/>
            </w:tabs>
            <w:spacing w:before="99"/>
          </w:pPr>
          <w:hyperlink w:anchor="_TOC_250012" w:history="1">
            <w:r w:rsidR="006A6EE2">
              <w:t>Scrutiny:</w:t>
            </w:r>
            <w:r w:rsidR="006A6EE2">
              <w:rPr>
                <w:spacing w:val="-6"/>
              </w:rPr>
              <w:t xml:space="preserve"> </w:t>
            </w:r>
            <w:r w:rsidR="006A6EE2">
              <w:t>Parliamentary</w:t>
            </w:r>
            <w:r w:rsidR="006A6EE2">
              <w:rPr>
                <w:spacing w:val="-6"/>
              </w:rPr>
              <w:t xml:space="preserve"> </w:t>
            </w:r>
            <w:r w:rsidR="006A6EE2">
              <w:t>Human</w:t>
            </w:r>
            <w:r w:rsidR="006A6EE2">
              <w:rPr>
                <w:spacing w:val="-6"/>
              </w:rPr>
              <w:t xml:space="preserve"> </w:t>
            </w:r>
            <w:r w:rsidR="006A6EE2">
              <w:t>Rights</w:t>
            </w:r>
            <w:r w:rsidR="006A6EE2">
              <w:rPr>
                <w:spacing w:val="-6"/>
              </w:rPr>
              <w:t xml:space="preserve"> </w:t>
            </w:r>
            <w:r w:rsidR="006A6EE2">
              <w:t>Scrutiny</w:t>
            </w:r>
            <w:r w:rsidR="006A6EE2">
              <w:rPr>
                <w:spacing w:val="-5"/>
              </w:rPr>
              <w:t xml:space="preserve"> </w:t>
            </w:r>
            <w:r w:rsidR="006A6EE2">
              <w:rPr>
                <w:spacing w:val="-2"/>
              </w:rPr>
              <w:t>Committee</w:t>
            </w:r>
            <w:r w:rsidR="006A6EE2">
              <w:tab/>
            </w:r>
            <w:r w:rsidR="006A6EE2">
              <w:rPr>
                <w:spacing w:val="-5"/>
              </w:rPr>
              <w:t>70</w:t>
            </w:r>
          </w:hyperlink>
        </w:p>
        <w:p w14:paraId="7CB25A6C" w14:textId="77777777" w:rsidR="008A4099" w:rsidRDefault="006A6EE2">
          <w:pPr>
            <w:pStyle w:val="TOC4"/>
            <w:tabs>
              <w:tab w:val="left" w:leader="dot" w:pos="8957"/>
            </w:tabs>
            <w:rPr>
              <w:i w:val="0"/>
            </w:rPr>
          </w:pPr>
          <w:r>
            <w:t>Recommendation</w:t>
          </w:r>
          <w:r>
            <w:rPr>
              <w:spacing w:val="-6"/>
            </w:rPr>
            <w:t xml:space="preserve"> </w:t>
          </w:r>
          <w:r>
            <w:t>11</w:t>
          </w:r>
          <w:r>
            <w:rPr>
              <w:spacing w:val="-3"/>
            </w:rPr>
            <w:t xml:space="preserve"> </w:t>
          </w:r>
          <w:r>
            <w:t>–</w:t>
          </w:r>
          <w:r>
            <w:rPr>
              <w:spacing w:val="-4"/>
            </w:rPr>
            <w:t xml:space="preserve"> </w:t>
          </w:r>
          <w:r>
            <w:t>Parliamentary</w:t>
          </w:r>
          <w:r>
            <w:rPr>
              <w:spacing w:val="-3"/>
            </w:rPr>
            <w:t xml:space="preserve"> </w:t>
          </w:r>
          <w:r>
            <w:t>Human</w:t>
          </w:r>
          <w:r>
            <w:rPr>
              <w:spacing w:val="-7"/>
            </w:rPr>
            <w:t xml:space="preserve"> </w:t>
          </w:r>
          <w:r>
            <w:t>Rights</w:t>
          </w:r>
          <w:r>
            <w:rPr>
              <w:spacing w:val="-4"/>
            </w:rPr>
            <w:t xml:space="preserve"> </w:t>
          </w:r>
          <w:r>
            <w:t>Scrutiny</w:t>
          </w:r>
          <w:r>
            <w:rPr>
              <w:spacing w:val="-3"/>
            </w:rPr>
            <w:t xml:space="preserve"> </w:t>
          </w:r>
          <w:r>
            <w:rPr>
              <w:spacing w:val="-2"/>
            </w:rPr>
            <w:t>Committee</w:t>
          </w:r>
          <w:r>
            <w:tab/>
          </w:r>
          <w:r>
            <w:rPr>
              <w:i w:val="0"/>
              <w:spacing w:val="-5"/>
            </w:rPr>
            <w:t>71</w:t>
          </w:r>
        </w:p>
        <w:p w14:paraId="7CB25A6D" w14:textId="77777777" w:rsidR="008A4099" w:rsidRDefault="00000000">
          <w:pPr>
            <w:pStyle w:val="TOC3"/>
            <w:tabs>
              <w:tab w:val="left" w:leader="dot" w:pos="8957"/>
            </w:tabs>
          </w:pPr>
          <w:hyperlink w:anchor="_TOC_250011" w:history="1">
            <w:r w:rsidR="006A6EE2">
              <w:t>Override</w:t>
            </w:r>
            <w:r w:rsidR="006A6EE2">
              <w:rPr>
                <w:spacing w:val="-3"/>
              </w:rPr>
              <w:t xml:space="preserve"> </w:t>
            </w:r>
            <w:r w:rsidR="006A6EE2">
              <w:rPr>
                <w:spacing w:val="-2"/>
              </w:rPr>
              <w:t>provisions</w:t>
            </w:r>
            <w:r w:rsidR="006A6EE2">
              <w:tab/>
            </w:r>
            <w:r w:rsidR="006A6EE2">
              <w:rPr>
                <w:spacing w:val="-5"/>
              </w:rPr>
              <w:t>72</w:t>
            </w:r>
          </w:hyperlink>
        </w:p>
        <w:p w14:paraId="7CB25A6E" w14:textId="77777777" w:rsidR="008A4099" w:rsidRDefault="006A6EE2">
          <w:pPr>
            <w:pStyle w:val="TOC4"/>
            <w:tabs>
              <w:tab w:val="left" w:leader="dot" w:pos="8957"/>
            </w:tabs>
            <w:rPr>
              <w:i w:val="0"/>
            </w:rPr>
          </w:pPr>
          <w:r>
            <w:t>Recommendation</w:t>
          </w:r>
          <w:r>
            <w:rPr>
              <w:spacing w:val="-7"/>
            </w:rPr>
            <w:t xml:space="preserve"> </w:t>
          </w:r>
          <w:r>
            <w:t>12</w:t>
          </w:r>
          <w:r>
            <w:rPr>
              <w:spacing w:val="-3"/>
            </w:rPr>
            <w:t xml:space="preserve"> </w:t>
          </w:r>
          <w:r>
            <w:t>–</w:t>
          </w:r>
          <w:r>
            <w:rPr>
              <w:spacing w:val="-4"/>
            </w:rPr>
            <w:t xml:space="preserve"> </w:t>
          </w:r>
          <w:r>
            <w:t>Override</w:t>
          </w:r>
          <w:r>
            <w:rPr>
              <w:spacing w:val="-4"/>
            </w:rPr>
            <w:t xml:space="preserve"> </w:t>
          </w:r>
          <w:r>
            <w:rPr>
              <w:spacing w:val="-2"/>
            </w:rPr>
            <w:t>Clauses</w:t>
          </w:r>
          <w:r>
            <w:tab/>
          </w:r>
          <w:r>
            <w:rPr>
              <w:i w:val="0"/>
              <w:spacing w:val="-5"/>
            </w:rPr>
            <w:t>73</w:t>
          </w:r>
        </w:p>
        <w:p w14:paraId="7CB25A6F" w14:textId="77777777" w:rsidR="008A4099" w:rsidRDefault="00000000">
          <w:pPr>
            <w:pStyle w:val="TOC3"/>
            <w:tabs>
              <w:tab w:val="left" w:leader="dot" w:pos="8957"/>
            </w:tabs>
            <w:spacing w:after="20"/>
          </w:pPr>
          <w:hyperlink w:anchor="_TOC_250010" w:history="1">
            <w:r w:rsidR="006A6EE2">
              <w:t>Responding</w:t>
            </w:r>
            <w:r w:rsidR="006A6EE2">
              <w:rPr>
                <w:spacing w:val="-6"/>
              </w:rPr>
              <w:t xml:space="preserve"> </w:t>
            </w:r>
            <w:r w:rsidR="006A6EE2">
              <w:t>to</w:t>
            </w:r>
            <w:r w:rsidR="006A6EE2">
              <w:rPr>
                <w:spacing w:val="-3"/>
              </w:rPr>
              <w:t xml:space="preserve"> </w:t>
            </w:r>
            <w:r w:rsidR="006A6EE2">
              <w:t>declarations</w:t>
            </w:r>
            <w:r w:rsidR="006A6EE2">
              <w:rPr>
                <w:spacing w:val="-5"/>
              </w:rPr>
              <w:t xml:space="preserve"> </w:t>
            </w:r>
            <w:r w:rsidR="006A6EE2">
              <w:t>of</w:t>
            </w:r>
            <w:r w:rsidR="006A6EE2">
              <w:rPr>
                <w:spacing w:val="-3"/>
              </w:rPr>
              <w:t xml:space="preserve"> </w:t>
            </w:r>
            <w:r w:rsidR="006A6EE2">
              <w:rPr>
                <w:spacing w:val="-2"/>
              </w:rPr>
              <w:t>incompatibility</w:t>
            </w:r>
            <w:r w:rsidR="006A6EE2">
              <w:tab/>
            </w:r>
            <w:r w:rsidR="006A6EE2">
              <w:rPr>
                <w:spacing w:val="-5"/>
              </w:rPr>
              <w:t>73</w:t>
            </w:r>
          </w:hyperlink>
        </w:p>
        <w:p w14:paraId="7CB25A70" w14:textId="77777777" w:rsidR="008A4099" w:rsidRDefault="006A6EE2">
          <w:pPr>
            <w:pStyle w:val="TOC4"/>
            <w:tabs>
              <w:tab w:val="right" w:leader="dot" w:pos="9178"/>
            </w:tabs>
            <w:spacing w:before="62"/>
            <w:rPr>
              <w:i w:val="0"/>
            </w:rPr>
          </w:pPr>
          <w:r>
            <w:lastRenderedPageBreak/>
            <w:t>Recommendation</w:t>
          </w:r>
          <w:r>
            <w:rPr>
              <w:spacing w:val="-4"/>
            </w:rPr>
            <w:t xml:space="preserve"> </w:t>
          </w:r>
          <w:r>
            <w:t>13</w:t>
          </w:r>
          <w:r>
            <w:rPr>
              <w:spacing w:val="-2"/>
            </w:rPr>
            <w:t xml:space="preserve"> </w:t>
          </w:r>
          <w:r>
            <w:t>–</w:t>
          </w:r>
          <w:r>
            <w:rPr>
              <w:spacing w:val="-3"/>
            </w:rPr>
            <w:t xml:space="preserve"> </w:t>
          </w:r>
          <w:r>
            <w:t>Declarations</w:t>
          </w:r>
          <w:r>
            <w:rPr>
              <w:spacing w:val="-5"/>
            </w:rPr>
            <w:t xml:space="preserve"> </w:t>
          </w:r>
          <w:r>
            <w:t>of</w:t>
          </w:r>
          <w:r>
            <w:rPr>
              <w:spacing w:val="-4"/>
            </w:rPr>
            <w:t xml:space="preserve"> </w:t>
          </w:r>
          <w:r>
            <w:rPr>
              <w:spacing w:val="-2"/>
            </w:rPr>
            <w:t>Incompatibility</w:t>
          </w:r>
          <w:r>
            <w:tab/>
          </w:r>
          <w:r>
            <w:rPr>
              <w:i w:val="0"/>
              <w:spacing w:val="-5"/>
            </w:rPr>
            <w:t>75</w:t>
          </w:r>
        </w:p>
        <w:p w14:paraId="7CB25A71" w14:textId="77777777" w:rsidR="008A4099" w:rsidRDefault="006A6EE2">
          <w:pPr>
            <w:pStyle w:val="TOC4"/>
            <w:tabs>
              <w:tab w:val="right" w:leader="dot" w:pos="9178"/>
            </w:tabs>
            <w:spacing w:before="101"/>
            <w:rPr>
              <w:i w:val="0"/>
            </w:rPr>
          </w:pPr>
          <w:r>
            <w:t>Recommendation</w:t>
          </w:r>
          <w:r>
            <w:rPr>
              <w:spacing w:val="-4"/>
            </w:rPr>
            <w:t xml:space="preserve"> </w:t>
          </w:r>
          <w:r>
            <w:t>14</w:t>
          </w:r>
          <w:r>
            <w:rPr>
              <w:spacing w:val="-3"/>
            </w:rPr>
            <w:t xml:space="preserve"> </w:t>
          </w:r>
          <w:r>
            <w:t>–</w:t>
          </w:r>
          <w:r>
            <w:rPr>
              <w:spacing w:val="-7"/>
            </w:rPr>
            <w:t xml:space="preserve"> </w:t>
          </w:r>
          <w:r>
            <w:t>Invalidation</w:t>
          </w:r>
          <w:r>
            <w:rPr>
              <w:spacing w:val="-4"/>
            </w:rPr>
            <w:t xml:space="preserve"> </w:t>
          </w:r>
          <w:r>
            <w:t>of</w:t>
          </w:r>
          <w:r>
            <w:rPr>
              <w:spacing w:val="-3"/>
            </w:rPr>
            <w:t xml:space="preserve"> </w:t>
          </w:r>
          <w:r>
            <w:t>Subordinate</w:t>
          </w:r>
          <w:r>
            <w:rPr>
              <w:spacing w:val="-5"/>
            </w:rPr>
            <w:t xml:space="preserve"> </w:t>
          </w:r>
          <w:r>
            <w:rPr>
              <w:spacing w:val="-2"/>
            </w:rPr>
            <w:t>Legislation</w:t>
          </w:r>
          <w:r>
            <w:tab/>
          </w:r>
          <w:r>
            <w:rPr>
              <w:i w:val="0"/>
              <w:spacing w:val="-5"/>
            </w:rPr>
            <w:t>75</w:t>
          </w:r>
        </w:p>
        <w:p w14:paraId="7CB25A72" w14:textId="77777777" w:rsidR="008A4099" w:rsidRDefault="006A6EE2">
          <w:pPr>
            <w:pStyle w:val="TOC2"/>
            <w:numPr>
              <w:ilvl w:val="1"/>
              <w:numId w:val="15"/>
            </w:numPr>
            <w:tabs>
              <w:tab w:val="left" w:pos="880"/>
              <w:tab w:val="right" w:leader="dot" w:pos="9178"/>
            </w:tabs>
            <w:spacing w:before="99"/>
          </w:pPr>
          <w:r>
            <w:t>Role</w:t>
          </w:r>
          <w:r>
            <w:rPr>
              <w:spacing w:val="-2"/>
            </w:rPr>
            <w:t xml:space="preserve"> </w:t>
          </w:r>
          <w:r>
            <w:t>of</w:t>
          </w:r>
          <w:r>
            <w:rPr>
              <w:spacing w:val="-2"/>
            </w:rPr>
            <w:t xml:space="preserve"> </w:t>
          </w:r>
          <w:r>
            <w:t>courts</w:t>
          </w:r>
          <w:r>
            <w:rPr>
              <w:spacing w:val="-2"/>
            </w:rPr>
            <w:t xml:space="preserve"> </w:t>
          </w:r>
          <w:r>
            <w:t>and</w:t>
          </w:r>
          <w:r>
            <w:rPr>
              <w:spacing w:val="-4"/>
            </w:rPr>
            <w:t xml:space="preserve"> </w:t>
          </w:r>
          <w:r>
            <w:rPr>
              <w:spacing w:val="-2"/>
            </w:rPr>
            <w:t>tribunals</w:t>
          </w:r>
          <w:r>
            <w:tab/>
          </w:r>
          <w:r>
            <w:rPr>
              <w:spacing w:val="-5"/>
            </w:rPr>
            <w:t>75</w:t>
          </w:r>
        </w:p>
        <w:p w14:paraId="7CB25A73" w14:textId="77777777" w:rsidR="008A4099" w:rsidRDefault="00000000">
          <w:pPr>
            <w:pStyle w:val="TOC3"/>
            <w:tabs>
              <w:tab w:val="right" w:leader="dot" w:pos="9178"/>
            </w:tabs>
          </w:pPr>
          <w:hyperlink w:anchor="_TOC_250009" w:history="1">
            <w:r w:rsidR="006A6EE2">
              <w:t>Remedies</w:t>
            </w:r>
            <w:r w:rsidR="006A6EE2">
              <w:rPr>
                <w:spacing w:val="-3"/>
              </w:rPr>
              <w:t xml:space="preserve"> </w:t>
            </w:r>
            <w:r w:rsidR="006A6EE2">
              <w:t>and</w:t>
            </w:r>
            <w:r w:rsidR="006A6EE2">
              <w:rPr>
                <w:spacing w:val="-3"/>
              </w:rPr>
              <w:t xml:space="preserve"> </w:t>
            </w:r>
            <w:r w:rsidR="006A6EE2">
              <w:rPr>
                <w:spacing w:val="-2"/>
              </w:rPr>
              <w:t>relief</w:t>
            </w:r>
            <w:r w:rsidR="006A6EE2">
              <w:tab/>
            </w:r>
            <w:r w:rsidR="006A6EE2">
              <w:rPr>
                <w:spacing w:val="-5"/>
              </w:rPr>
              <w:t>75</w:t>
            </w:r>
          </w:hyperlink>
        </w:p>
        <w:p w14:paraId="7CB25A74" w14:textId="77777777" w:rsidR="008A4099" w:rsidRDefault="006A6EE2">
          <w:pPr>
            <w:pStyle w:val="TOC4"/>
            <w:tabs>
              <w:tab w:val="right" w:leader="dot" w:pos="9178"/>
            </w:tabs>
            <w:rPr>
              <w:i w:val="0"/>
            </w:rPr>
          </w:pPr>
          <w:r>
            <w:t>Recommendation</w:t>
          </w:r>
          <w:r>
            <w:rPr>
              <w:spacing w:val="-3"/>
            </w:rPr>
            <w:t xml:space="preserve"> </w:t>
          </w:r>
          <w:r>
            <w:t>15</w:t>
          </w:r>
          <w:r>
            <w:rPr>
              <w:spacing w:val="-2"/>
            </w:rPr>
            <w:t xml:space="preserve"> </w:t>
          </w:r>
          <w:r>
            <w:t>–</w:t>
          </w:r>
          <w:r>
            <w:rPr>
              <w:spacing w:val="-2"/>
            </w:rPr>
            <w:t xml:space="preserve"> </w:t>
          </w:r>
          <w:r>
            <w:t>Cause</w:t>
          </w:r>
          <w:r>
            <w:rPr>
              <w:spacing w:val="-3"/>
            </w:rPr>
            <w:t xml:space="preserve"> </w:t>
          </w:r>
          <w:r>
            <w:t>of</w:t>
          </w:r>
          <w:r>
            <w:rPr>
              <w:spacing w:val="-2"/>
            </w:rPr>
            <w:t xml:space="preserve"> </w:t>
          </w:r>
          <w:r>
            <w:t>Action</w:t>
          </w:r>
          <w:r>
            <w:rPr>
              <w:spacing w:val="-5"/>
            </w:rPr>
            <w:t xml:space="preserve"> </w:t>
          </w:r>
          <w:r>
            <w:t>for</w:t>
          </w:r>
          <w:r>
            <w:rPr>
              <w:spacing w:val="-3"/>
            </w:rPr>
            <w:t xml:space="preserve"> </w:t>
          </w:r>
          <w:r>
            <w:t>Breaches</w:t>
          </w:r>
          <w:r>
            <w:rPr>
              <w:spacing w:val="-4"/>
            </w:rPr>
            <w:t xml:space="preserve"> </w:t>
          </w:r>
          <w:r>
            <w:t>of</w:t>
          </w:r>
          <w:r>
            <w:rPr>
              <w:spacing w:val="-5"/>
            </w:rPr>
            <w:t xml:space="preserve"> </w:t>
          </w:r>
          <w:r>
            <w:t>Human</w:t>
          </w:r>
          <w:r>
            <w:rPr>
              <w:spacing w:val="-2"/>
            </w:rPr>
            <w:t xml:space="preserve"> Rights</w:t>
          </w:r>
          <w:r>
            <w:tab/>
          </w:r>
          <w:r>
            <w:rPr>
              <w:i w:val="0"/>
              <w:spacing w:val="-5"/>
            </w:rPr>
            <w:t>77</w:t>
          </w:r>
        </w:p>
        <w:p w14:paraId="7CB25A75" w14:textId="77777777" w:rsidR="008A4099" w:rsidRDefault="00000000">
          <w:pPr>
            <w:pStyle w:val="TOC3"/>
            <w:tabs>
              <w:tab w:val="right" w:leader="dot" w:pos="9178"/>
            </w:tabs>
          </w:pPr>
          <w:hyperlink w:anchor="_TOC_250008" w:history="1">
            <w:r w:rsidR="006A6EE2">
              <w:t>Damages</w:t>
            </w:r>
            <w:r w:rsidR="006A6EE2">
              <w:rPr>
                <w:spacing w:val="-6"/>
              </w:rPr>
              <w:t xml:space="preserve"> </w:t>
            </w:r>
            <w:r w:rsidR="006A6EE2">
              <w:t>(financial</w:t>
            </w:r>
            <w:r w:rsidR="006A6EE2">
              <w:rPr>
                <w:spacing w:val="-4"/>
              </w:rPr>
              <w:t xml:space="preserve"> </w:t>
            </w:r>
            <w:r w:rsidR="006A6EE2">
              <w:rPr>
                <w:spacing w:val="-2"/>
              </w:rPr>
              <w:t>compensation)</w:t>
            </w:r>
            <w:r w:rsidR="006A6EE2">
              <w:tab/>
            </w:r>
            <w:r w:rsidR="006A6EE2">
              <w:rPr>
                <w:spacing w:val="-5"/>
              </w:rPr>
              <w:t>77</w:t>
            </w:r>
          </w:hyperlink>
        </w:p>
        <w:p w14:paraId="7CB25A76" w14:textId="77777777" w:rsidR="008A4099" w:rsidRDefault="006A6EE2">
          <w:pPr>
            <w:pStyle w:val="TOC4"/>
            <w:tabs>
              <w:tab w:val="right" w:leader="dot" w:pos="9178"/>
            </w:tabs>
            <w:rPr>
              <w:i w:val="0"/>
            </w:rPr>
          </w:pPr>
          <w:r>
            <w:t>Recommendation</w:t>
          </w:r>
          <w:r>
            <w:rPr>
              <w:spacing w:val="-3"/>
            </w:rPr>
            <w:t xml:space="preserve"> </w:t>
          </w:r>
          <w:r>
            <w:t>16</w:t>
          </w:r>
          <w:r>
            <w:rPr>
              <w:spacing w:val="-2"/>
            </w:rPr>
            <w:t xml:space="preserve"> </w:t>
          </w:r>
          <w:r>
            <w:t>–</w:t>
          </w:r>
          <w:r>
            <w:rPr>
              <w:spacing w:val="-2"/>
            </w:rPr>
            <w:t xml:space="preserve"> Remedies</w:t>
          </w:r>
          <w:r>
            <w:tab/>
          </w:r>
          <w:r>
            <w:rPr>
              <w:i w:val="0"/>
              <w:spacing w:val="-5"/>
            </w:rPr>
            <w:t>78</w:t>
          </w:r>
        </w:p>
        <w:p w14:paraId="7CB25A77" w14:textId="77777777" w:rsidR="008A4099" w:rsidRDefault="00000000">
          <w:pPr>
            <w:pStyle w:val="TOC2"/>
            <w:numPr>
              <w:ilvl w:val="1"/>
              <w:numId w:val="15"/>
            </w:numPr>
            <w:tabs>
              <w:tab w:val="left" w:pos="880"/>
              <w:tab w:val="right" w:leader="dot" w:pos="9178"/>
            </w:tabs>
            <w:spacing w:before="102"/>
          </w:pPr>
          <w:hyperlink w:anchor="_TOC_250007" w:history="1">
            <w:r w:rsidR="006A6EE2">
              <w:t>Establishment</w:t>
            </w:r>
            <w:r w:rsidR="006A6EE2">
              <w:rPr>
                <w:spacing w:val="-3"/>
              </w:rPr>
              <w:t xml:space="preserve"> </w:t>
            </w:r>
            <w:r w:rsidR="006A6EE2">
              <w:t>and</w:t>
            </w:r>
            <w:r w:rsidR="006A6EE2">
              <w:rPr>
                <w:spacing w:val="-3"/>
              </w:rPr>
              <w:t xml:space="preserve"> </w:t>
            </w:r>
            <w:r w:rsidR="006A6EE2">
              <w:t>Role</w:t>
            </w:r>
            <w:r w:rsidR="006A6EE2">
              <w:rPr>
                <w:spacing w:val="-3"/>
              </w:rPr>
              <w:t xml:space="preserve"> </w:t>
            </w:r>
            <w:r w:rsidR="006A6EE2">
              <w:t>of</w:t>
            </w:r>
            <w:r w:rsidR="006A6EE2">
              <w:rPr>
                <w:spacing w:val="-4"/>
              </w:rPr>
              <w:t xml:space="preserve"> </w:t>
            </w:r>
            <w:r w:rsidR="006A6EE2">
              <w:t>the</w:t>
            </w:r>
            <w:r w:rsidR="006A6EE2">
              <w:rPr>
                <w:spacing w:val="-3"/>
              </w:rPr>
              <w:t xml:space="preserve"> </w:t>
            </w:r>
            <w:r w:rsidR="006A6EE2">
              <w:rPr>
                <w:spacing w:val="-2"/>
              </w:rPr>
              <w:t>Commission</w:t>
            </w:r>
            <w:r w:rsidR="006A6EE2">
              <w:tab/>
            </w:r>
            <w:r w:rsidR="006A6EE2">
              <w:rPr>
                <w:spacing w:val="-5"/>
              </w:rPr>
              <w:t>78</w:t>
            </w:r>
          </w:hyperlink>
        </w:p>
        <w:p w14:paraId="7CB25A78" w14:textId="77777777" w:rsidR="008A4099" w:rsidRDefault="00000000">
          <w:pPr>
            <w:pStyle w:val="TOC3"/>
            <w:tabs>
              <w:tab w:val="right" w:leader="dot" w:pos="9178"/>
            </w:tabs>
          </w:pPr>
          <w:hyperlink w:anchor="_TOC_250006" w:history="1">
            <w:r w:rsidR="006A6EE2">
              <w:rPr>
                <w:spacing w:val="-2"/>
              </w:rPr>
              <w:t>Establishment</w:t>
            </w:r>
            <w:r w:rsidR="006A6EE2">
              <w:tab/>
            </w:r>
            <w:r w:rsidR="006A6EE2">
              <w:rPr>
                <w:spacing w:val="-5"/>
              </w:rPr>
              <w:t>78</w:t>
            </w:r>
          </w:hyperlink>
        </w:p>
        <w:p w14:paraId="7CB25A79" w14:textId="77777777" w:rsidR="008A4099" w:rsidRDefault="00000000">
          <w:pPr>
            <w:pStyle w:val="TOC3"/>
            <w:tabs>
              <w:tab w:val="right" w:leader="dot" w:pos="9178"/>
            </w:tabs>
          </w:pPr>
          <w:hyperlink w:anchor="_TOC_250005" w:history="1">
            <w:r w:rsidR="006A6EE2">
              <w:t>Consultation</w:t>
            </w:r>
            <w:r w:rsidR="006A6EE2">
              <w:rPr>
                <w:spacing w:val="-7"/>
              </w:rPr>
              <w:t xml:space="preserve"> </w:t>
            </w:r>
            <w:r w:rsidR="006A6EE2">
              <w:t>with</w:t>
            </w:r>
            <w:r w:rsidR="006A6EE2">
              <w:rPr>
                <w:spacing w:val="-4"/>
              </w:rPr>
              <w:t xml:space="preserve"> </w:t>
            </w:r>
            <w:r w:rsidR="006A6EE2">
              <w:rPr>
                <w:spacing w:val="-2"/>
              </w:rPr>
              <w:t>Cabinet</w:t>
            </w:r>
            <w:r w:rsidR="006A6EE2">
              <w:tab/>
            </w:r>
            <w:r w:rsidR="006A6EE2">
              <w:rPr>
                <w:spacing w:val="-5"/>
              </w:rPr>
              <w:t>79</w:t>
            </w:r>
          </w:hyperlink>
        </w:p>
        <w:p w14:paraId="7CB25A7A" w14:textId="77777777" w:rsidR="008A4099" w:rsidRDefault="006A6EE2">
          <w:pPr>
            <w:pStyle w:val="TOC4"/>
            <w:tabs>
              <w:tab w:val="right" w:leader="dot" w:pos="9178"/>
            </w:tabs>
            <w:spacing w:before="99"/>
            <w:rPr>
              <w:i w:val="0"/>
            </w:rPr>
          </w:pPr>
          <w:r>
            <w:t>Recommendation</w:t>
          </w:r>
          <w:r>
            <w:rPr>
              <w:spacing w:val="-4"/>
            </w:rPr>
            <w:t xml:space="preserve"> </w:t>
          </w:r>
          <w:r>
            <w:t>17</w:t>
          </w:r>
          <w:r>
            <w:rPr>
              <w:spacing w:val="-2"/>
            </w:rPr>
            <w:t xml:space="preserve"> </w:t>
          </w:r>
          <w:r>
            <w:t>–</w:t>
          </w:r>
          <w:r>
            <w:rPr>
              <w:spacing w:val="-3"/>
            </w:rPr>
            <w:t xml:space="preserve"> </w:t>
          </w:r>
          <w:r>
            <w:t>Human</w:t>
          </w:r>
          <w:r>
            <w:rPr>
              <w:spacing w:val="-3"/>
            </w:rPr>
            <w:t xml:space="preserve"> </w:t>
          </w:r>
          <w:r>
            <w:t>Rights</w:t>
          </w:r>
          <w:r>
            <w:rPr>
              <w:spacing w:val="-3"/>
            </w:rPr>
            <w:t xml:space="preserve"> </w:t>
          </w:r>
          <w:r>
            <w:rPr>
              <w:spacing w:val="-2"/>
            </w:rPr>
            <w:t>Commissioner</w:t>
          </w:r>
          <w:r>
            <w:tab/>
          </w:r>
          <w:r>
            <w:rPr>
              <w:i w:val="0"/>
              <w:spacing w:val="-5"/>
            </w:rPr>
            <w:t>80</w:t>
          </w:r>
        </w:p>
        <w:p w14:paraId="7CB25A7B" w14:textId="77777777" w:rsidR="008A4099" w:rsidRDefault="00000000">
          <w:pPr>
            <w:pStyle w:val="TOC3"/>
            <w:tabs>
              <w:tab w:val="right" w:leader="dot" w:pos="9178"/>
            </w:tabs>
            <w:spacing w:before="101"/>
          </w:pPr>
          <w:hyperlink w:anchor="_TOC_250004" w:history="1">
            <w:r w:rsidR="006A6EE2">
              <w:rPr>
                <w:spacing w:val="-2"/>
              </w:rPr>
              <w:t>Intervention</w:t>
            </w:r>
            <w:r w:rsidR="006A6EE2">
              <w:tab/>
            </w:r>
            <w:r w:rsidR="006A6EE2">
              <w:rPr>
                <w:spacing w:val="-5"/>
              </w:rPr>
              <w:t>80</w:t>
            </w:r>
          </w:hyperlink>
        </w:p>
        <w:p w14:paraId="7CB25A7C" w14:textId="77777777" w:rsidR="008A4099" w:rsidRDefault="006A6EE2">
          <w:pPr>
            <w:pStyle w:val="TOC4"/>
            <w:tabs>
              <w:tab w:val="right" w:leader="dot" w:pos="9178"/>
            </w:tabs>
            <w:rPr>
              <w:i w:val="0"/>
            </w:rPr>
          </w:pPr>
          <w:r>
            <w:t>Recommendation</w:t>
          </w:r>
          <w:r>
            <w:rPr>
              <w:spacing w:val="-4"/>
            </w:rPr>
            <w:t xml:space="preserve"> </w:t>
          </w:r>
          <w:r>
            <w:t>18</w:t>
          </w:r>
          <w:r>
            <w:rPr>
              <w:spacing w:val="-3"/>
            </w:rPr>
            <w:t xml:space="preserve"> </w:t>
          </w:r>
          <w:r>
            <w:t>–</w:t>
          </w:r>
          <w:r>
            <w:rPr>
              <w:spacing w:val="-4"/>
            </w:rPr>
            <w:t xml:space="preserve"> </w:t>
          </w:r>
          <w:r>
            <w:t>Notification</w:t>
          </w:r>
          <w:r>
            <w:rPr>
              <w:spacing w:val="-6"/>
            </w:rPr>
            <w:t xml:space="preserve"> </w:t>
          </w:r>
          <w:r>
            <w:t>to</w:t>
          </w:r>
          <w:r>
            <w:rPr>
              <w:spacing w:val="-4"/>
            </w:rPr>
            <w:t xml:space="preserve"> </w:t>
          </w:r>
          <w:r>
            <w:t>Human</w:t>
          </w:r>
          <w:r>
            <w:rPr>
              <w:spacing w:val="-4"/>
            </w:rPr>
            <w:t xml:space="preserve"> </w:t>
          </w:r>
          <w:r>
            <w:t>Rights</w:t>
          </w:r>
          <w:r>
            <w:rPr>
              <w:spacing w:val="-3"/>
            </w:rPr>
            <w:t xml:space="preserve"> </w:t>
          </w:r>
          <w:r>
            <w:rPr>
              <w:spacing w:val="-2"/>
            </w:rPr>
            <w:t>Commissioner</w:t>
          </w:r>
          <w:r>
            <w:tab/>
          </w:r>
          <w:r>
            <w:rPr>
              <w:i w:val="0"/>
              <w:spacing w:val="-5"/>
            </w:rPr>
            <w:t>81</w:t>
          </w:r>
        </w:p>
        <w:p w14:paraId="7CB25A7D" w14:textId="77777777" w:rsidR="008A4099" w:rsidRDefault="00000000">
          <w:pPr>
            <w:pStyle w:val="TOC3"/>
            <w:tabs>
              <w:tab w:val="right" w:leader="dot" w:pos="9178"/>
            </w:tabs>
            <w:spacing w:before="99"/>
          </w:pPr>
          <w:hyperlink w:anchor="_TOC_250003" w:history="1">
            <w:r w:rsidR="006A6EE2">
              <w:t>Dispute</w:t>
            </w:r>
            <w:r w:rsidR="006A6EE2">
              <w:rPr>
                <w:spacing w:val="-4"/>
              </w:rPr>
              <w:t xml:space="preserve"> </w:t>
            </w:r>
            <w:r w:rsidR="006A6EE2">
              <w:rPr>
                <w:spacing w:val="-2"/>
              </w:rPr>
              <w:t>resolution</w:t>
            </w:r>
            <w:r w:rsidR="006A6EE2">
              <w:tab/>
            </w:r>
            <w:r w:rsidR="006A6EE2">
              <w:rPr>
                <w:spacing w:val="-5"/>
              </w:rPr>
              <w:t>81</w:t>
            </w:r>
          </w:hyperlink>
        </w:p>
        <w:p w14:paraId="7CB25A7E" w14:textId="77777777" w:rsidR="008A4099" w:rsidRDefault="006A6EE2">
          <w:pPr>
            <w:pStyle w:val="TOC4"/>
            <w:tabs>
              <w:tab w:val="right" w:leader="dot" w:pos="9178"/>
            </w:tabs>
            <w:rPr>
              <w:i w:val="0"/>
            </w:rPr>
          </w:pPr>
          <w:r>
            <w:t>Recommendation</w:t>
          </w:r>
          <w:r>
            <w:rPr>
              <w:spacing w:val="-4"/>
            </w:rPr>
            <w:t xml:space="preserve"> </w:t>
          </w:r>
          <w:r>
            <w:t>19</w:t>
          </w:r>
          <w:r>
            <w:rPr>
              <w:spacing w:val="-3"/>
            </w:rPr>
            <w:t xml:space="preserve"> </w:t>
          </w:r>
          <w:r>
            <w:t>–</w:t>
          </w:r>
          <w:r>
            <w:rPr>
              <w:spacing w:val="-3"/>
            </w:rPr>
            <w:t xml:space="preserve"> </w:t>
          </w:r>
          <w:r>
            <w:t>Dispute</w:t>
          </w:r>
          <w:r>
            <w:rPr>
              <w:spacing w:val="-3"/>
            </w:rPr>
            <w:t xml:space="preserve"> </w:t>
          </w:r>
          <w:r>
            <w:rPr>
              <w:spacing w:val="-2"/>
            </w:rPr>
            <w:t>Resolution</w:t>
          </w:r>
          <w:r>
            <w:tab/>
          </w:r>
          <w:r>
            <w:rPr>
              <w:i w:val="0"/>
              <w:spacing w:val="-5"/>
            </w:rPr>
            <w:t>82</w:t>
          </w:r>
        </w:p>
        <w:p w14:paraId="7CB25A7F" w14:textId="77777777" w:rsidR="008A4099" w:rsidRDefault="00000000">
          <w:pPr>
            <w:pStyle w:val="TOC3"/>
            <w:tabs>
              <w:tab w:val="right" w:leader="dot" w:pos="9178"/>
            </w:tabs>
          </w:pPr>
          <w:hyperlink w:anchor="_TOC_250002" w:history="1">
            <w:r w:rsidR="006A6EE2">
              <w:t>Amalgamation</w:t>
            </w:r>
            <w:r w:rsidR="006A6EE2">
              <w:rPr>
                <w:spacing w:val="-7"/>
              </w:rPr>
              <w:t xml:space="preserve"> </w:t>
            </w:r>
            <w:r w:rsidR="006A6EE2">
              <w:t>with</w:t>
            </w:r>
            <w:r w:rsidR="006A6EE2">
              <w:rPr>
                <w:spacing w:val="-6"/>
              </w:rPr>
              <w:t xml:space="preserve"> </w:t>
            </w:r>
            <w:r w:rsidR="006A6EE2">
              <w:t>Equal</w:t>
            </w:r>
            <w:r w:rsidR="006A6EE2">
              <w:rPr>
                <w:spacing w:val="-7"/>
              </w:rPr>
              <w:t xml:space="preserve"> </w:t>
            </w:r>
            <w:r w:rsidR="006A6EE2">
              <w:t>Opportunity</w:t>
            </w:r>
            <w:r w:rsidR="006A6EE2">
              <w:rPr>
                <w:spacing w:val="-6"/>
              </w:rPr>
              <w:t xml:space="preserve"> </w:t>
            </w:r>
            <w:r w:rsidR="006A6EE2">
              <w:rPr>
                <w:spacing w:val="-2"/>
              </w:rPr>
              <w:t>Tasmania</w:t>
            </w:r>
            <w:r w:rsidR="006A6EE2">
              <w:tab/>
            </w:r>
            <w:r w:rsidR="006A6EE2">
              <w:rPr>
                <w:spacing w:val="-5"/>
              </w:rPr>
              <w:t>82</w:t>
            </w:r>
          </w:hyperlink>
        </w:p>
        <w:p w14:paraId="7CB25A80" w14:textId="77777777" w:rsidR="008A4099" w:rsidRDefault="006A6EE2">
          <w:pPr>
            <w:pStyle w:val="TOC4"/>
            <w:tabs>
              <w:tab w:val="right" w:leader="dot" w:pos="9178"/>
            </w:tabs>
            <w:rPr>
              <w:i w:val="0"/>
            </w:rPr>
          </w:pPr>
          <w:r>
            <w:t>Recommendation</w:t>
          </w:r>
          <w:r>
            <w:rPr>
              <w:spacing w:val="-4"/>
            </w:rPr>
            <w:t xml:space="preserve"> </w:t>
          </w:r>
          <w:r>
            <w:t>20</w:t>
          </w:r>
          <w:r>
            <w:rPr>
              <w:spacing w:val="-2"/>
            </w:rPr>
            <w:t xml:space="preserve"> </w:t>
          </w:r>
          <w:r>
            <w:t>–</w:t>
          </w:r>
          <w:r>
            <w:rPr>
              <w:spacing w:val="-6"/>
            </w:rPr>
            <w:t xml:space="preserve"> </w:t>
          </w:r>
          <w:r>
            <w:t>Independent</w:t>
          </w:r>
          <w:r>
            <w:rPr>
              <w:spacing w:val="-2"/>
            </w:rPr>
            <w:t xml:space="preserve"> Office</w:t>
          </w:r>
          <w:r>
            <w:tab/>
          </w:r>
          <w:r>
            <w:rPr>
              <w:i w:val="0"/>
              <w:spacing w:val="-5"/>
            </w:rPr>
            <w:t>82</w:t>
          </w:r>
        </w:p>
        <w:p w14:paraId="7CB25A81" w14:textId="77777777" w:rsidR="008A4099" w:rsidRDefault="00000000">
          <w:pPr>
            <w:pStyle w:val="TOC2"/>
            <w:numPr>
              <w:ilvl w:val="1"/>
              <w:numId w:val="15"/>
            </w:numPr>
            <w:tabs>
              <w:tab w:val="left" w:pos="880"/>
              <w:tab w:val="right" w:leader="dot" w:pos="9178"/>
            </w:tabs>
          </w:pPr>
          <w:hyperlink w:anchor="_TOC_250001" w:history="1">
            <w:r w:rsidR="006A6EE2">
              <w:rPr>
                <w:spacing w:val="-2"/>
              </w:rPr>
              <w:t>Implementation</w:t>
            </w:r>
            <w:r w:rsidR="006A6EE2">
              <w:tab/>
            </w:r>
            <w:r w:rsidR="006A6EE2">
              <w:rPr>
                <w:spacing w:val="-5"/>
              </w:rPr>
              <w:t>83</w:t>
            </w:r>
          </w:hyperlink>
        </w:p>
        <w:p w14:paraId="7CB25A82" w14:textId="77777777" w:rsidR="008A4099" w:rsidRDefault="00000000">
          <w:pPr>
            <w:pStyle w:val="TOC3"/>
            <w:tabs>
              <w:tab w:val="right" w:leader="dot" w:pos="9178"/>
            </w:tabs>
            <w:spacing w:before="99"/>
          </w:pPr>
          <w:hyperlink w:anchor="_TOC_250000" w:history="1">
            <w:r w:rsidR="006A6EE2">
              <w:t>TLRI</w:t>
            </w:r>
            <w:r w:rsidR="006A6EE2">
              <w:rPr>
                <w:spacing w:val="-5"/>
              </w:rPr>
              <w:t xml:space="preserve"> </w:t>
            </w:r>
            <w:r w:rsidR="006A6EE2">
              <w:t>2007</w:t>
            </w:r>
            <w:r w:rsidR="006A6EE2">
              <w:rPr>
                <w:spacing w:val="-2"/>
              </w:rPr>
              <w:t xml:space="preserve"> </w:t>
            </w:r>
            <w:r w:rsidR="006A6EE2">
              <w:t>Final</w:t>
            </w:r>
            <w:r w:rsidR="006A6EE2">
              <w:rPr>
                <w:spacing w:val="-2"/>
              </w:rPr>
              <w:t xml:space="preserve"> </w:t>
            </w:r>
            <w:r w:rsidR="006A6EE2">
              <w:t>Report</w:t>
            </w:r>
            <w:r w:rsidR="006A6EE2">
              <w:rPr>
                <w:spacing w:val="-4"/>
              </w:rPr>
              <w:t xml:space="preserve"> </w:t>
            </w:r>
            <w:r w:rsidR="006A6EE2">
              <w:t>and</w:t>
            </w:r>
            <w:r w:rsidR="006A6EE2">
              <w:rPr>
                <w:spacing w:val="-3"/>
              </w:rPr>
              <w:t xml:space="preserve"> </w:t>
            </w:r>
            <w:r w:rsidR="006A6EE2">
              <w:t>subsequent</w:t>
            </w:r>
            <w:r w:rsidR="006A6EE2">
              <w:rPr>
                <w:spacing w:val="-1"/>
              </w:rPr>
              <w:t xml:space="preserve"> </w:t>
            </w:r>
            <w:r w:rsidR="006A6EE2">
              <w:rPr>
                <w:spacing w:val="-2"/>
              </w:rPr>
              <w:t>developments</w:t>
            </w:r>
            <w:r w:rsidR="006A6EE2">
              <w:tab/>
            </w:r>
            <w:r w:rsidR="006A6EE2">
              <w:rPr>
                <w:spacing w:val="-5"/>
              </w:rPr>
              <w:t>83</w:t>
            </w:r>
          </w:hyperlink>
        </w:p>
        <w:p w14:paraId="7CB25A83" w14:textId="61C3C3CA" w:rsidR="008A4099" w:rsidRDefault="006A6EE2">
          <w:pPr>
            <w:pStyle w:val="TOC3"/>
            <w:tabs>
              <w:tab w:val="right" w:leader="dot" w:pos="9178"/>
            </w:tabs>
          </w:pPr>
          <w:r>
            <w:t>TLRI</w:t>
          </w:r>
          <w:r w:rsidR="006847A3">
            <w:t>’s</w:t>
          </w:r>
          <w:r>
            <w:rPr>
              <w:spacing w:val="-4"/>
            </w:rPr>
            <w:t xml:space="preserve"> </w:t>
          </w:r>
          <w:r>
            <w:t>current</w:t>
          </w:r>
          <w:r>
            <w:rPr>
              <w:spacing w:val="-1"/>
            </w:rPr>
            <w:t xml:space="preserve"> </w:t>
          </w:r>
          <w:r>
            <w:t>view</w:t>
          </w:r>
          <w:r>
            <w:rPr>
              <w:spacing w:val="-2"/>
            </w:rPr>
            <w:t xml:space="preserve"> </w:t>
          </w:r>
          <w:r>
            <w:t>and</w:t>
          </w:r>
          <w:r>
            <w:rPr>
              <w:spacing w:val="-4"/>
            </w:rPr>
            <w:t xml:space="preserve"> </w:t>
          </w:r>
          <w:r>
            <w:rPr>
              <w:spacing w:val="-2"/>
            </w:rPr>
            <w:t>recommendations</w:t>
          </w:r>
          <w:r>
            <w:tab/>
          </w:r>
          <w:r>
            <w:rPr>
              <w:spacing w:val="-5"/>
            </w:rPr>
            <w:t>83</w:t>
          </w:r>
        </w:p>
        <w:p w14:paraId="7CB25A84" w14:textId="77777777" w:rsidR="008A4099" w:rsidRDefault="006A6EE2">
          <w:pPr>
            <w:pStyle w:val="TOC4"/>
            <w:tabs>
              <w:tab w:val="right" w:leader="dot" w:pos="9178"/>
            </w:tabs>
            <w:rPr>
              <w:i w:val="0"/>
            </w:rPr>
          </w:pPr>
          <w:r>
            <w:t>Recommendation</w:t>
          </w:r>
          <w:r>
            <w:rPr>
              <w:spacing w:val="-3"/>
            </w:rPr>
            <w:t xml:space="preserve"> </w:t>
          </w:r>
          <w:r>
            <w:t>21</w:t>
          </w:r>
          <w:r>
            <w:rPr>
              <w:spacing w:val="-2"/>
            </w:rPr>
            <w:t xml:space="preserve"> </w:t>
          </w:r>
          <w:r>
            <w:t>–</w:t>
          </w:r>
          <w:r>
            <w:rPr>
              <w:spacing w:val="-5"/>
            </w:rPr>
            <w:t xml:space="preserve"> </w:t>
          </w:r>
          <w:r>
            <w:rPr>
              <w:spacing w:val="-2"/>
            </w:rPr>
            <w:t>Implementation</w:t>
          </w:r>
          <w:r>
            <w:tab/>
          </w:r>
          <w:r>
            <w:rPr>
              <w:i w:val="0"/>
              <w:spacing w:val="-5"/>
            </w:rPr>
            <w:t>83</w:t>
          </w:r>
        </w:p>
        <w:p w14:paraId="7CB25A85" w14:textId="77777777" w:rsidR="008A4099" w:rsidRDefault="006A6EE2">
          <w:pPr>
            <w:pStyle w:val="TOC2"/>
            <w:tabs>
              <w:tab w:val="right" w:leader="dot" w:pos="9178"/>
            </w:tabs>
            <w:spacing w:before="103"/>
            <w:ind w:left="160" w:firstLine="0"/>
          </w:pPr>
          <w:r>
            <w:t>Appendix</w:t>
          </w:r>
          <w:r>
            <w:rPr>
              <w:spacing w:val="-6"/>
            </w:rPr>
            <w:t xml:space="preserve"> </w:t>
          </w:r>
          <w:r>
            <w:t>A:</w:t>
          </w:r>
          <w:r>
            <w:rPr>
              <w:spacing w:val="-1"/>
            </w:rPr>
            <w:t xml:space="preserve"> </w:t>
          </w:r>
          <w:r>
            <w:t>TLRI</w:t>
          </w:r>
          <w:r>
            <w:rPr>
              <w:spacing w:val="-5"/>
            </w:rPr>
            <w:t xml:space="preserve"> </w:t>
          </w:r>
          <w:r>
            <w:t>2007</w:t>
          </w:r>
          <w:r>
            <w:rPr>
              <w:spacing w:val="-2"/>
            </w:rPr>
            <w:t xml:space="preserve"> </w:t>
          </w:r>
          <w:r>
            <w:t>Final</w:t>
          </w:r>
          <w:r>
            <w:rPr>
              <w:spacing w:val="-2"/>
            </w:rPr>
            <w:t xml:space="preserve"> </w:t>
          </w:r>
          <w:r>
            <w:t>Report:</w:t>
          </w:r>
          <w:r>
            <w:rPr>
              <w:spacing w:val="-1"/>
            </w:rPr>
            <w:t xml:space="preserve"> </w:t>
          </w:r>
          <w:r>
            <w:rPr>
              <w:spacing w:val="-2"/>
            </w:rPr>
            <w:t>Recommendations</w:t>
          </w:r>
          <w:r>
            <w:tab/>
          </w:r>
          <w:r>
            <w:rPr>
              <w:spacing w:val="-5"/>
            </w:rPr>
            <w:t>84</w:t>
          </w:r>
        </w:p>
        <w:p w14:paraId="7CB25A86" w14:textId="77777777" w:rsidR="008A4099" w:rsidRDefault="006A6EE2">
          <w:pPr>
            <w:pStyle w:val="TOC2"/>
            <w:tabs>
              <w:tab w:val="right" w:leader="dot" w:pos="9178"/>
            </w:tabs>
            <w:ind w:left="160" w:firstLine="0"/>
          </w:pPr>
          <w:r>
            <w:t>Appendix</w:t>
          </w:r>
          <w:r>
            <w:rPr>
              <w:spacing w:val="-8"/>
            </w:rPr>
            <w:t xml:space="preserve"> </w:t>
          </w:r>
          <w:r>
            <w:t>B:</w:t>
          </w:r>
          <w:r>
            <w:rPr>
              <w:spacing w:val="-2"/>
            </w:rPr>
            <w:t xml:space="preserve"> </w:t>
          </w:r>
          <w:r>
            <w:t>Rights</w:t>
          </w:r>
          <w:r>
            <w:rPr>
              <w:spacing w:val="-3"/>
            </w:rPr>
            <w:t xml:space="preserve"> </w:t>
          </w:r>
          <w:r>
            <w:t>protected</w:t>
          </w:r>
          <w:r>
            <w:rPr>
              <w:spacing w:val="-3"/>
            </w:rPr>
            <w:t xml:space="preserve"> </w:t>
          </w:r>
          <w:r>
            <w:t>in</w:t>
          </w:r>
          <w:r>
            <w:rPr>
              <w:spacing w:val="-6"/>
            </w:rPr>
            <w:t xml:space="preserve"> </w:t>
          </w:r>
          <w:r>
            <w:t>each</w:t>
          </w:r>
          <w:r>
            <w:rPr>
              <w:spacing w:val="-2"/>
            </w:rPr>
            <w:t xml:space="preserve"> </w:t>
          </w:r>
          <w:r>
            <w:t>jurisdiction</w:t>
          </w:r>
          <w:r>
            <w:rPr>
              <w:spacing w:val="-3"/>
            </w:rPr>
            <w:t xml:space="preserve"> </w:t>
          </w:r>
          <w:r>
            <w:t>with</w:t>
          </w:r>
          <w:r>
            <w:rPr>
              <w:spacing w:val="-6"/>
            </w:rPr>
            <w:t xml:space="preserve"> </w:t>
          </w:r>
          <w:r>
            <w:t>a</w:t>
          </w:r>
          <w:r>
            <w:rPr>
              <w:spacing w:val="-3"/>
            </w:rPr>
            <w:t xml:space="preserve"> </w:t>
          </w:r>
          <w:r>
            <w:t>human</w:t>
          </w:r>
          <w:r>
            <w:rPr>
              <w:spacing w:val="-3"/>
            </w:rPr>
            <w:t xml:space="preserve"> </w:t>
          </w:r>
          <w:r>
            <w:t>rights</w:t>
          </w:r>
          <w:r>
            <w:rPr>
              <w:spacing w:val="-4"/>
            </w:rPr>
            <w:t xml:space="preserve"> </w:t>
          </w:r>
          <w:r>
            <w:rPr>
              <w:spacing w:val="-2"/>
            </w:rPr>
            <w:t>enactment</w:t>
          </w:r>
          <w:r>
            <w:tab/>
          </w:r>
          <w:r>
            <w:rPr>
              <w:spacing w:val="-5"/>
            </w:rPr>
            <w:t>96</w:t>
          </w:r>
        </w:p>
        <w:p w14:paraId="7CB25A87" w14:textId="77777777" w:rsidR="008A4099" w:rsidRDefault="006A6EE2">
          <w:pPr>
            <w:pStyle w:val="TOC2"/>
            <w:tabs>
              <w:tab w:val="right" w:leader="dot" w:pos="9178"/>
            </w:tabs>
            <w:spacing w:before="99"/>
            <w:ind w:left="160" w:firstLine="0"/>
          </w:pPr>
          <w:r>
            <w:t>Appendix</w:t>
          </w:r>
          <w:r>
            <w:rPr>
              <w:spacing w:val="-9"/>
            </w:rPr>
            <w:t xml:space="preserve"> </w:t>
          </w:r>
          <w:r>
            <w:t>C:</w:t>
          </w:r>
          <w:r>
            <w:rPr>
              <w:spacing w:val="-3"/>
            </w:rPr>
            <w:t xml:space="preserve"> </w:t>
          </w:r>
          <w:r>
            <w:t>Organisations/individuals</w:t>
          </w:r>
          <w:r>
            <w:rPr>
              <w:spacing w:val="-3"/>
            </w:rPr>
            <w:t xml:space="preserve"> </w:t>
          </w:r>
          <w:r>
            <w:t>who</w:t>
          </w:r>
          <w:r>
            <w:rPr>
              <w:spacing w:val="-7"/>
            </w:rPr>
            <w:t xml:space="preserve"> </w:t>
          </w:r>
          <w:r>
            <w:t>provided</w:t>
          </w:r>
          <w:r>
            <w:rPr>
              <w:spacing w:val="-6"/>
            </w:rPr>
            <w:t xml:space="preserve"> </w:t>
          </w:r>
          <w:r>
            <w:t>advice</w:t>
          </w:r>
          <w:r>
            <w:rPr>
              <w:spacing w:val="-4"/>
            </w:rPr>
            <w:t xml:space="preserve"> </w:t>
          </w:r>
          <w:r>
            <w:t>to</w:t>
          </w:r>
          <w:r>
            <w:rPr>
              <w:spacing w:val="-4"/>
            </w:rPr>
            <w:t xml:space="preserve"> </w:t>
          </w:r>
          <w:r>
            <w:t>the</w:t>
          </w:r>
          <w:r>
            <w:rPr>
              <w:spacing w:val="-4"/>
            </w:rPr>
            <w:t xml:space="preserve"> </w:t>
          </w:r>
          <w:r>
            <w:t>TLRI</w:t>
          </w:r>
          <w:r>
            <w:rPr>
              <w:spacing w:val="-5"/>
            </w:rPr>
            <w:t xml:space="preserve"> </w:t>
          </w:r>
          <w:r>
            <w:t>during</w:t>
          </w:r>
          <w:r>
            <w:rPr>
              <w:spacing w:val="-4"/>
            </w:rPr>
            <w:t xml:space="preserve"> </w:t>
          </w:r>
          <w:r>
            <w:t>this</w:t>
          </w:r>
          <w:r>
            <w:rPr>
              <w:spacing w:val="-3"/>
            </w:rPr>
            <w:t xml:space="preserve"> </w:t>
          </w:r>
          <w:r>
            <w:rPr>
              <w:spacing w:val="-2"/>
            </w:rPr>
            <w:t>Review</w:t>
          </w:r>
          <w:r>
            <w:tab/>
          </w:r>
          <w:r>
            <w:rPr>
              <w:spacing w:val="-5"/>
            </w:rPr>
            <w:t>99</w:t>
          </w:r>
        </w:p>
      </w:sdtContent>
    </w:sdt>
    <w:p w14:paraId="7CB25A88" w14:textId="77777777" w:rsidR="008A4099" w:rsidRDefault="008A4099">
      <w:pPr>
        <w:sectPr w:rsidR="008A4099" w:rsidSect="00D43B2D">
          <w:type w:val="continuous"/>
          <w:pgSz w:w="11910" w:h="16840"/>
          <w:pgMar w:top="1380" w:right="760" w:bottom="1456" w:left="1280" w:header="0" w:footer="753" w:gutter="0"/>
          <w:cols w:space="720"/>
        </w:sectPr>
      </w:pPr>
    </w:p>
    <w:p w14:paraId="7CB25A89" w14:textId="77777777" w:rsidR="008A4099" w:rsidRDefault="006A6EE2">
      <w:pPr>
        <w:pStyle w:val="BodyText"/>
        <w:spacing w:before="220"/>
        <w:ind w:left="160" w:right="679"/>
        <w:jc w:val="both"/>
      </w:pPr>
      <w:r>
        <w:rPr>
          <w:w w:val="105"/>
        </w:rPr>
        <w:lastRenderedPageBreak/>
        <w:t>The Tasmania Law Reform Institute is Tasmania’s peak independent law reform body. The Institute</w:t>
      </w:r>
      <w:r>
        <w:rPr>
          <w:spacing w:val="40"/>
          <w:w w:val="105"/>
        </w:rPr>
        <w:t xml:space="preserve"> </w:t>
      </w:r>
      <w:r>
        <w:rPr>
          <w:w w:val="105"/>
        </w:rPr>
        <w:t>was</w:t>
      </w:r>
      <w:r>
        <w:rPr>
          <w:spacing w:val="37"/>
          <w:w w:val="105"/>
        </w:rPr>
        <w:t xml:space="preserve"> </w:t>
      </w:r>
      <w:r>
        <w:rPr>
          <w:w w:val="105"/>
        </w:rPr>
        <w:t>established</w:t>
      </w:r>
      <w:r>
        <w:rPr>
          <w:spacing w:val="40"/>
          <w:w w:val="105"/>
        </w:rPr>
        <w:t xml:space="preserve"> </w:t>
      </w:r>
      <w:r>
        <w:rPr>
          <w:w w:val="105"/>
        </w:rPr>
        <w:t>on</w:t>
      </w:r>
      <w:r>
        <w:rPr>
          <w:spacing w:val="38"/>
          <w:w w:val="105"/>
        </w:rPr>
        <w:t xml:space="preserve"> </w:t>
      </w:r>
      <w:r>
        <w:rPr>
          <w:w w:val="105"/>
        </w:rPr>
        <w:t>23</w:t>
      </w:r>
      <w:r>
        <w:rPr>
          <w:spacing w:val="36"/>
          <w:w w:val="105"/>
        </w:rPr>
        <w:t xml:space="preserve"> </w:t>
      </w:r>
      <w:r>
        <w:rPr>
          <w:w w:val="105"/>
        </w:rPr>
        <w:t>July</w:t>
      </w:r>
      <w:r>
        <w:rPr>
          <w:spacing w:val="39"/>
          <w:w w:val="105"/>
        </w:rPr>
        <w:t xml:space="preserve"> </w:t>
      </w:r>
      <w:r>
        <w:rPr>
          <w:w w:val="105"/>
        </w:rPr>
        <w:t>2001</w:t>
      </w:r>
      <w:r>
        <w:rPr>
          <w:spacing w:val="38"/>
          <w:w w:val="105"/>
        </w:rPr>
        <w:t xml:space="preserve"> </w:t>
      </w:r>
      <w:r>
        <w:rPr>
          <w:w w:val="105"/>
        </w:rPr>
        <w:t>by</w:t>
      </w:r>
      <w:r>
        <w:rPr>
          <w:spacing w:val="38"/>
          <w:w w:val="105"/>
        </w:rPr>
        <w:t xml:space="preserve"> </w:t>
      </w:r>
      <w:r>
        <w:rPr>
          <w:w w:val="105"/>
        </w:rPr>
        <w:t>agreement</w:t>
      </w:r>
      <w:r>
        <w:rPr>
          <w:spacing w:val="40"/>
          <w:w w:val="105"/>
        </w:rPr>
        <w:t xml:space="preserve"> </w:t>
      </w:r>
      <w:r>
        <w:rPr>
          <w:w w:val="105"/>
        </w:rPr>
        <w:t>between</w:t>
      </w:r>
      <w:r>
        <w:rPr>
          <w:spacing w:val="37"/>
          <w:w w:val="105"/>
        </w:rPr>
        <w:t xml:space="preserve"> </w:t>
      </w:r>
      <w:r>
        <w:rPr>
          <w:w w:val="105"/>
        </w:rPr>
        <w:t>the Government of the State of Tasmania, the University of Tasmania and The Law Society of</w:t>
      </w:r>
      <w:r>
        <w:rPr>
          <w:spacing w:val="40"/>
          <w:w w:val="105"/>
        </w:rPr>
        <w:t xml:space="preserve"> </w:t>
      </w:r>
      <w:r>
        <w:rPr>
          <w:w w:val="105"/>
        </w:rPr>
        <w:t>Tasmania. The creation of the Institute was part of a Partnership Agreement between the University and the</w:t>
      </w:r>
      <w:r>
        <w:rPr>
          <w:spacing w:val="-15"/>
          <w:w w:val="105"/>
        </w:rPr>
        <w:t xml:space="preserve"> </w:t>
      </w:r>
      <w:r>
        <w:rPr>
          <w:w w:val="105"/>
        </w:rPr>
        <w:t>State Government signed in 2000. The Institute is based at the Sandy Bay campus of the University of</w:t>
      </w:r>
      <w:r>
        <w:rPr>
          <w:spacing w:val="-6"/>
          <w:w w:val="105"/>
        </w:rPr>
        <w:t xml:space="preserve"> </w:t>
      </w:r>
      <w:r>
        <w:rPr>
          <w:w w:val="105"/>
        </w:rPr>
        <w:t>Tasmania within the Faculty of Law. The Institute undertakes law reform work and research on topics proposed by the Government, the community, the University and the Institute</w:t>
      </w:r>
      <w:r>
        <w:rPr>
          <w:spacing w:val="-17"/>
          <w:w w:val="105"/>
        </w:rPr>
        <w:t xml:space="preserve"> </w:t>
      </w:r>
      <w:r>
        <w:rPr>
          <w:w w:val="105"/>
        </w:rPr>
        <w:t>itself.</w:t>
      </w:r>
    </w:p>
    <w:p w14:paraId="7CB25A8A" w14:textId="77777777" w:rsidR="008A4099" w:rsidRDefault="006A6EE2">
      <w:pPr>
        <w:pStyle w:val="BodyText"/>
        <w:spacing w:before="221"/>
        <w:ind w:left="160" w:right="697"/>
        <w:jc w:val="both"/>
      </w:pPr>
      <w:r>
        <w:rPr>
          <w:w w:val="105"/>
        </w:rPr>
        <w:t>The work of the Institute is to conduct impartial and independent reviews or research on areas of law and legal policy in order to provide independent and impartial advice and recommendations on the area investigated, with a view to, or for the purposes of:</w:t>
      </w:r>
    </w:p>
    <w:p w14:paraId="7CB25A8B" w14:textId="77777777" w:rsidR="008A4099" w:rsidRDefault="006A6EE2">
      <w:pPr>
        <w:pStyle w:val="ListParagraph"/>
        <w:numPr>
          <w:ilvl w:val="0"/>
          <w:numId w:val="14"/>
        </w:numPr>
        <w:tabs>
          <w:tab w:val="left" w:pos="981"/>
        </w:tabs>
        <w:spacing w:before="227"/>
        <w:jc w:val="left"/>
      </w:pPr>
      <w:r>
        <w:rPr>
          <w:w w:val="105"/>
        </w:rPr>
        <w:t>the</w:t>
      </w:r>
      <w:r>
        <w:rPr>
          <w:spacing w:val="-4"/>
          <w:w w:val="105"/>
        </w:rPr>
        <w:t xml:space="preserve"> </w:t>
      </w:r>
      <w:r>
        <w:rPr>
          <w:w w:val="105"/>
        </w:rPr>
        <w:t>modernisation</w:t>
      </w:r>
      <w:r>
        <w:rPr>
          <w:spacing w:val="-4"/>
          <w:w w:val="105"/>
        </w:rPr>
        <w:t xml:space="preserve"> </w:t>
      </w:r>
      <w:r>
        <w:rPr>
          <w:w w:val="105"/>
        </w:rPr>
        <w:t>of</w:t>
      </w:r>
      <w:r>
        <w:rPr>
          <w:spacing w:val="-3"/>
          <w:w w:val="105"/>
        </w:rPr>
        <w:t xml:space="preserve"> </w:t>
      </w:r>
      <w:r>
        <w:rPr>
          <w:w w:val="105"/>
        </w:rPr>
        <w:t>the</w:t>
      </w:r>
      <w:r>
        <w:rPr>
          <w:spacing w:val="-6"/>
          <w:w w:val="105"/>
        </w:rPr>
        <w:t xml:space="preserve"> </w:t>
      </w:r>
      <w:r>
        <w:rPr>
          <w:w w:val="105"/>
        </w:rPr>
        <w:t>law;</w:t>
      </w:r>
      <w:r>
        <w:rPr>
          <w:spacing w:val="-2"/>
          <w:w w:val="105"/>
        </w:rPr>
        <w:t xml:space="preserve"> and/or</w:t>
      </w:r>
    </w:p>
    <w:p w14:paraId="7CB25A8C" w14:textId="77777777" w:rsidR="008A4099" w:rsidRDefault="006A6EE2">
      <w:pPr>
        <w:pStyle w:val="ListParagraph"/>
        <w:numPr>
          <w:ilvl w:val="0"/>
          <w:numId w:val="14"/>
        </w:numPr>
        <w:tabs>
          <w:tab w:val="left" w:pos="981"/>
        </w:tabs>
        <w:spacing w:before="240"/>
        <w:ind w:hanging="547"/>
        <w:jc w:val="left"/>
      </w:pPr>
      <w:r>
        <w:rPr>
          <w:w w:val="105"/>
        </w:rPr>
        <w:t>the</w:t>
      </w:r>
      <w:r>
        <w:rPr>
          <w:spacing w:val="-5"/>
          <w:w w:val="105"/>
        </w:rPr>
        <w:t xml:space="preserve"> </w:t>
      </w:r>
      <w:r>
        <w:rPr>
          <w:w w:val="105"/>
        </w:rPr>
        <w:t>elimination</w:t>
      </w:r>
      <w:r>
        <w:rPr>
          <w:spacing w:val="-3"/>
          <w:w w:val="105"/>
        </w:rPr>
        <w:t xml:space="preserve"> </w:t>
      </w:r>
      <w:r>
        <w:rPr>
          <w:w w:val="105"/>
        </w:rPr>
        <w:t>of</w:t>
      </w:r>
      <w:r>
        <w:rPr>
          <w:spacing w:val="-2"/>
          <w:w w:val="105"/>
        </w:rPr>
        <w:t xml:space="preserve"> </w:t>
      </w:r>
      <w:r>
        <w:rPr>
          <w:w w:val="105"/>
        </w:rPr>
        <w:t>defects</w:t>
      </w:r>
      <w:r>
        <w:rPr>
          <w:spacing w:val="-2"/>
          <w:w w:val="105"/>
        </w:rPr>
        <w:t xml:space="preserve"> </w:t>
      </w:r>
      <w:r>
        <w:rPr>
          <w:w w:val="105"/>
        </w:rPr>
        <w:t>in</w:t>
      </w:r>
      <w:r>
        <w:rPr>
          <w:spacing w:val="-6"/>
          <w:w w:val="105"/>
        </w:rPr>
        <w:t xml:space="preserve"> </w:t>
      </w:r>
      <w:r>
        <w:rPr>
          <w:w w:val="105"/>
        </w:rPr>
        <w:t>the</w:t>
      </w:r>
      <w:r>
        <w:rPr>
          <w:spacing w:val="-3"/>
          <w:w w:val="105"/>
        </w:rPr>
        <w:t xml:space="preserve"> </w:t>
      </w:r>
      <w:r>
        <w:rPr>
          <w:w w:val="105"/>
        </w:rPr>
        <w:t>law;</w:t>
      </w:r>
      <w:r>
        <w:rPr>
          <w:spacing w:val="-2"/>
          <w:w w:val="105"/>
        </w:rPr>
        <w:t xml:space="preserve"> and/or</w:t>
      </w:r>
    </w:p>
    <w:p w14:paraId="7CB25A8D" w14:textId="77777777" w:rsidR="008A4099" w:rsidRDefault="006A6EE2">
      <w:pPr>
        <w:pStyle w:val="ListParagraph"/>
        <w:numPr>
          <w:ilvl w:val="0"/>
          <w:numId w:val="14"/>
        </w:numPr>
        <w:tabs>
          <w:tab w:val="left" w:pos="981"/>
        </w:tabs>
        <w:spacing w:before="237"/>
        <w:ind w:hanging="612"/>
        <w:jc w:val="left"/>
      </w:pPr>
      <w:r>
        <w:rPr>
          <w:w w:val="105"/>
        </w:rPr>
        <w:t>the</w:t>
      </w:r>
      <w:r>
        <w:rPr>
          <w:spacing w:val="-5"/>
          <w:w w:val="105"/>
        </w:rPr>
        <w:t xml:space="preserve"> </w:t>
      </w:r>
      <w:r>
        <w:rPr>
          <w:w w:val="105"/>
        </w:rPr>
        <w:t>simplification</w:t>
      </w:r>
      <w:r>
        <w:rPr>
          <w:spacing w:val="-3"/>
          <w:w w:val="105"/>
        </w:rPr>
        <w:t xml:space="preserve"> </w:t>
      </w:r>
      <w:r>
        <w:rPr>
          <w:w w:val="105"/>
        </w:rPr>
        <w:t>of</w:t>
      </w:r>
      <w:r>
        <w:rPr>
          <w:spacing w:val="-5"/>
          <w:w w:val="105"/>
        </w:rPr>
        <w:t xml:space="preserve"> </w:t>
      </w:r>
      <w:r>
        <w:rPr>
          <w:w w:val="105"/>
        </w:rPr>
        <w:t>the</w:t>
      </w:r>
      <w:r>
        <w:rPr>
          <w:spacing w:val="-5"/>
          <w:w w:val="105"/>
        </w:rPr>
        <w:t xml:space="preserve"> </w:t>
      </w:r>
      <w:r>
        <w:rPr>
          <w:w w:val="105"/>
        </w:rPr>
        <w:t>law;</w:t>
      </w:r>
      <w:r>
        <w:rPr>
          <w:spacing w:val="-2"/>
          <w:w w:val="105"/>
        </w:rPr>
        <w:t xml:space="preserve"> and/or</w:t>
      </w:r>
    </w:p>
    <w:p w14:paraId="7CB25A8E" w14:textId="77777777" w:rsidR="008A4099" w:rsidRDefault="006A6EE2">
      <w:pPr>
        <w:pStyle w:val="ListParagraph"/>
        <w:numPr>
          <w:ilvl w:val="0"/>
          <w:numId w:val="14"/>
        </w:numPr>
        <w:tabs>
          <w:tab w:val="left" w:pos="981"/>
        </w:tabs>
        <w:spacing w:before="239"/>
        <w:ind w:hanging="598"/>
        <w:jc w:val="left"/>
      </w:pPr>
      <w:r>
        <w:rPr>
          <w:w w:val="105"/>
        </w:rPr>
        <w:t>the</w:t>
      </w:r>
      <w:r>
        <w:rPr>
          <w:spacing w:val="-6"/>
          <w:w w:val="105"/>
        </w:rPr>
        <w:t xml:space="preserve"> </w:t>
      </w:r>
      <w:r>
        <w:rPr>
          <w:w w:val="105"/>
        </w:rPr>
        <w:t>consolidation</w:t>
      </w:r>
      <w:r>
        <w:rPr>
          <w:spacing w:val="-3"/>
          <w:w w:val="105"/>
        </w:rPr>
        <w:t xml:space="preserve"> </w:t>
      </w:r>
      <w:r>
        <w:rPr>
          <w:w w:val="105"/>
        </w:rPr>
        <w:t>of</w:t>
      </w:r>
      <w:r>
        <w:rPr>
          <w:spacing w:val="-2"/>
          <w:w w:val="105"/>
        </w:rPr>
        <w:t xml:space="preserve"> </w:t>
      </w:r>
      <w:r>
        <w:rPr>
          <w:w w:val="105"/>
        </w:rPr>
        <w:t>any</w:t>
      </w:r>
      <w:r>
        <w:rPr>
          <w:spacing w:val="-6"/>
          <w:w w:val="105"/>
        </w:rPr>
        <w:t xml:space="preserve"> </w:t>
      </w:r>
      <w:r>
        <w:rPr>
          <w:w w:val="105"/>
        </w:rPr>
        <w:t>laws;</w:t>
      </w:r>
      <w:r>
        <w:rPr>
          <w:spacing w:val="-4"/>
          <w:w w:val="105"/>
        </w:rPr>
        <w:t xml:space="preserve"> </w:t>
      </w:r>
      <w:r>
        <w:rPr>
          <w:spacing w:val="-2"/>
          <w:w w:val="105"/>
        </w:rPr>
        <w:t>and/or</w:t>
      </w:r>
    </w:p>
    <w:p w14:paraId="7CB25A8F" w14:textId="77777777" w:rsidR="008A4099" w:rsidRDefault="006A6EE2">
      <w:pPr>
        <w:pStyle w:val="ListParagraph"/>
        <w:numPr>
          <w:ilvl w:val="0"/>
          <w:numId w:val="14"/>
        </w:numPr>
        <w:tabs>
          <w:tab w:val="left" w:pos="981"/>
        </w:tabs>
        <w:spacing w:before="239"/>
        <w:ind w:hanging="535"/>
        <w:jc w:val="left"/>
      </w:pPr>
      <w:r>
        <w:rPr>
          <w:w w:val="105"/>
        </w:rPr>
        <w:t>the</w:t>
      </w:r>
      <w:r>
        <w:rPr>
          <w:spacing w:val="-6"/>
          <w:w w:val="105"/>
        </w:rPr>
        <w:t xml:space="preserve"> </w:t>
      </w:r>
      <w:r>
        <w:rPr>
          <w:w w:val="105"/>
        </w:rPr>
        <w:t>repeal</w:t>
      </w:r>
      <w:r>
        <w:rPr>
          <w:spacing w:val="-1"/>
          <w:w w:val="105"/>
        </w:rPr>
        <w:t xml:space="preserve"> </w:t>
      </w:r>
      <w:r>
        <w:rPr>
          <w:w w:val="105"/>
        </w:rPr>
        <w:t>of</w:t>
      </w:r>
      <w:r>
        <w:rPr>
          <w:spacing w:val="-6"/>
          <w:w w:val="105"/>
        </w:rPr>
        <w:t xml:space="preserve"> </w:t>
      </w:r>
      <w:r>
        <w:rPr>
          <w:w w:val="105"/>
        </w:rPr>
        <w:t>laws</w:t>
      </w:r>
      <w:r>
        <w:rPr>
          <w:spacing w:val="-4"/>
          <w:w w:val="105"/>
        </w:rPr>
        <w:t xml:space="preserve"> </w:t>
      </w:r>
      <w:r>
        <w:rPr>
          <w:w w:val="105"/>
        </w:rPr>
        <w:t>that</w:t>
      </w:r>
      <w:r>
        <w:rPr>
          <w:spacing w:val="-2"/>
          <w:w w:val="105"/>
        </w:rPr>
        <w:t xml:space="preserve"> </w:t>
      </w:r>
      <w:r>
        <w:rPr>
          <w:w w:val="105"/>
        </w:rPr>
        <w:t>are</w:t>
      </w:r>
      <w:r>
        <w:rPr>
          <w:spacing w:val="-3"/>
          <w:w w:val="105"/>
        </w:rPr>
        <w:t xml:space="preserve"> </w:t>
      </w:r>
      <w:r>
        <w:rPr>
          <w:w w:val="105"/>
        </w:rPr>
        <w:t>obsolete</w:t>
      </w:r>
      <w:r>
        <w:rPr>
          <w:spacing w:val="-4"/>
          <w:w w:val="105"/>
        </w:rPr>
        <w:t xml:space="preserve"> </w:t>
      </w:r>
      <w:r>
        <w:rPr>
          <w:w w:val="105"/>
        </w:rPr>
        <w:t>or</w:t>
      </w:r>
      <w:r>
        <w:rPr>
          <w:spacing w:val="-3"/>
          <w:w w:val="105"/>
        </w:rPr>
        <w:t xml:space="preserve"> </w:t>
      </w:r>
      <w:r>
        <w:rPr>
          <w:w w:val="105"/>
        </w:rPr>
        <w:t>unnecessary;</w:t>
      </w:r>
      <w:r>
        <w:rPr>
          <w:spacing w:val="-2"/>
          <w:w w:val="105"/>
        </w:rPr>
        <w:t xml:space="preserve"> and/or</w:t>
      </w:r>
    </w:p>
    <w:p w14:paraId="7CB25A90" w14:textId="77777777" w:rsidR="008A4099" w:rsidRDefault="006A6EE2">
      <w:pPr>
        <w:pStyle w:val="ListParagraph"/>
        <w:numPr>
          <w:ilvl w:val="0"/>
          <w:numId w:val="14"/>
        </w:numPr>
        <w:tabs>
          <w:tab w:val="left" w:pos="981"/>
        </w:tabs>
        <w:spacing w:before="239" w:line="252" w:lineRule="auto"/>
        <w:ind w:right="809" w:hanging="598"/>
        <w:jc w:val="left"/>
      </w:pPr>
      <w:r>
        <w:rPr>
          <w:w w:val="105"/>
        </w:rPr>
        <w:t>adopting</w:t>
      </w:r>
      <w:r>
        <w:rPr>
          <w:spacing w:val="40"/>
          <w:w w:val="105"/>
        </w:rPr>
        <w:t xml:space="preserve"> </w:t>
      </w:r>
      <w:r>
        <w:rPr>
          <w:w w:val="105"/>
        </w:rPr>
        <w:t>new</w:t>
      </w:r>
      <w:r>
        <w:rPr>
          <w:spacing w:val="40"/>
          <w:w w:val="105"/>
        </w:rPr>
        <w:t xml:space="preserve"> </w:t>
      </w:r>
      <w:r>
        <w:rPr>
          <w:w w:val="105"/>
        </w:rPr>
        <w:t>or</w:t>
      </w:r>
      <w:r>
        <w:rPr>
          <w:spacing w:val="40"/>
          <w:w w:val="105"/>
        </w:rPr>
        <w:t xml:space="preserve"> </w:t>
      </w:r>
      <w:r>
        <w:rPr>
          <w:w w:val="105"/>
        </w:rPr>
        <w:t>more</w:t>
      </w:r>
      <w:r>
        <w:rPr>
          <w:spacing w:val="40"/>
          <w:w w:val="105"/>
        </w:rPr>
        <w:t xml:space="preserve"> </w:t>
      </w:r>
      <w:r>
        <w:rPr>
          <w:w w:val="105"/>
        </w:rPr>
        <w:t>effective</w:t>
      </w:r>
      <w:r>
        <w:rPr>
          <w:spacing w:val="40"/>
          <w:w w:val="105"/>
        </w:rPr>
        <w:t xml:space="preserve"> </w:t>
      </w:r>
      <w:r>
        <w:rPr>
          <w:w w:val="105"/>
        </w:rPr>
        <w:t>methods</w:t>
      </w:r>
      <w:r>
        <w:rPr>
          <w:spacing w:val="40"/>
          <w:w w:val="105"/>
        </w:rPr>
        <w:t xml:space="preserve"> </w:t>
      </w:r>
      <w:r>
        <w:rPr>
          <w:w w:val="105"/>
        </w:rPr>
        <w:t>for</w:t>
      </w:r>
      <w:r>
        <w:rPr>
          <w:spacing w:val="40"/>
          <w:w w:val="105"/>
        </w:rPr>
        <w:t xml:space="preserve"> </w:t>
      </w:r>
      <w:r>
        <w:rPr>
          <w:w w:val="105"/>
        </w:rPr>
        <w:t>administering</w:t>
      </w:r>
      <w:r>
        <w:rPr>
          <w:spacing w:val="40"/>
          <w:w w:val="105"/>
        </w:rPr>
        <w:t xml:space="preserve"> </w:t>
      </w:r>
      <w:r>
        <w:rPr>
          <w:w w:val="105"/>
        </w:rPr>
        <w:t>the</w:t>
      </w:r>
      <w:r>
        <w:rPr>
          <w:spacing w:val="40"/>
          <w:w w:val="105"/>
        </w:rPr>
        <w:t xml:space="preserve"> </w:t>
      </w:r>
      <w:r>
        <w:rPr>
          <w:w w:val="105"/>
        </w:rPr>
        <w:t>law</w:t>
      </w:r>
      <w:r>
        <w:rPr>
          <w:spacing w:val="40"/>
          <w:w w:val="105"/>
        </w:rPr>
        <w:t xml:space="preserve"> </w:t>
      </w:r>
      <w:r>
        <w:rPr>
          <w:w w:val="105"/>
        </w:rPr>
        <w:t>and</w:t>
      </w:r>
      <w:r>
        <w:rPr>
          <w:spacing w:val="40"/>
          <w:w w:val="105"/>
        </w:rPr>
        <w:t xml:space="preserve"> </w:t>
      </w:r>
      <w:r>
        <w:rPr>
          <w:w w:val="105"/>
        </w:rPr>
        <w:t>dispensing justice; and/or</w:t>
      </w:r>
    </w:p>
    <w:p w14:paraId="7CB25A91" w14:textId="77777777" w:rsidR="008A4099" w:rsidRDefault="006A6EE2">
      <w:pPr>
        <w:pStyle w:val="ListParagraph"/>
        <w:numPr>
          <w:ilvl w:val="0"/>
          <w:numId w:val="14"/>
        </w:numPr>
        <w:tabs>
          <w:tab w:val="left" w:pos="981"/>
        </w:tabs>
        <w:spacing w:before="224"/>
        <w:ind w:hanging="663"/>
        <w:jc w:val="left"/>
      </w:pPr>
      <w:r>
        <w:rPr>
          <w:w w:val="105"/>
        </w:rPr>
        <w:t>providing</w:t>
      </w:r>
      <w:r>
        <w:rPr>
          <w:spacing w:val="-6"/>
          <w:w w:val="105"/>
        </w:rPr>
        <w:t xml:space="preserve"> </w:t>
      </w:r>
      <w:r>
        <w:rPr>
          <w:w w:val="105"/>
        </w:rPr>
        <w:t>improved</w:t>
      </w:r>
      <w:r>
        <w:rPr>
          <w:spacing w:val="-3"/>
          <w:w w:val="105"/>
        </w:rPr>
        <w:t xml:space="preserve"> </w:t>
      </w:r>
      <w:r>
        <w:rPr>
          <w:w w:val="105"/>
        </w:rPr>
        <w:t>access</w:t>
      </w:r>
      <w:r>
        <w:rPr>
          <w:spacing w:val="-3"/>
          <w:w w:val="105"/>
        </w:rPr>
        <w:t xml:space="preserve"> </w:t>
      </w:r>
      <w:r>
        <w:rPr>
          <w:w w:val="105"/>
        </w:rPr>
        <w:t>to</w:t>
      </w:r>
      <w:r>
        <w:rPr>
          <w:spacing w:val="-6"/>
          <w:w w:val="105"/>
        </w:rPr>
        <w:t xml:space="preserve"> </w:t>
      </w:r>
      <w:r>
        <w:rPr>
          <w:w w:val="105"/>
        </w:rPr>
        <w:t>justice;</w:t>
      </w:r>
      <w:r>
        <w:rPr>
          <w:spacing w:val="-4"/>
          <w:w w:val="105"/>
        </w:rPr>
        <w:t xml:space="preserve"> </w:t>
      </w:r>
      <w:r>
        <w:rPr>
          <w:spacing w:val="-2"/>
          <w:w w:val="105"/>
        </w:rPr>
        <w:t>and/or</w:t>
      </w:r>
    </w:p>
    <w:p w14:paraId="7CB25A92" w14:textId="77777777" w:rsidR="008A4099" w:rsidRDefault="006A6EE2">
      <w:pPr>
        <w:pStyle w:val="ListParagraph"/>
        <w:numPr>
          <w:ilvl w:val="0"/>
          <w:numId w:val="14"/>
        </w:numPr>
        <w:tabs>
          <w:tab w:val="left" w:pos="981"/>
        </w:tabs>
        <w:spacing w:before="240"/>
        <w:ind w:hanging="727"/>
        <w:jc w:val="left"/>
      </w:pPr>
      <w:r>
        <w:rPr>
          <w:w w:val="105"/>
        </w:rPr>
        <w:t>uniformity</w:t>
      </w:r>
      <w:r>
        <w:rPr>
          <w:spacing w:val="-5"/>
          <w:w w:val="105"/>
        </w:rPr>
        <w:t xml:space="preserve"> </w:t>
      </w:r>
      <w:r>
        <w:rPr>
          <w:w w:val="105"/>
        </w:rPr>
        <w:t>between</w:t>
      </w:r>
      <w:r>
        <w:rPr>
          <w:spacing w:val="-7"/>
          <w:w w:val="105"/>
        </w:rPr>
        <w:t xml:space="preserve"> </w:t>
      </w:r>
      <w:r>
        <w:rPr>
          <w:w w:val="105"/>
        </w:rPr>
        <w:t>laws</w:t>
      </w:r>
      <w:r>
        <w:rPr>
          <w:spacing w:val="-3"/>
          <w:w w:val="105"/>
        </w:rPr>
        <w:t xml:space="preserve"> </w:t>
      </w:r>
      <w:r>
        <w:rPr>
          <w:w w:val="105"/>
        </w:rPr>
        <w:t>of</w:t>
      </w:r>
      <w:r>
        <w:rPr>
          <w:spacing w:val="-4"/>
          <w:w w:val="105"/>
        </w:rPr>
        <w:t xml:space="preserve"> </w:t>
      </w:r>
      <w:r>
        <w:rPr>
          <w:w w:val="105"/>
        </w:rPr>
        <w:t>other</w:t>
      </w:r>
      <w:r>
        <w:rPr>
          <w:spacing w:val="-2"/>
          <w:w w:val="105"/>
        </w:rPr>
        <w:t xml:space="preserve"> </w:t>
      </w:r>
      <w:r>
        <w:rPr>
          <w:w w:val="105"/>
        </w:rPr>
        <w:t>states,</w:t>
      </w:r>
      <w:r>
        <w:rPr>
          <w:spacing w:val="-5"/>
          <w:w w:val="105"/>
        </w:rPr>
        <w:t xml:space="preserve"> </w:t>
      </w:r>
      <w:r>
        <w:rPr>
          <w:w w:val="105"/>
        </w:rPr>
        <w:t>territories</w:t>
      </w:r>
      <w:r>
        <w:rPr>
          <w:spacing w:val="-4"/>
          <w:w w:val="105"/>
        </w:rPr>
        <w:t xml:space="preserve"> </w:t>
      </w:r>
      <w:r>
        <w:rPr>
          <w:w w:val="105"/>
        </w:rPr>
        <w:t>and</w:t>
      </w:r>
      <w:r>
        <w:rPr>
          <w:spacing w:val="-7"/>
          <w:w w:val="105"/>
        </w:rPr>
        <w:t xml:space="preserve"> </w:t>
      </w:r>
      <w:r>
        <w:rPr>
          <w:w w:val="105"/>
        </w:rPr>
        <w:t>the</w:t>
      </w:r>
      <w:r>
        <w:rPr>
          <w:spacing w:val="-4"/>
          <w:w w:val="105"/>
        </w:rPr>
        <w:t xml:space="preserve"> </w:t>
      </w:r>
      <w:r>
        <w:rPr>
          <w:w w:val="105"/>
        </w:rPr>
        <w:t>Commonwealth;</w:t>
      </w:r>
      <w:r>
        <w:rPr>
          <w:spacing w:val="-3"/>
          <w:w w:val="105"/>
        </w:rPr>
        <w:t xml:space="preserve"> </w:t>
      </w:r>
      <w:r>
        <w:rPr>
          <w:spacing w:val="-2"/>
          <w:w w:val="105"/>
        </w:rPr>
        <w:t>and/or</w:t>
      </w:r>
    </w:p>
    <w:p w14:paraId="7CB25A93" w14:textId="77777777" w:rsidR="008A4099" w:rsidRDefault="006A6EE2">
      <w:pPr>
        <w:pStyle w:val="ListParagraph"/>
        <w:numPr>
          <w:ilvl w:val="0"/>
          <w:numId w:val="14"/>
        </w:numPr>
        <w:tabs>
          <w:tab w:val="left" w:pos="981"/>
        </w:tabs>
        <w:spacing w:before="239"/>
        <w:ind w:hanging="598"/>
        <w:jc w:val="left"/>
      </w:pPr>
      <w:r>
        <w:rPr>
          <w:w w:val="105"/>
        </w:rPr>
        <w:t>the</w:t>
      </w:r>
      <w:r>
        <w:rPr>
          <w:spacing w:val="-6"/>
          <w:w w:val="105"/>
        </w:rPr>
        <w:t xml:space="preserve"> </w:t>
      </w:r>
      <w:r>
        <w:rPr>
          <w:w w:val="105"/>
        </w:rPr>
        <w:t>codification</w:t>
      </w:r>
      <w:r>
        <w:rPr>
          <w:spacing w:val="-4"/>
          <w:w w:val="105"/>
        </w:rPr>
        <w:t xml:space="preserve"> </w:t>
      </w:r>
      <w:r>
        <w:rPr>
          <w:w w:val="105"/>
        </w:rPr>
        <w:t>of</w:t>
      </w:r>
      <w:r>
        <w:rPr>
          <w:spacing w:val="-5"/>
          <w:w w:val="105"/>
        </w:rPr>
        <w:t xml:space="preserve"> </w:t>
      </w:r>
      <w:r>
        <w:rPr>
          <w:w w:val="105"/>
        </w:rPr>
        <w:t>laws;</w:t>
      </w:r>
      <w:r>
        <w:rPr>
          <w:spacing w:val="-4"/>
          <w:w w:val="105"/>
        </w:rPr>
        <w:t xml:space="preserve"> </w:t>
      </w:r>
      <w:r>
        <w:rPr>
          <w:spacing w:val="-2"/>
          <w:w w:val="105"/>
        </w:rPr>
        <w:t>and/or</w:t>
      </w:r>
    </w:p>
    <w:p w14:paraId="7CB25A94" w14:textId="77777777" w:rsidR="008A4099" w:rsidRDefault="006A6EE2">
      <w:pPr>
        <w:pStyle w:val="ListParagraph"/>
        <w:numPr>
          <w:ilvl w:val="0"/>
          <w:numId w:val="14"/>
        </w:numPr>
        <w:tabs>
          <w:tab w:val="left" w:pos="981"/>
        </w:tabs>
        <w:spacing w:before="239"/>
        <w:ind w:hanging="535"/>
        <w:jc w:val="left"/>
      </w:pPr>
      <w:r>
        <w:rPr>
          <w:w w:val="105"/>
        </w:rPr>
        <w:t>promoting</w:t>
      </w:r>
      <w:r>
        <w:rPr>
          <w:spacing w:val="-5"/>
          <w:w w:val="105"/>
        </w:rPr>
        <w:t xml:space="preserve"> </w:t>
      </w:r>
      <w:r>
        <w:rPr>
          <w:w w:val="105"/>
        </w:rPr>
        <w:t>equality</w:t>
      </w:r>
      <w:r>
        <w:rPr>
          <w:spacing w:val="-5"/>
          <w:w w:val="105"/>
        </w:rPr>
        <w:t xml:space="preserve"> </w:t>
      </w:r>
      <w:r>
        <w:rPr>
          <w:w w:val="105"/>
        </w:rPr>
        <w:t>before</w:t>
      </w:r>
      <w:r>
        <w:rPr>
          <w:spacing w:val="-5"/>
          <w:w w:val="105"/>
        </w:rPr>
        <w:t xml:space="preserve"> </w:t>
      </w:r>
      <w:r>
        <w:rPr>
          <w:w w:val="105"/>
        </w:rPr>
        <w:t>the</w:t>
      </w:r>
      <w:r>
        <w:rPr>
          <w:spacing w:val="-7"/>
          <w:w w:val="105"/>
        </w:rPr>
        <w:t xml:space="preserve"> </w:t>
      </w:r>
      <w:r>
        <w:rPr>
          <w:spacing w:val="-4"/>
          <w:w w:val="105"/>
        </w:rPr>
        <w:t>law.</w:t>
      </w:r>
    </w:p>
    <w:p w14:paraId="7CB25A95" w14:textId="77777777" w:rsidR="008A4099" w:rsidRDefault="008A4099">
      <w:pPr>
        <w:pStyle w:val="BodyText"/>
      </w:pPr>
    </w:p>
    <w:p w14:paraId="7CB25A96" w14:textId="77777777" w:rsidR="008A4099" w:rsidRDefault="008A4099">
      <w:pPr>
        <w:pStyle w:val="BodyText"/>
        <w:spacing w:before="97"/>
      </w:pPr>
    </w:p>
    <w:p w14:paraId="7CB25A97" w14:textId="77777777" w:rsidR="008A4099" w:rsidRDefault="006A6EE2">
      <w:pPr>
        <w:pStyle w:val="BodyText"/>
        <w:spacing w:before="1"/>
        <w:ind w:left="160" w:right="676"/>
        <w:jc w:val="both"/>
      </w:pPr>
      <w:r>
        <w:rPr>
          <w:w w:val="105"/>
        </w:rPr>
        <w:t>The</w:t>
      </w:r>
      <w:r>
        <w:rPr>
          <w:spacing w:val="-8"/>
          <w:w w:val="105"/>
        </w:rPr>
        <w:t xml:space="preserve"> </w:t>
      </w:r>
      <w:r>
        <w:rPr>
          <w:w w:val="105"/>
        </w:rPr>
        <w:t>Institute’s</w:t>
      </w:r>
      <w:r>
        <w:rPr>
          <w:spacing w:val="-8"/>
          <w:w w:val="105"/>
        </w:rPr>
        <w:t xml:space="preserve"> </w:t>
      </w:r>
      <w:r>
        <w:rPr>
          <w:w w:val="105"/>
        </w:rPr>
        <w:t>Director</w:t>
      </w:r>
      <w:r>
        <w:rPr>
          <w:spacing w:val="-8"/>
          <w:w w:val="105"/>
        </w:rPr>
        <w:t xml:space="preserve"> </w:t>
      </w:r>
      <w:r>
        <w:rPr>
          <w:w w:val="105"/>
        </w:rPr>
        <w:t>is</w:t>
      </w:r>
      <w:r>
        <w:rPr>
          <w:spacing w:val="-8"/>
          <w:w w:val="105"/>
        </w:rPr>
        <w:t xml:space="preserve"> </w:t>
      </w:r>
      <w:r>
        <w:rPr>
          <w:w w:val="105"/>
        </w:rPr>
        <w:t>Professor</w:t>
      </w:r>
      <w:r>
        <w:rPr>
          <w:spacing w:val="-7"/>
          <w:w w:val="105"/>
        </w:rPr>
        <w:t xml:space="preserve"> </w:t>
      </w:r>
      <w:r>
        <w:rPr>
          <w:w w:val="105"/>
        </w:rPr>
        <w:t>Jeremy</w:t>
      </w:r>
      <w:r>
        <w:rPr>
          <w:spacing w:val="-9"/>
          <w:w w:val="105"/>
        </w:rPr>
        <w:t xml:space="preserve"> </w:t>
      </w:r>
      <w:r>
        <w:rPr>
          <w:w w:val="105"/>
        </w:rPr>
        <w:t>Prichard</w:t>
      </w:r>
      <w:r>
        <w:rPr>
          <w:spacing w:val="-7"/>
          <w:w w:val="105"/>
        </w:rPr>
        <w:t xml:space="preserve"> </w:t>
      </w:r>
      <w:r>
        <w:rPr>
          <w:w w:val="105"/>
        </w:rPr>
        <w:t>of</w:t>
      </w:r>
      <w:r>
        <w:rPr>
          <w:spacing w:val="-9"/>
          <w:w w:val="105"/>
        </w:rPr>
        <w:t xml:space="preserve"> </w:t>
      </w:r>
      <w:r>
        <w:rPr>
          <w:w w:val="105"/>
        </w:rPr>
        <w:t>the</w:t>
      </w:r>
      <w:r>
        <w:rPr>
          <w:spacing w:val="-8"/>
          <w:w w:val="105"/>
        </w:rPr>
        <w:t xml:space="preserve"> </w:t>
      </w:r>
      <w:r>
        <w:rPr>
          <w:w w:val="105"/>
        </w:rPr>
        <w:t>University</w:t>
      </w:r>
      <w:r>
        <w:rPr>
          <w:spacing w:val="-7"/>
          <w:w w:val="105"/>
        </w:rPr>
        <w:t xml:space="preserve"> </w:t>
      </w:r>
      <w:r>
        <w:rPr>
          <w:w w:val="105"/>
        </w:rPr>
        <w:t>of</w:t>
      </w:r>
      <w:r>
        <w:rPr>
          <w:spacing w:val="40"/>
          <w:w w:val="105"/>
        </w:rPr>
        <w:t xml:space="preserve"> </w:t>
      </w:r>
      <w:r>
        <w:rPr>
          <w:w w:val="105"/>
        </w:rPr>
        <w:t>Tasmania</w:t>
      </w:r>
      <w:r>
        <w:rPr>
          <w:spacing w:val="-9"/>
          <w:w w:val="105"/>
        </w:rPr>
        <w:t xml:space="preserve"> </w:t>
      </w:r>
      <w:r>
        <w:rPr>
          <w:w w:val="105"/>
        </w:rPr>
        <w:t>(appointed</w:t>
      </w:r>
      <w:r>
        <w:rPr>
          <w:spacing w:val="-7"/>
          <w:w w:val="105"/>
        </w:rPr>
        <w:t xml:space="preserve"> </w:t>
      </w:r>
      <w:r>
        <w:rPr>
          <w:w w:val="105"/>
        </w:rPr>
        <w:t>by the Vice-Chancellor of the University of Tasmania). The members of the Board of</w:t>
      </w:r>
      <w:r>
        <w:rPr>
          <w:spacing w:val="40"/>
          <w:w w:val="105"/>
        </w:rPr>
        <w:t xml:space="preserve"> </w:t>
      </w:r>
      <w:r>
        <w:rPr>
          <w:w w:val="105"/>
        </w:rPr>
        <w:t>the Institute are:</w:t>
      </w:r>
      <w:r>
        <w:rPr>
          <w:spacing w:val="-2"/>
          <w:w w:val="105"/>
        </w:rPr>
        <w:t xml:space="preserve"> </w:t>
      </w:r>
      <w:r>
        <w:rPr>
          <w:w w:val="105"/>
        </w:rPr>
        <w:t>Professor</w:t>
      </w:r>
      <w:r>
        <w:rPr>
          <w:spacing w:val="-3"/>
          <w:w w:val="105"/>
        </w:rPr>
        <w:t xml:space="preserve"> </w:t>
      </w:r>
      <w:r>
        <w:rPr>
          <w:w w:val="105"/>
        </w:rPr>
        <w:t>Gino</w:t>
      </w:r>
      <w:r>
        <w:rPr>
          <w:spacing w:val="-4"/>
          <w:w w:val="105"/>
        </w:rPr>
        <w:t xml:space="preserve"> </w:t>
      </w:r>
      <w:r>
        <w:rPr>
          <w:w w:val="105"/>
        </w:rPr>
        <w:t>Dal</w:t>
      </w:r>
      <w:r>
        <w:rPr>
          <w:spacing w:val="-2"/>
          <w:w w:val="105"/>
        </w:rPr>
        <w:t xml:space="preserve"> </w:t>
      </w:r>
      <w:r>
        <w:rPr>
          <w:w w:val="105"/>
        </w:rPr>
        <w:t>Pont</w:t>
      </w:r>
      <w:r>
        <w:rPr>
          <w:spacing w:val="-5"/>
          <w:w w:val="105"/>
        </w:rPr>
        <w:t xml:space="preserve"> </w:t>
      </w:r>
      <w:r>
        <w:rPr>
          <w:w w:val="105"/>
        </w:rPr>
        <w:t>(Acting</w:t>
      </w:r>
      <w:r>
        <w:rPr>
          <w:spacing w:val="-4"/>
          <w:w w:val="105"/>
        </w:rPr>
        <w:t xml:space="preserve"> </w:t>
      </w:r>
      <w:r>
        <w:rPr>
          <w:w w:val="105"/>
        </w:rPr>
        <w:t>Chair,</w:t>
      </w:r>
      <w:r>
        <w:rPr>
          <w:spacing w:val="-3"/>
          <w:w w:val="105"/>
        </w:rPr>
        <w:t xml:space="preserve"> </w:t>
      </w:r>
      <w:r>
        <w:rPr>
          <w:w w:val="105"/>
        </w:rPr>
        <w:t>Interim</w:t>
      </w:r>
      <w:r>
        <w:rPr>
          <w:spacing w:val="-3"/>
          <w:w w:val="105"/>
        </w:rPr>
        <w:t xml:space="preserve"> </w:t>
      </w:r>
      <w:r>
        <w:rPr>
          <w:w w:val="105"/>
        </w:rPr>
        <w:t>Dean</w:t>
      </w:r>
      <w:r>
        <w:rPr>
          <w:spacing w:val="-4"/>
          <w:w w:val="105"/>
        </w:rPr>
        <w:t xml:space="preserve"> </w:t>
      </w:r>
      <w:r>
        <w:rPr>
          <w:w w:val="105"/>
        </w:rPr>
        <w:t>of</w:t>
      </w:r>
      <w:r>
        <w:rPr>
          <w:spacing w:val="40"/>
          <w:w w:val="105"/>
        </w:rPr>
        <w:t xml:space="preserve"> </w:t>
      </w:r>
      <w:r>
        <w:rPr>
          <w:w w:val="105"/>
        </w:rPr>
        <w:t>the</w:t>
      </w:r>
      <w:r>
        <w:rPr>
          <w:spacing w:val="-6"/>
          <w:w w:val="105"/>
        </w:rPr>
        <w:t xml:space="preserve"> </w:t>
      </w:r>
      <w:r>
        <w:rPr>
          <w:w w:val="105"/>
        </w:rPr>
        <w:t>Faculty</w:t>
      </w:r>
      <w:r>
        <w:rPr>
          <w:spacing w:val="-4"/>
          <w:w w:val="105"/>
        </w:rPr>
        <w:t xml:space="preserve"> </w:t>
      </w:r>
      <w:r>
        <w:rPr>
          <w:w w:val="105"/>
        </w:rPr>
        <w:t>of</w:t>
      </w:r>
      <w:r>
        <w:rPr>
          <w:spacing w:val="-6"/>
          <w:w w:val="105"/>
        </w:rPr>
        <w:t xml:space="preserve"> </w:t>
      </w:r>
      <w:r>
        <w:rPr>
          <w:w w:val="105"/>
        </w:rPr>
        <w:t>Law</w:t>
      </w:r>
      <w:r>
        <w:rPr>
          <w:spacing w:val="-4"/>
          <w:w w:val="105"/>
        </w:rPr>
        <w:t xml:space="preserve"> </w:t>
      </w:r>
      <w:r>
        <w:rPr>
          <w:w w:val="105"/>
        </w:rPr>
        <w:t>at</w:t>
      </w:r>
      <w:r>
        <w:rPr>
          <w:spacing w:val="-5"/>
          <w:w w:val="105"/>
        </w:rPr>
        <w:t xml:space="preserve"> </w:t>
      </w:r>
      <w:r>
        <w:rPr>
          <w:w w:val="105"/>
        </w:rPr>
        <w:t>the</w:t>
      </w:r>
      <w:r>
        <w:rPr>
          <w:spacing w:val="-4"/>
          <w:w w:val="105"/>
        </w:rPr>
        <w:t xml:space="preserve"> </w:t>
      </w:r>
      <w:r>
        <w:rPr>
          <w:w w:val="105"/>
        </w:rPr>
        <w:t>University of</w:t>
      </w:r>
      <w:r>
        <w:rPr>
          <w:spacing w:val="-8"/>
          <w:w w:val="105"/>
        </w:rPr>
        <w:t xml:space="preserve"> </w:t>
      </w:r>
      <w:r>
        <w:rPr>
          <w:w w:val="105"/>
        </w:rPr>
        <w:t>Tasmania),</w:t>
      </w:r>
      <w:r>
        <w:rPr>
          <w:spacing w:val="-10"/>
          <w:w w:val="105"/>
        </w:rPr>
        <w:t xml:space="preserve"> </w:t>
      </w:r>
      <w:r>
        <w:rPr>
          <w:w w:val="105"/>
        </w:rPr>
        <w:t>the</w:t>
      </w:r>
      <w:r>
        <w:rPr>
          <w:spacing w:val="-8"/>
          <w:w w:val="105"/>
        </w:rPr>
        <w:t xml:space="preserve"> </w:t>
      </w:r>
      <w:r>
        <w:rPr>
          <w:w w:val="105"/>
        </w:rPr>
        <w:t>Honourable</w:t>
      </w:r>
      <w:r>
        <w:rPr>
          <w:spacing w:val="-8"/>
          <w:w w:val="105"/>
        </w:rPr>
        <w:t xml:space="preserve"> </w:t>
      </w:r>
      <w:r>
        <w:rPr>
          <w:w w:val="105"/>
        </w:rPr>
        <w:t>Justice</w:t>
      </w:r>
      <w:r>
        <w:rPr>
          <w:spacing w:val="-8"/>
          <w:w w:val="105"/>
        </w:rPr>
        <w:t xml:space="preserve"> </w:t>
      </w:r>
      <w:r>
        <w:rPr>
          <w:w w:val="105"/>
        </w:rPr>
        <w:t>Helen</w:t>
      </w:r>
      <w:r>
        <w:rPr>
          <w:spacing w:val="-9"/>
          <w:w w:val="105"/>
        </w:rPr>
        <w:t xml:space="preserve"> </w:t>
      </w:r>
      <w:r>
        <w:rPr>
          <w:w w:val="105"/>
        </w:rPr>
        <w:t>Wood</w:t>
      </w:r>
      <w:r>
        <w:rPr>
          <w:spacing w:val="-9"/>
          <w:w w:val="105"/>
        </w:rPr>
        <w:t xml:space="preserve"> </w:t>
      </w:r>
      <w:r>
        <w:rPr>
          <w:w w:val="105"/>
        </w:rPr>
        <w:t>(appointed</w:t>
      </w:r>
      <w:r>
        <w:rPr>
          <w:spacing w:val="-9"/>
          <w:w w:val="105"/>
        </w:rPr>
        <w:t xml:space="preserve"> </w:t>
      </w:r>
      <w:r>
        <w:rPr>
          <w:w w:val="105"/>
        </w:rPr>
        <w:t>by</w:t>
      </w:r>
      <w:r>
        <w:rPr>
          <w:spacing w:val="-8"/>
          <w:w w:val="105"/>
        </w:rPr>
        <w:t xml:space="preserve"> </w:t>
      </w:r>
      <w:r>
        <w:rPr>
          <w:w w:val="105"/>
        </w:rPr>
        <w:t>the</w:t>
      </w:r>
      <w:r>
        <w:rPr>
          <w:spacing w:val="-8"/>
          <w:w w:val="105"/>
        </w:rPr>
        <w:t xml:space="preserve"> </w:t>
      </w:r>
      <w:r>
        <w:rPr>
          <w:w w:val="105"/>
        </w:rPr>
        <w:t>Honourable</w:t>
      </w:r>
      <w:r>
        <w:rPr>
          <w:spacing w:val="20"/>
          <w:w w:val="105"/>
        </w:rPr>
        <w:t xml:space="preserve"> </w:t>
      </w:r>
      <w:r>
        <w:rPr>
          <w:w w:val="105"/>
        </w:rPr>
        <w:t>Chief</w:t>
      </w:r>
      <w:r>
        <w:rPr>
          <w:spacing w:val="17"/>
          <w:w w:val="105"/>
        </w:rPr>
        <w:t xml:space="preserve"> </w:t>
      </w:r>
      <w:r>
        <w:rPr>
          <w:w w:val="105"/>
        </w:rPr>
        <w:t>Justice</w:t>
      </w:r>
      <w:r>
        <w:rPr>
          <w:spacing w:val="19"/>
          <w:w w:val="105"/>
        </w:rPr>
        <w:t xml:space="preserve"> </w:t>
      </w:r>
      <w:r>
        <w:rPr>
          <w:w w:val="105"/>
        </w:rPr>
        <w:t>of Tasmania), Kristy</w:t>
      </w:r>
      <w:r>
        <w:rPr>
          <w:spacing w:val="-6"/>
          <w:w w:val="105"/>
        </w:rPr>
        <w:t xml:space="preserve"> </w:t>
      </w:r>
      <w:r>
        <w:rPr>
          <w:w w:val="105"/>
        </w:rPr>
        <w:t>Bourne (appointed by the Attorney-General),</w:t>
      </w:r>
      <w:r>
        <w:rPr>
          <w:spacing w:val="-5"/>
          <w:w w:val="105"/>
        </w:rPr>
        <w:t xml:space="preserve"> </w:t>
      </w:r>
      <w:r>
        <w:rPr>
          <w:w w:val="105"/>
        </w:rPr>
        <w:t>Craig</w:t>
      </w:r>
      <w:r>
        <w:rPr>
          <w:spacing w:val="-6"/>
          <w:w w:val="105"/>
        </w:rPr>
        <w:t xml:space="preserve"> </w:t>
      </w:r>
      <w:r>
        <w:rPr>
          <w:w w:val="105"/>
        </w:rPr>
        <w:t>Mackie</w:t>
      </w:r>
      <w:r>
        <w:rPr>
          <w:spacing w:val="-7"/>
          <w:w w:val="105"/>
        </w:rPr>
        <w:t xml:space="preserve"> </w:t>
      </w:r>
      <w:r>
        <w:rPr>
          <w:w w:val="105"/>
        </w:rPr>
        <w:t>(appointed</w:t>
      </w:r>
      <w:r>
        <w:rPr>
          <w:spacing w:val="-5"/>
          <w:w w:val="105"/>
        </w:rPr>
        <w:t xml:space="preserve"> </w:t>
      </w:r>
      <w:r>
        <w:rPr>
          <w:w w:val="105"/>
        </w:rPr>
        <w:t xml:space="preserve">by the </w:t>
      </w:r>
      <w:r>
        <w:t>Tasmanian</w:t>
      </w:r>
      <w:r>
        <w:rPr>
          <w:spacing w:val="20"/>
        </w:rPr>
        <w:t xml:space="preserve"> </w:t>
      </w:r>
      <w:r>
        <w:t>Bar</w:t>
      </w:r>
      <w:r>
        <w:rPr>
          <w:spacing w:val="24"/>
        </w:rPr>
        <w:t xml:space="preserve"> </w:t>
      </w:r>
      <w:r>
        <w:t>Association),</w:t>
      </w:r>
      <w:r>
        <w:rPr>
          <w:spacing w:val="22"/>
        </w:rPr>
        <w:t xml:space="preserve"> </w:t>
      </w:r>
      <w:r>
        <w:t>Rohan</w:t>
      </w:r>
      <w:r>
        <w:rPr>
          <w:spacing w:val="20"/>
        </w:rPr>
        <w:t xml:space="preserve"> </w:t>
      </w:r>
      <w:r>
        <w:t>Foon</w:t>
      </w:r>
      <w:r>
        <w:rPr>
          <w:spacing w:val="20"/>
        </w:rPr>
        <w:t xml:space="preserve"> </w:t>
      </w:r>
      <w:r>
        <w:t>(appointed</w:t>
      </w:r>
      <w:r>
        <w:rPr>
          <w:spacing w:val="20"/>
        </w:rPr>
        <w:t xml:space="preserve"> </w:t>
      </w:r>
      <w:r>
        <w:t>by the</w:t>
      </w:r>
      <w:r>
        <w:rPr>
          <w:spacing w:val="22"/>
        </w:rPr>
        <w:t xml:space="preserve"> </w:t>
      </w:r>
      <w:r>
        <w:t>Law</w:t>
      </w:r>
      <w:r>
        <w:rPr>
          <w:spacing w:val="24"/>
        </w:rPr>
        <w:t xml:space="preserve"> </w:t>
      </w:r>
      <w:r>
        <w:t>Society),</w:t>
      </w:r>
      <w:r>
        <w:rPr>
          <w:spacing w:val="22"/>
        </w:rPr>
        <w:t xml:space="preserve"> </w:t>
      </w:r>
      <w:r>
        <w:t>Ann</w:t>
      </w:r>
      <w:r>
        <w:rPr>
          <w:spacing w:val="20"/>
        </w:rPr>
        <w:t xml:space="preserve"> </w:t>
      </w:r>
      <w:r>
        <w:t>Hughes</w:t>
      </w:r>
      <w:r>
        <w:rPr>
          <w:spacing w:val="19"/>
        </w:rPr>
        <w:t xml:space="preserve"> </w:t>
      </w:r>
      <w:r>
        <w:t xml:space="preserve">(appointed </w:t>
      </w:r>
      <w:r>
        <w:rPr>
          <w:w w:val="105"/>
        </w:rPr>
        <w:t>at</w:t>
      </w:r>
      <w:r>
        <w:rPr>
          <w:spacing w:val="-5"/>
          <w:w w:val="105"/>
        </w:rPr>
        <w:t xml:space="preserve"> </w:t>
      </w:r>
      <w:r>
        <w:rPr>
          <w:w w:val="105"/>
        </w:rPr>
        <w:t>the</w:t>
      </w:r>
      <w:r>
        <w:rPr>
          <w:spacing w:val="-6"/>
          <w:w w:val="105"/>
        </w:rPr>
        <w:t xml:space="preserve"> </w:t>
      </w:r>
      <w:r>
        <w:rPr>
          <w:w w:val="105"/>
        </w:rPr>
        <w:t>invitation</w:t>
      </w:r>
      <w:r>
        <w:rPr>
          <w:spacing w:val="-2"/>
          <w:w w:val="105"/>
        </w:rPr>
        <w:t xml:space="preserve"> </w:t>
      </w:r>
      <w:r>
        <w:rPr>
          <w:w w:val="105"/>
        </w:rPr>
        <w:t>of</w:t>
      </w:r>
      <w:r>
        <w:rPr>
          <w:spacing w:val="-6"/>
          <w:w w:val="105"/>
        </w:rPr>
        <w:t xml:space="preserve"> </w:t>
      </w:r>
      <w:r>
        <w:rPr>
          <w:w w:val="105"/>
        </w:rPr>
        <w:t>the</w:t>
      </w:r>
      <w:r>
        <w:rPr>
          <w:spacing w:val="-3"/>
          <w:w w:val="105"/>
        </w:rPr>
        <w:t xml:space="preserve"> </w:t>
      </w:r>
      <w:r>
        <w:rPr>
          <w:w w:val="105"/>
        </w:rPr>
        <w:t>Board),</w:t>
      </w:r>
      <w:r>
        <w:rPr>
          <w:spacing w:val="-3"/>
          <w:w w:val="105"/>
        </w:rPr>
        <w:t xml:space="preserve"> </w:t>
      </w:r>
      <w:r>
        <w:rPr>
          <w:w w:val="105"/>
        </w:rPr>
        <w:t>Kim</w:t>
      </w:r>
      <w:r>
        <w:rPr>
          <w:spacing w:val="-2"/>
          <w:w w:val="105"/>
        </w:rPr>
        <w:t xml:space="preserve"> </w:t>
      </w:r>
      <w:r>
        <w:rPr>
          <w:w w:val="105"/>
        </w:rPr>
        <w:t>Baumeler</w:t>
      </w:r>
      <w:r>
        <w:rPr>
          <w:spacing w:val="-3"/>
          <w:w w:val="105"/>
        </w:rPr>
        <w:t xml:space="preserve"> </w:t>
      </w:r>
      <w:r>
        <w:rPr>
          <w:w w:val="105"/>
        </w:rPr>
        <w:t>(appointed</w:t>
      </w:r>
      <w:r>
        <w:rPr>
          <w:spacing w:val="-2"/>
          <w:w w:val="105"/>
        </w:rPr>
        <w:t xml:space="preserve"> </w:t>
      </w:r>
      <w:r>
        <w:rPr>
          <w:w w:val="105"/>
        </w:rPr>
        <w:t>at</w:t>
      </w:r>
      <w:r>
        <w:rPr>
          <w:spacing w:val="-5"/>
          <w:w w:val="105"/>
        </w:rPr>
        <w:t xml:space="preserve"> </w:t>
      </w:r>
      <w:r>
        <w:rPr>
          <w:w w:val="105"/>
        </w:rPr>
        <w:t>the</w:t>
      </w:r>
      <w:r>
        <w:rPr>
          <w:spacing w:val="-6"/>
          <w:w w:val="105"/>
        </w:rPr>
        <w:t xml:space="preserve"> </w:t>
      </w:r>
      <w:r>
        <w:rPr>
          <w:w w:val="105"/>
        </w:rPr>
        <w:t>invitation</w:t>
      </w:r>
      <w:r>
        <w:rPr>
          <w:spacing w:val="-2"/>
          <w:w w:val="105"/>
        </w:rPr>
        <w:t xml:space="preserve"> </w:t>
      </w:r>
      <w:r>
        <w:rPr>
          <w:w w:val="105"/>
        </w:rPr>
        <w:t>of</w:t>
      </w:r>
      <w:r>
        <w:rPr>
          <w:spacing w:val="-6"/>
          <w:w w:val="105"/>
        </w:rPr>
        <w:t xml:space="preserve"> </w:t>
      </w:r>
      <w:r>
        <w:rPr>
          <w:w w:val="105"/>
        </w:rPr>
        <w:t>the</w:t>
      </w:r>
      <w:r>
        <w:rPr>
          <w:spacing w:val="-5"/>
          <w:w w:val="105"/>
        </w:rPr>
        <w:t xml:space="preserve"> </w:t>
      </w:r>
      <w:r>
        <w:rPr>
          <w:w w:val="105"/>
        </w:rPr>
        <w:t xml:space="preserve">Board) and Rosie Smith (appointed at the invitation of the Board as a member of the Tasmanian Aboriginal </w:t>
      </w:r>
      <w:r>
        <w:rPr>
          <w:spacing w:val="-2"/>
          <w:w w:val="105"/>
        </w:rPr>
        <w:t>community).</w:t>
      </w:r>
    </w:p>
    <w:p w14:paraId="7CB25A98" w14:textId="77777777" w:rsidR="008A4099" w:rsidRDefault="006A6EE2">
      <w:pPr>
        <w:pStyle w:val="BodyText"/>
        <w:spacing w:before="219" w:line="244" w:lineRule="auto"/>
        <w:ind w:left="160" w:right="696"/>
        <w:jc w:val="both"/>
      </w:pPr>
      <w:r>
        <w:rPr>
          <w:w w:val="105"/>
        </w:rPr>
        <w:t>The Board oversees the Institute’s research, considering each reference before it is accepted, and approving publications before their release.</w:t>
      </w:r>
    </w:p>
    <w:p w14:paraId="7CB25A99" w14:textId="77777777" w:rsidR="008A4099" w:rsidRDefault="008A4099">
      <w:pPr>
        <w:spacing w:line="244" w:lineRule="auto"/>
        <w:jc w:val="both"/>
        <w:sectPr w:rsidR="008A4099" w:rsidSect="00D43B2D">
          <w:headerReference w:type="even" r:id="rId15"/>
          <w:footerReference w:type="even" r:id="rId16"/>
          <w:footerReference w:type="default" r:id="rId17"/>
          <w:pgSz w:w="11910" w:h="16840"/>
          <w:pgMar w:top="1800" w:right="760" w:bottom="940" w:left="1280" w:header="1454" w:footer="753" w:gutter="0"/>
          <w:pgNumType w:start="4"/>
          <w:cols w:space="720"/>
        </w:sectPr>
      </w:pPr>
    </w:p>
    <w:p w14:paraId="7CB25A9A" w14:textId="77777777" w:rsidR="008A4099" w:rsidRDefault="006A6EE2">
      <w:pPr>
        <w:spacing w:before="62"/>
        <w:ind w:left="160"/>
      </w:pPr>
      <w:r>
        <w:rPr>
          <w:b/>
        </w:rPr>
        <w:lastRenderedPageBreak/>
        <w:t>Table</w:t>
      </w:r>
      <w:r>
        <w:rPr>
          <w:b/>
          <w:spacing w:val="-1"/>
        </w:rPr>
        <w:t xml:space="preserve"> </w:t>
      </w:r>
      <w:r>
        <w:rPr>
          <w:b/>
        </w:rPr>
        <w:t>1:</w:t>
      </w:r>
      <w:r>
        <w:rPr>
          <w:b/>
          <w:spacing w:val="-1"/>
        </w:rPr>
        <w:t xml:space="preserve"> </w:t>
      </w:r>
      <w:r>
        <w:t>TLRI</w:t>
      </w:r>
      <w:r>
        <w:rPr>
          <w:spacing w:val="-4"/>
        </w:rPr>
        <w:t xml:space="preserve"> </w:t>
      </w:r>
      <w:r>
        <w:t>Board</w:t>
      </w:r>
      <w:r>
        <w:rPr>
          <w:spacing w:val="-4"/>
        </w:rPr>
        <w:t xml:space="preserve"> </w:t>
      </w:r>
      <w:r>
        <w:rPr>
          <w:spacing w:val="-2"/>
        </w:rPr>
        <w:t>membership</w:t>
      </w:r>
    </w:p>
    <w:p w14:paraId="7CB25A9B" w14:textId="77777777" w:rsidR="008A4099" w:rsidRDefault="008A4099">
      <w:pPr>
        <w:pStyle w:val="BodyText"/>
        <w:spacing w:before="16"/>
        <w:rPr>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8A4099" w14:paraId="7CB25A9F" w14:textId="77777777">
        <w:trPr>
          <w:trHeight w:val="402"/>
        </w:trPr>
        <w:tc>
          <w:tcPr>
            <w:tcW w:w="3005" w:type="dxa"/>
          </w:tcPr>
          <w:p w14:paraId="7CB25A9C" w14:textId="77777777" w:rsidR="008A4099" w:rsidRDefault="006A6EE2">
            <w:pPr>
              <w:pStyle w:val="TableParagraph"/>
              <w:spacing w:before="79"/>
              <w:ind w:left="146"/>
              <w:rPr>
                <w:b/>
                <w:sz w:val="21"/>
              </w:rPr>
            </w:pPr>
            <w:r>
              <w:rPr>
                <w:b/>
                <w:spacing w:val="-2"/>
                <w:sz w:val="21"/>
              </w:rPr>
              <w:t>Position</w:t>
            </w:r>
          </w:p>
        </w:tc>
        <w:tc>
          <w:tcPr>
            <w:tcW w:w="3005" w:type="dxa"/>
          </w:tcPr>
          <w:p w14:paraId="7CB25A9D" w14:textId="77777777" w:rsidR="008A4099" w:rsidRDefault="006A6EE2">
            <w:pPr>
              <w:pStyle w:val="TableParagraph"/>
              <w:spacing w:before="79"/>
              <w:ind w:left="247"/>
              <w:rPr>
                <w:b/>
                <w:sz w:val="21"/>
              </w:rPr>
            </w:pPr>
            <w:r>
              <w:rPr>
                <w:b/>
                <w:spacing w:val="-4"/>
                <w:sz w:val="21"/>
              </w:rPr>
              <w:t>Name</w:t>
            </w:r>
          </w:p>
        </w:tc>
        <w:tc>
          <w:tcPr>
            <w:tcW w:w="3008" w:type="dxa"/>
          </w:tcPr>
          <w:p w14:paraId="7CB25A9E" w14:textId="77777777" w:rsidR="008A4099" w:rsidRDefault="006A6EE2">
            <w:pPr>
              <w:pStyle w:val="TableParagraph"/>
              <w:spacing w:before="79"/>
              <w:ind w:left="197"/>
              <w:rPr>
                <w:b/>
                <w:sz w:val="21"/>
              </w:rPr>
            </w:pPr>
            <w:r>
              <w:rPr>
                <w:b/>
                <w:spacing w:val="-2"/>
                <w:sz w:val="21"/>
              </w:rPr>
              <w:t>Dates</w:t>
            </w:r>
          </w:p>
        </w:tc>
      </w:tr>
      <w:tr w:rsidR="008A4099" w14:paraId="7CB25AA3" w14:textId="77777777">
        <w:trPr>
          <w:trHeight w:val="399"/>
        </w:trPr>
        <w:tc>
          <w:tcPr>
            <w:tcW w:w="3005" w:type="dxa"/>
            <w:vMerge w:val="restart"/>
          </w:tcPr>
          <w:p w14:paraId="7CB25AA0" w14:textId="77777777" w:rsidR="008A4099" w:rsidRDefault="006A6EE2">
            <w:pPr>
              <w:pStyle w:val="TableParagraph"/>
              <w:spacing w:before="79"/>
              <w:ind w:left="146"/>
              <w:rPr>
                <w:sz w:val="21"/>
              </w:rPr>
            </w:pPr>
            <w:r>
              <w:rPr>
                <w:sz w:val="21"/>
              </w:rPr>
              <w:t>TLRI</w:t>
            </w:r>
            <w:r>
              <w:rPr>
                <w:spacing w:val="-5"/>
                <w:sz w:val="21"/>
              </w:rPr>
              <w:t xml:space="preserve"> </w:t>
            </w:r>
            <w:r>
              <w:rPr>
                <w:spacing w:val="-2"/>
                <w:sz w:val="21"/>
              </w:rPr>
              <w:t>Director</w:t>
            </w:r>
          </w:p>
        </w:tc>
        <w:tc>
          <w:tcPr>
            <w:tcW w:w="3005" w:type="dxa"/>
            <w:tcBorders>
              <w:bottom w:val="nil"/>
            </w:tcBorders>
          </w:tcPr>
          <w:p w14:paraId="7CB25AA1" w14:textId="77777777" w:rsidR="008A4099" w:rsidRDefault="006A6EE2">
            <w:pPr>
              <w:pStyle w:val="TableParagraph"/>
              <w:spacing w:before="79"/>
              <w:ind w:left="247"/>
              <w:rPr>
                <w:sz w:val="21"/>
              </w:rPr>
            </w:pPr>
            <w:r>
              <w:rPr>
                <w:sz w:val="21"/>
              </w:rPr>
              <w:t>Prof</w:t>
            </w:r>
            <w:r>
              <w:rPr>
                <w:spacing w:val="-3"/>
                <w:sz w:val="21"/>
              </w:rPr>
              <w:t xml:space="preserve"> </w:t>
            </w:r>
            <w:r>
              <w:rPr>
                <w:sz w:val="21"/>
              </w:rPr>
              <w:t>Jeremy</w:t>
            </w:r>
            <w:r>
              <w:rPr>
                <w:spacing w:val="-2"/>
                <w:sz w:val="21"/>
              </w:rPr>
              <w:t xml:space="preserve"> Prichard*</w:t>
            </w:r>
          </w:p>
        </w:tc>
        <w:tc>
          <w:tcPr>
            <w:tcW w:w="3008" w:type="dxa"/>
            <w:tcBorders>
              <w:bottom w:val="nil"/>
            </w:tcBorders>
          </w:tcPr>
          <w:p w14:paraId="7CB25AA2" w14:textId="77777777" w:rsidR="008A4099" w:rsidRDefault="006A6EE2">
            <w:pPr>
              <w:pStyle w:val="TableParagraph"/>
              <w:spacing w:before="79"/>
              <w:ind w:left="197"/>
              <w:rPr>
                <w:sz w:val="21"/>
              </w:rPr>
            </w:pPr>
            <w:r>
              <w:rPr>
                <w:sz w:val="21"/>
              </w:rPr>
              <w:t>Aug</w:t>
            </w:r>
            <w:r>
              <w:rPr>
                <w:spacing w:val="-3"/>
                <w:sz w:val="21"/>
              </w:rPr>
              <w:t xml:space="preserve"> </w:t>
            </w:r>
            <w:r>
              <w:rPr>
                <w:sz w:val="21"/>
              </w:rPr>
              <w:t>2022</w:t>
            </w:r>
            <w:r>
              <w:rPr>
                <w:spacing w:val="-2"/>
                <w:sz w:val="21"/>
              </w:rPr>
              <w:t xml:space="preserve"> </w:t>
            </w:r>
            <w:r>
              <w:rPr>
                <w:sz w:val="21"/>
              </w:rPr>
              <w:t xml:space="preserve">– </w:t>
            </w:r>
            <w:r>
              <w:rPr>
                <w:spacing w:val="-2"/>
                <w:sz w:val="21"/>
              </w:rPr>
              <w:t>present</w:t>
            </w:r>
          </w:p>
        </w:tc>
      </w:tr>
      <w:tr w:rsidR="008A4099" w14:paraId="7CB25AA7" w14:textId="77777777">
        <w:trPr>
          <w:trHeight w:val="390"/>
        </w:trPr>
        <w:tc>
          <w:tcPr>
            <w:tcW w:w="3005" w:type="dxa"/>
            <w:vMerge/>
            <w:tcBorders>
              <w:top w:val="nil"/>
            </w:tcBorders>
          </w:tcPr>
          <w:p w14:paraId="7CB25AA4" w14:textId="77777777" w:rsidR="008A4099" w:rsidRDefault="008A4099">
            <w:pPr>
              <w:rPr>
                <w:sz w:val="2"/>
                <w:szCs w:val="2"/>
              </w:rPr>
            </w:pPr>
          </w:p>
        </w:tc>
        <w:tc>
          <w:tcPr>
            <w:tcW w:w="3005" w:type="dxa"/>
            <w:tcBorders>
              <w:top w:val="nil"/>
              <w:bottom w:val="nil"/>
            </w:tcBorders>
          </w:tcPr>
          <w:p w14:paraId="7CB25AA5" w14:textId="77777777" w:rsidR="008A4099" w:rsidRDefault="006A6EE2">
            <w:pPr>
              <w:pStyle w:val="TableParagraph"/>
              <w:spacing w:before="70"/>
              <w:ind w:left="247"/>
              <w:rPr>
                <w:sz w:val="21"/>
              </w:rPr>
            </w:pPr>
            <w:r>
              <w:rPr>
                <w:sz w:val="21"/>
              </w:rPr>
              <w:t>Prof</w:t>
            </w:r>
            <w:r>
              <w:rPr>
                <w:spacing w:val="-3"/>
                <w:sz w:val="21"/>
              </w:rPr>
              <w:t xml:space="preserve"> </w:t>
            </w:r>
            <w:r>
              <w:rPr>
                <w:sz w:val="21"/>
              </w:rPr>
              <w:t>Michael</w:t>
            </w:r>
            <w:r>
              <w:rPr>
                <w:spacing w:val="-4"/>
                <w:sz w:val="21"/>
              </w:rPr>
              <w:t xml:space="preserve"> </w:t>
            </w:r>
            <w:r>
              <w:rPr>
                <w:sz w:val="21"/>
              </w:rPr>
              <w:t>Stuckey</w:t>
            </w:r>
            <w:r>
              <w:rPr>
                <w:spacing w:val="-2"/>
                <w:sz w:val="21"/>
              </w:rPr>
              <w:t xml:space="preserve"> (Acting)</w:t>
            </w:r>
          </w:p>
        </w:tc>
        <w:tc>
          <w:tcPr>
            <w:tcW w:w="3008" w:type="dxa"/>
            <w:tcBorders>
              <w:top w:val="nil"/>
              <w:bottom w:val="nil"/>
            </w:tcBorders>
          </w:tcPr>
          <w:p w14:paraId="7CB25AA6" w14:textId="77777777" w:rsidR="008A4099" w:rsidRDefault="006A6EE2">
            <w:pPr>
              <w:pStyle w:val="TableParagraph"/>
              <w:spacing w:before="70"/>
              <w:ind w:left="197"/>
              <w:rPr>
                <w:sz w:val="21"/>
              </w:rPr>
            </w:pPr>
            <w:r>
              <w:rPr>
                <w:sz w:val="21"/>
              </w:rPr>
              <w:t>Mar</w:t>
            </w:r>
            <w:r>
              <w:rPr>
                <w:spacing w:val="-2"/>
                <w:sz w:val="21"/>
              </w:rPr>
              <w:t xml:space="preserve"> </w:t>
            </w:r>
            <w:r>
              <w:rPr>
                <w:sz w:val="21"/>
              </w:rPr>
              <w:t>–</w:t>
            </w:r>
            <w:r>
              <w:rPr>
                <w:spacing w:val="-1"/>
                <w:sz w:val="21"/>
              </w:rPr>
              <w:t xml:space="preserve"> </w:t>
            </w:r>
            <w:r>
              <w:rPr>
                <w:sz w:val="21"/>
              </w:rPr>
              <w:t>May</w:t>
            </w:r>
            <w:r>
              <w:rPr>
                <w:spacing w:val="-3"/>
                <w:sz w:val="21"/>
              </w:rPr>
              <w:t xml:space="preserve"> </w:t>
            </w:r>
            <w:r>
              <w:rPr>
                <w:spacing w:val="-4"/>
                <w:sz w:val="21"/>
              </w:rPr>
              <w:t>2022</w:t>
            </w:r>
          </w:p>
        </w:tc>
      </w:tr>
      <w:tr w:rsidR="008A4099" w14:paraId="7CB25AAB" w14:textId="77777777">
        <w:trPr>
          <w:trHeight w:val="633"/>
        </w:trPr>
        <w:tc>
          <w:tcPr>
            <w:tcW w:w="3005" w:type="dxa"/>
            <w:vMerge/>
            <w:tcBorders>
              <w:top w:val="nil"/>
            </w:tcBorders>
          </w:tcPr>
          <w:p w14:paraId="7CB25AA8" w14:textId="77777777" w:rsidR="008A4099" w:rsidRDefault="008A4099">
            <w:pPr>
              <w:rPr>
                <w:sz w:val="2"/>
                <w:szCs w:val="2"/>
              </w:rPr>
            </w:pPr>
          </w:p>
        </w:tc>
        <w:tc>
          <w:tcPr>
            <w:tcW w:w="3005" w:type="dxa"/>
            <w:tcBorders>
              <w:top w:val="nil"/>
              <w:bottom w:val="nil"/>
            </w:tcBorders>
          </w:tcPr>
          <w:p w14:paraId="7CB25AA9" w14:textId="77777777" w:rsidR="008A4099" w:rsidRDefault="006A6EE2">
            <w:pPr>
              <w:pStyle w:val="TableParagraph"/>
              <w:spacing w:before="70"/>
              <w:ind w:left="268" w:hanging="22"/>
              <w:rPr>
                <w:sz w:val="21"/>
              </w:rPr>
            </w:pPr>
            <w:r>
              <w:rPr>
                <w:sz w:val="21"/>
              </w:rPr>
              <w:t>Assoc</w:t>
            </w:r>
            <w:r>
              <w:rPr>
                <w:spacing w:val="-13"/>
                <w:sz w:val="21"/>
              </w:rPr>
              <w:t xml:space="preserve"> </w:t>
            </w:r>
            <w:r>
              <w:rPr>
                <w:sz w:val="21"/>
              </w:rPr>
              <w:t>Prof</w:t>
            </w:r>
            <w:r>
              <w:rPr>
                <w:spacing w:val="-11"/>
                <w:sz w:val="21"/>
              </w:rPr>
              <w:t xml:space="preserve"> </w:t>
            </w:r>
            <w:r>
              <w:rPr>
                <w:sz w:val="21"/>
              </w:rPr>
              <w:t>Brendan</w:t>
            </w:r>
            <w:r>
              <w:rPr>
                <w:spacing w:val="-13"/>
                <w:sz w:val="21"/>
              </w:rPr>
              <w:t xml:space="preserve"> </w:t>
            </w:r>
            <w:r>
              <w:rPr>
                <w:sz w:val="21"/>
              </w:rPr>
              <w:t xml:space="preserve">Gogarty </w:t>
            </w:r>
            <w:r>
              <w:rPr>
                <w:spacing w:val="-2"/>
                <w:sz w:val="21"/>
              </w:rPr>
              <w:t>(Acting)</w:t>
            </w:r>
          </w:p>
        </w:tc>
        <w:tc>
          <w:tcPr>
            <w:tcW w:w="3008" w:type="dxa"/>
            <w:tcBorders>
              <w:top w:val="nil"/>
              <w:bottom w:val="nil"/>
            </w:tcBorders>
          </w:tcPr>
          <w:p w14:paraId="7CB25AAA" w14:textId="77777777" w:rsidR="008A4099" w:rsidRDefault="006A6EE2">
            <w:pPr>
              <w:pStyle w:val="TableParagraph"/>
              <w:spacing w:before="193"/>
              <w:ind w:left="197"/>
              <w:rPr>
                <w:sz w:val="21"/>
              </w:rPr>
            </w:pPr>
            <w:r>
              <w:rPr>
                <w:sz w:val="21"/>
              </w:rPr>
              <w:t>Dec</w:t>
            </w:r>
            <w:r>
              <w:rPr>
                <w:spacing w:val="-4"/>
                <w:sz w:val="21"/>
              </w:rPr>
              <w:t xml:space="preserve"> </w:t>
            </w:r>
            <w:r>
              <w:rPr>
                <w:sz w:val="21"/>
              </w:rPr>
              <w:t>2019</w:t>
            </w:r>
            <w:r>
              <w:rPr>
                <w:spacing w:val="-2"/>
                <w:sz w:val="21"/>
              </w:rPr>
              <w:t xml:space="preserve"> </w:t>
            </w:r>
            <w:r>
              <w:rPr>
                <w:sz w:val="21"/>
              </w:rPr>
              <w:t>–</w:t>
            </w:r>
            <w:r>
              <w:rPr>
                <w:spacing w:val="-1"/>
                <w:sz w:val="21"/>
              </w:rPr>
              <w:t xml:space="preserve"> </w:t>
            </w:r>
            <w:r>
              <w:rPr>
                <w:sz w:val="21"/>
              </w:rPr>
              <w:t>Mar</w:t>
            </w:r>
            <w:r>
              <w:rPr>
                <w:spacing w:val="-2"/>
                <w:sz w:val="21"/>
              </w:rPr>
              <w:t xml:space="preserve"> </w:t>
            </w:r>
            <w:r>
              <w:rPr>
                <w:spacing w:val="-4"/>
                <w:sz w:val="21"/>
              </w:rPr>
              <w:t>2022</w:t>
            </w:r>
          </w:p>
        </w:tc>
      </w:tr>
      <w:tr w:rsidR="008A4099" w14:paraId="7CB25AAF" w14:textId="77777777">
        <w:trPr>
          <w:trHeight w:val="391"/>
        </w:trPr>
        <w:tc>
          <w:tcPr>
            <w:tcW w:w="3005" w:type="dxa"/>
            <w:vMerge/>
            <w:tcBorders>
              <w:top w:val="nil"/>
            </w:tcBorders>
          </w:tcPr>
          <w:p w14:paraId="7CB25AAC" w14:textId="77777777" w:rsidR="008A4099" w:rsidRDefault="008A4099">
            <w:pPr>
              <w:rPr>
                <w:sz w:val="2"/>
                <w:szCs w:val="2"/>
              </w:rPr>
            </w:pPr>
          </w:p>
        </w:tc>
        <w:tc>
          <w:tcPr>
            <w:tcW w:w="3005" w:type="dxa"/>
            <w:tcBorders>
              <w:top w:val="nil"/>
            </w:tcBorders>
          </w:tcPr>
          <w:p w14:paraId="7CB25AAD" w14:textId="77777777" w:rsidR="008A4099" w:rsidRDefault="006A6EE2">
            <w:pPr>
              <w:pStyle w:val="TableParagraph"/>
              <w:spacing w:before="70"/>
              <w:ind w:left="247"/>
              <w:rPr>
                <w:sz w:val="21"/>
              </w:rPr>
            </w:pPr>
            <w:r>
              <w:rPr>
                <w:sz w:val="21"/>
              </w:rPr>
              <w:t>Assoc</w:t>
            </w:r>
            <w:r>
              <w:rPr>
                <w:spacing w:val="-5"/>
                <w:sz w:val="21"/>
              </w:rPr>
              <w:t xml:space="preserve"> </w:t>
            </w:r>
            <w:r>
              <w:rPr>
                <w:sz w:val="21"/>
              </w:rPr>
              <w:t>Prof</w:t>
            </w:r>
            <w:r>
              <w:rPr>
                <w:spacing w:val="-2"/>
                <w:sz w:val="21"/>
              </w:rPr>
              <w:t xml:space="preserve"> </w:t>
            </w:r>
            <w:r>
              <w:rPr>
                <w:sz w:val="21"/>
              </w:rPr>
              <w:t>Terese</w:t>
            </w:r>
            <w:r>
              <w:rPr>
                <w:spacing w:val="-4"/>
                <w:sz w:val="21"/>
              </w:rPr>
              <w:t xml:space="preserve"> </w:t>
            </w:r>
            <w:r>
              <w:rPr>
                <w:spacing w:val="-2"/>
                <w:sz w:val="21"/>
              </w:rPr>
              <w:t>Henning</w:t>
            </w:r>
          </w:p>
        </w:tc>
        <w:tc>
          <w:tcPr>
            <w:tcW w:w="3008" w:type="dxa"/>
            <w:tcBorders>
              <w:top w:val="nil"/>
            </w:tcBorders>
          </w:tcPr>
          <w:p w14:paraId="7CB25AAE" w14:textId="77777777" w:rsidR="008A4099" w:rsidRDefault="006A6EE2">
            <w:pPr>
              <w:pStyle w:val="TableParagraph"/>
              <w:spacing w:before="70"/>
              <w:ind w:left="197"/>
              <w:rPr>
                <w:sz w:val="21"/>
              </w:rPr>
            </w:pPr>
            <w:r>
              <w:rPr>
                <w:sz w:val="21"/>
              </w:rPr>
              <w:t>Sep</w:t>
            </w:r>
            <w:r>
              <w:rPr>
                <w:spacing w:val="-3"/>
                <w:sz w:val="21"/>
              </w:rPr>
              <w:t xml:space="preserve"> </w:t>
            </w:r>
            <w:r>
              <w:rPr>
                <w:sz w:val="21"/>
              </w:rPr>
              <w:t>2019</w:t>
            </w:r>
            <w:r>
              <w:rPr>
                <w:spacing w:val="-1"/>
                <w:sz w:val="21"/>
              </w:rPr>
              <w:t xml:space="preserve"> </w:t>
            </w:r>
            <w:r>
              <w:rPr>
                <w:sz w:val="21"/>
              </w:rPr>
              <w:t>–</w:t>
            </w:r>
            <w:r>
              <w:rPr>
                <w:spacing w:val="-4"/>
                <w:sz w:val="21"/>
              </w:rPr>
              <w:t xml:space="preserve"> </w:t>
            </w:r>
            <w:r>
              <w:rPr>
                <w:sz w:val="21"/>
              </w:rPr>
              <w:t>Dec</w:t>
            </w:r>
            <w:r>
              <w:rPr>
                <w:spacing w:val="-3"/>
                <w:sz w:val="21"/>
              </w:rPr>
              <w:t xml:space="preserve"> </w:t>
            </w:r>
            <w:r>
              <w:rPr>
                <w:spacing w:val="-4"/>
                <w:sz w:val="21"/>
              </w:rPr>
              <w:t>2019</w:t>
            </w:r>
          </w:p>
        </w:tc>
      </w:tr>
      <w:tr w:rsidR="008A4099" w14:paraId="7CB25AB3" w14:textId="77777777">
        <w:trPr>
          <w:trHeight w:val="402"/>
        </w:trPr>
        <w:tc>
          <w:tcPr>
            <w:tcW w:w="3005" w:type="dxa"/>
            <w:vMerge w:val="restart"/>
          </w:tcPr>
          <w:p w14:paraId="7CB25AB0" w14:textId="77777777" w:rsidR="008A4099" w:rsidRDefault="006A6EE2">
            <w:pPr>
              <w:pStyle w:val="TableParagraph"/>
              <w:spacing w:before="82"/>
              <w:ind w:left="146"/>
              <w:rPr>
                <w:sz w:val="21"/>
              </w:rPr>
            </w:pPr>
            <w:r>
              <w:rPr>
                <w:sz w:val="21"/>
              </w:rPr>
              <w:t>Dean,</w:t>
            </w:r>
            <w:r>
              <w:rPr>
                <w:spacing w:val="-6"/>
                <w:sz w:val="21"/>
              </w:rPr>
              <w:t xml:space="preserve"> </w:t>
            </w:r>
            <w:r>
              <w:rPr>
                <w:sz w:val="21"/>
              </w:rPr>
              <w:t>Faculty</w:t>
            </w:r>
            <w:r>
              <w:rPr>
                <w:spacing w:val="-2"/>
                <w:sz w:val="21"/>
              </w:rPr>
              <w:t xml:space="preserve"> </w:t>
            </w:r>
            <w:r>
              <w:rPr>
                <w:sz w:val="21"/>
              </w:rPr>
              <w:t>of</w:t>
            </w:r>
            <w:r>
              <w:rPr>
                <w:spacing w:val="-3"/>
                <w:sz w:val="21"/>
              </w:rPr>
              <w:t xml:space="preserve"> </w:t>
            </w:r>
            <w:r>
              <w:rPr>
                <w:spacing w:val="-5"/>
                <w:sz w:val="21"/>
              </w:rPr>
              <w:t>Law</w:t>
            </w:r>
          </w:p>
        </w:tc>
        <w:tc>
          <w:tcPr>
            <w:tcW w:w="3005" w:type="dxa"/>
            <w:tcBorders>
              <w:bottom w:val="nil"/>
            </w:tcBorders>
          </w:tcPr>
          <w:p w14:paraId="7CB25AB1" w14:textId="77777777" w:rsidR="008A4099" w:rsidRDefault="006A6EE2">
            <w:pPr>
              <w:pStyle w:val="TableParagraph"/>
              <w:spacing w:before="82"/>
              <w:ind w:left="247"/>
              <w:rPr>
                <w:sz w:val="21"/>
              </w:rPr>
            </w:pPr>
            <w:r>
              <w:rPr>
                <w:sz w:val="21"/>
              </w:rPr>
              <w:t>Prof</w:t>
            </w:r>
            <w:r>
              <w:rPr>
                <w:spacing w:val="-3"/>
                <w:sz w:val="21"/>
              </w:rPr>
              <w:t xml:space="preserve"> </w:t>
            </w:r>
            <w:r>
              <w:rPr>
                <w:sz w:val="21"/>
              </w:rPr>
              <w:t>Gino</w:t>
            </w:r>
            <w:r>
              <w:rPr>
                <w:spacing w:val="-4"/>
                <w:sz w:val="21"/>
              </w:rPr>
              <w:t xml:space="preserve"> </w:t>
            </w:r>
            <w:r>
              <w:rPr>
                <w:sz w:val="21"/>
              </w:rPr>
              <w:t>dal</w:t>
            </w:r>
            <w:r>
              <w:rPr>
                <w:spacing w:val="-2"/>
                <w:sz w:val="21"/>
              </w:rPr>
              <w:t xml:space="preserve"> </w:t>
            </w:r>
            <w:r>
              <w:rPr>
                <w:sz w:val="21"/>
              </w:rPr>
              <w:t>Pont</w:t>
            </w:r>
            <w:r>
              <w:rPr>
                <w:spacing w:val="-2"/>
                <w:sz w:val="21"/>
              </w:rPr>
              <w:t xml:space="preserve"> (Interim)</w:t>
            </w:r>
          </w:p>
        </w:tc>
        <w:tc>
          <w:tcPr>
            <w:tcW w:w="3008" w:type="dxa"/>
            <w:tcBorders>
              <w:bottom w:val="nil"/>
            </w:tcBorders>
          </w:tcPr>
          <w:p w14:paraId="7CB25AB2" w14:textId="77777777" w:rsidR="008A4099" w:rsidRDefault="006A6EE2">
            <w:pPr>
              <w:pStyle w:val="TableParagraph"/>
              <w:spacing w:before="82"/>
              <w:ind w:left="197"/>
              <w:rPr>
                <w:sz w:val="21"/>
              </w:rPr>
            </w:pPr>
            <w:r>
              <w:rPr>
                <w:sz w:val="21"/>
              </w:rPr>
              <w:t>May</w:t>
            </w:r>
            <w:r>
              <w:rPr>
                <w:spacing w:val="-2"/>
                <w:sz w:val="21"/>
              </w:rPr>
              <w:t xml:space="preserve"> </w:t>
            </w:r>
            <w:r>
              <w:rPr>
                <w:sz w:val="21"/>
              </w:rPr>
              <w:t>2022</w:t>
            </w:r>
            <w:r>
              <w:rPr>
                <w:spacing w:val="-1"/>
                <w:sz w:val="21"/>
              </w:rPr>
              <w:t xml:space="preserve"> </w:t>
            </w:r>
            <w:r>
              <w:rPr>
                <w:sz w:val="21"/>
              </w:rPr>
              <w:t>–</w:t>
            </w:r>
            <w:r>
              <w:rPr>
                <w:spacing w:val="-1"/>
                <w:sz w:val="21"/>
              </w:rPr>
              <w:t xml:space="preserve"> </w:t>
            </w:r>
            <w:r>
              <w:rPr>
                <w:spacing w:val="-2"/>
                <w:sz w:val="21"/>
              </w:rPr>
              <w:t>present</w:t>
            </w:r>
          </w:p>
        </w:tc>
      </w:tr>
      <w:tr w:rsidR="008A4099" w14:paraId="7CB25AB7" w14:textId="77777777">
        <w:trPr>
          <w:trHeight w:val="391"/>
        </w:trPr>
        <w:tc>
          <w:tcPr>
            <w:tcW w:w="3005" w:type="dxa"/>
            <w:vMerge/>
            <w:tcBorders>
              <w:top w:val="nil"/>
            </w:tcBorders>
          </w:tcPr>
          <w:p w14:paraId="7CB25AB4" w14:textId="77777777" w:rsidR="008A4099" w:rsidRDefault="008A4099">
            <w:pPr>
              <w:rPr>
                <w:sz w:val="2"/>
                <w:szCs w:val="2"/>
              </w:rPr>
            </w:pPr>
          </w:p>
        </w:tc>
        <w:tc>
          <w:tcPr>
            <w:tcW w:w="3005" w:type="dxa"/>
            <w:tcBorders>
              <w:top w:val="nil"/>
              <w:bottom w:val="nil"/>
            </w:tcBorders>
          </w:tcPr>
          <w:p w14:paraId="7CB25AB5" w14:textId="77777777" w:rsidR="008A4099" w:rsidRDefault="006A6EE2">
            <w:pPr>
              <w:pStyle w:val="TableParagraph"/>
              <w:spacing w:before="70"/>
              <w:ind w:left="247"/>
              <w:rPr>
                <w:sz w:val="21"/>
              </w:rPr>
            </w:pPr>
            <w:r>
              <w:rPr>
                <w:sz w:val="21"/>
              </w:rPr>
              <w:t>Prof</w:t>
            </w:r>
            <w:r>
              <w:rPr>
                <w:spacing w:val="-2"/>
                <w:sz w:val="21"/>
              </w:rPr>
              <w:t xml:space="preserve"> </w:t>
            </w:r>
            <w:r>
              <w:rPr>
                <w:sz w:val="21"/>
              </w:rPr>
              <w:t>Michael</w:t>
            </w:r>
            <w:r>
              <w:rPr>
                <w:spacing w:val="-3"/>
                <w:sz w:val="21"/>
              </w:rPr>
              <w:t xml:space="preserve"> </w:t>
            </w:r>
            <w:r>
              <w:rPr>
                <w:spacing w:val="-2"/>
                <w:sz w:val="21"/>
              </w:rPr>
              <w:t>Stuckey</w:t>
            </w:r>
          </w:p>
        </w:tc>
        <w:tc>
          <w:tcPr>
            <w:tcW w:w="3008" w:type="dxa"/>
            <w:tcBorders>
              <w:top w:val="nil"/>
              <w:bottom w:val="nil"/>
            </w:tcBorders>
          </w:tcPr>
          <w:p w14:paraId="7CB25AB6" w14:textId="77777777" w:rsidR="008A4099" w:rsidRDefault="006A6EE2">
            <w:pPr>
              <w:pStyle w:val="TableParagraph"/>
              <w:spacing w:before="70"/>
              <w:ind w:left="197"/>
              <w:rPr>
                <w:sz w:val="21"/>
              </w:rPr>
            </w:pPr>
            <w:r>
              <w:rPr>
                <w:sz w:val="21"/>
              </w:rPr>
              <w:t>Mar</w:t>
            </w:r>
            <w:r>
              <w:rPr>
                <w:spacing w:val="-4"/>
                <w:sz w:val="21"/>
              </w:rPr>
              <w:t xml:space="preserve"> </w:t>
            </w:r>
            <w:r>
              <w:rPr>
                <w:sz w:val="21"/>
              </w:rPr>
              <w:t>2021</w:t>
            </w:r>
            <w:r>
              <w:rPr>
                <w:spacing w:val="-3"/>
                <w:sz w:val="21"/>
              </w:rPr>
              <w:t xml:space="preserve"> </w:t>
            </w:r>
            <w:r>
              <w:rPr>
                <w:sz w:val="21"/>
              </w:rPr>
              <w:t>–</w:t>
            </w:r>
            <w:r>
              <w:rPr>
                <w:spacing w:val="-1"/>
                <w:sz w:val="21"/>
              </w:rPr>
              <w:t xml:space="preserve"> </w:t>
            </w:r>
            <w:r>
              <w:rPr>
                <w:sz w:val="21"/>
              </w:rPr>
              <w:t>May</w:t>
            </w:r>
            <w:r>
              <w:rPr>
                <w:spacing w:val="-3"/>
                <w:sz w:val="21"/>
              </w:rPr>
              <w:t xml:space="preserve"> </w:t>
            </w:r>
            <w:r>
              <w:rPr>
                <w:spacing w:val="-4"/>
                <w:sz w:val="21"/>
              </w:rPr>
              <w:t>2022</w:t>
            </w:r>
          </w:p>
        </w:tc>
      </w:tr>
      <w:tr w:rsidR="008A4099" w14:paraId="7CB25ABB" w14:textId="77777777">
        <w:trPr>
          <w:trHeight w:val="633"/>
        </w:trPr>
        <w:tc>
          <w:tcPr>
            <w:tcW w:w="3005" w:type="dxa"/>
            <w:vMerge/>
            <w:tcBorders>
              <w:top w:val="nil"/>
            </w:tcBorders>
          </w:tcPr>
          <w:p w14:paraId="7CB25AB8" w14:textId="77777777" w:rsidR="008A4099" w:rsidRDefault="008A4099">
            <w:pPr>
              <w:rPr>
                <w:sz w:val="2"/>
                <w:szCs w:val="2"/>
              </w:rPr>
            </w:pPr>
          </w:p>
        </w:tc>
        <w:tc>
          <w:tcPr>
            <w:tcW w:w="3005" w:type="dxa"/>
            <w:tcBorders>
              <w:top w:val="nil"/>
              <w:bottom w:val="nil"/>
            </w:tcBorders>
          </w:tcPr>
          <w:p w14:paraId="7CB25AB9" w14:textId="77777777" w:rsidR="008A4099" w:rsidRDefault="006A6EE2">
            <w:pPr>
              <w:pStyle w:val="TableParagraph"/>
              <w:spacing w:before="71"/>
              <w:ind w:left="268" w:hanging="22"/>
              <w:rPr>
                <w:sz w:val="21"/>
              </w:rPr>
            </w:pPr>
            <w:r>
              <w:rPr>
                <w:sz w:val="21"/>
              </w:rPr>
              <w:t>Prof</w:t>
            </w:r>
            <w:r>
              <w:rPr>
                <w:spacing w:val="-9"/>
                <w:sz w:val="21"/>
              </w:rPr>
              <w:t xml:space="preserve"> </w:t>
            </w:r>
            <w:r>
              <w:rPr>
                <w:sz w:val="21"/>
              </w:rPr>
              <w:t>Dianne</w:t>
            </w:r>
            <w:r>
              <w:rPr>
                <w:spacing w:val="-10"/>
                <w:sz w:val="21"/>
              </w:rPr>
              <w:t xml:space="preserve"> </w:t>
            </w:r>
            <w:r>
              <w:rPr>
                <w:sz w:val="21"/>
              </w:rPr>
              <w:t>Nicol</w:t>
            </w:r>
            <w:r>
              <w:rPr>
                <w:spacing w:val="-9"/>
                <w:sz w:val="21"/>
              </w:rPr>
              <w:t xml:space="preserve"> </w:t>
            </w:r>
            <w:r>
              <w:rPr>
                <w:sz w:val="21"/>
              </w:rPr>
              <w:t>(delegate</w:t>
            </w:r>
            <w:r>
              <w:rPr>
                <w:spacing w:val="-10"/>
                <w:sz w:val="21"/>
              </w:rPr>
              <w:t xml:space="preserve"> </w:t>
            </w:r>
            <w:r>
              <w:rPr>
                <w:sz w:val="21"/>
              </w:rPr>
              <w:t>– Head of Discipline, Law)</w:t>
            </w:r>
          </w:p>
        </w:tc>
        <w:tc>
          <w:tcPr>
            <w:tcW w:w="3008" w:type="dxa"/>
            <w:tcBorders>
              <w:top w:val="nil"/>
              <w:bottom w:val="nil"/>
            </w:tcBorders>
          </w:tcPr>
          <w:p w14:paraId="7CB25ABA" w14:textId="77777777" w:rsidR="008A4099" w:rsidRDefault="006A6EE2">
            <w:pPr>
              <w:pStyle w:val="TableParagraph"/>
              <w:spacing w:before="193"/>
              <w:ind w:left="197"/>
              <w:rPr>
                <w:sz w:val="21"/>
              </w:rPr>
            </w:pPr>
            <w:r>
              <w:rPr>
                <w:sz w:val="21"/>
              </w:rPr>
              <w:t>Jul</w:t>
            </w:r>
            <w:r>
              <w:rPr>
                <w:spacing w:val="-5"/>
                <w:sz w:val="21"/>
              </w:rPr>
              <w:t xml:space="preserve"> </w:t>
            </w:r>
            <w:r>
              <w:rPr>
                <w:sz w:val="21"/>
              </w:rPr>
              <w:t>2020 –</w:t>
            </w:r>
            <w:r>
              <w:rPr>
                <w:spacing w:val="-3"/>
                <w:sz w:val="21"/>
              </w:rPr>
              <w:t xml:space="preserve"> </w:t>
            </w:r>
            <w:r>
              <w:rPr>
                <w:sz w:val="21"/>
              </w:rPr>
              <w:t>Mar</w:t>
            </w:r>
            <w:r>
              <w:rPr>
                <w:spacing w:val="-1"/>
                <w:sz w:val="21"/>
              </w:rPr>
              <w:t xml:space="preserve"> </w:t>
            </w:r>
            <w:r>
              <w:rPr>
                <w:spacing w:val="-4"/>
                <w:sz w:val="21"/>
              </w:rPr>
              <w:t>2021</w:t>
            </w:r>
          </w:p>
        </w:tc>
      </w:tr>
      <w:tr w:rsidR="008A4099" w14:paraId="7CB25ABF" w14:textId="77777777">
        <w:trPr>
          <w:trHeight w:val="391"/>
        </w:trPr>
        <w:tc>
          <w:tcPr>
            <w:tcW w:w="3005" w:type="dxa"/>
            <w:vMerge/>
            <w:tcBorders>
              <w:top w:val="nil"/>
            </w:tcBorders>
          </w:tcPr>
          <w:p w14:paraId="7CB25ABC" w14:textId="77777777" w:rsidR="008A4099" w:rsidRDefault="008A4099">
            <w:pPr>
              <w:rPr>
                <w:sz w:val="2"/>
                <w:szCs w:val="2"/>
              </w:rPr>
            </w:pPr>
          </w:p>
        </w:tc>
        <w:tc>
          <w:tcPr>
            <w:tcW w:w="3005" w:type="dxa"/>
            <w:tcBorders>
              <w:top w:val="nil"/>
            </w:tcBorders>
          </w:tcPr>
          <w:p w14:paraId="7CB25ABD" w14:textId="77777777" w:rsidR="008A4099" w:rsidRDefault="006A6EE2">
            <w:pPr>
              <w:pStyle w:val="TableParagraph"/>
              <w:spacing w:before="70"/>
              <w:ind w:left="247"/>
              <w:rPr>
                <w:sz w:val="21"/>
              </w:rPr>
            </w:pPr>
            <w:r>
              <w:rPr>
                <w:sz w:val="21"/>
              </w:rPr>
              <w:t>Prof</w:t>
            </w:r>
            <w:r>
              <w:rPr>
                <w:spacing w:val="-1"/>
                <w:sz w:val="21"/>
              </w:rPr>
              <w:t xml:space="preserve"> </w:t>
            </w:r>
            <w:r>
              <w:rPr>
                <w:sz w:val="21"/>
              </w:rPr>
              <w:t>Tim</w:t>
            </w:r>
            <w:r>
              <w:rPr>
                <w:spacing w:val="-2"/>
                <w:sz w:val="21"/>
              </w:rPr>
              <w:t xml:space="preserve"> McCormack</w:t>
            </w:r>
          </w:p>
        </w:tc>
        <w:tc>
          <w:tcPr>
            <w:tcW w:w="3008" w:type="dxa"/>
            <w:tcBorders>
              <w:top w:val="nil"/>
            </w:tcBorders>
          </w:tcPr>
          <w:p w14:paraId="7CB25ABE" w14:textId="77777777" w:rsidR="008A4099" w:rsidRDefault="006A6EE2">
            <w:pPr>
              <w:pStyle w:val="TableParagraph"/>
              <w:spacing w:before="70"/>
              <w:ind w:left="197"/>
              <w:rPr>
                <w:sz w:val="21"/>
              </w:rPr>
            </w:pPr>
            <w:r>
              <w:rPr>
                <w:sz w:val="21"/>
              </w:rPr>
              <w:t>Sep</w:t>
            </w:r>
            <w:r>
              <w:rPr>
                <w:spacing w:val="-4"/>
                <w:sz w:val="21"/>
              </w:rPr>
              <w:t xml:space="preserve"> </w:t>
            </w:r>
            <w:r>
              <w:rPr>
                <w:sz w:val="21"/>
              </w:rPr>
              <w:t>2019</w:t>
            </w:r>
            <w:r>
              <w:rPr>
                <w:spacing w:val="-1"/>
                <w:sz w:val="21"/>
              </w:rPr>
              <w:t xml:space="preserve"> </w:t>
            </w:r>
            <w:r>
              <w:rPr>
                <w:sz w:val="21"/>
              </w:rPr>
              <w:t>–</w:t>
            </w:r>
            <w:r>
              <w:rPr>
                <w:spacing w:val="-2"/>
                <w:sz w:val="21"/>
              </w:rPr>
              <w:t xml:space="preserve"> </w:t>
            </w:r>
            <w:r>
              <w:rPr>
                <w:sz w:val="21"/>
              </w:rPr>
              <w:t>Jun</w:t>
            </w:r>
            <w:r>
              <w:rPr>
                <w:spacing w:val="-1"/>
                <w:sz w:val="21"/>
              </w:rPr>
              <w:t xml:space="preserve"> </w:t>
            </w:r>
            <w:r>
              <w:rPr>
                <w:spacing w:val="-4"/>
                <w:sz w:val="21"/>
              </w:rPr>
              <w:t>2020</w:t>
            </w:r>
          </w:p>
        </w:tc>
      </w:tr>
      <w:tr w:rsidR="008A4099" w14:paraId="7CB25AC3" w14:textId="77777777">
        <w:trPr>
          <w:trHeight w:val="402"/>
        </w:trPr>
        <w:tc>
          <w:tcPr>
            <w:tcW w:w="3005" w:type="dxa"/>
            <w:vMerge w:val="restart"/>
          </w:tcPr>
          <w:p w14:paraId="7CB25AC0" w14:textId="77777777" w:rsidR="008A4099" w:rsidRDefault="006A6EE2">
            <w:pPr>
              <w:pStyle w:val="TableParagraph"/>
              <w:spacing w:before="82"/>
              <w:ind w:left="146"/>
              <w:rPr>
                <w:sz w:val="21"/>
              </w:rPr>
            </w:pPr>
            <w:r>
              <w:rPr>
                <w:spacing w:val="-2"/>
                <w:sz w:val="21"/>
              </w:rPr>
              <w:t>Attorney-General’s</w:t>
            </w:r>
            <w:r>
              <w:rPr>
                <w:spacing w:val="18"/>
                <w:sz w:val="21"/>
              </w:rPr>
              <w:t xml:space="preserve"> </w:t>
            </w:r>
            <w:r>
              <w:rPr>
                <w:spacing w:val="-2"/>
                <w:sz w:val="21"/>
              </w:rPr>
              <w:t>Appointee</w:t>
            </w:r>
          </w:p>
        </w:tc>
        <w:tc>
          <w:tcPr>
            <w:tcW w:w="3005" w:type="dxa"/>
            <w:tcBorders>
              <w:bottom w:val="nil"/>
            </w:tcBorders>
          </w:tcPr>
          <w:p w14:paraId="7CB25AC1" w14:textId="77777777" w:rsidR="008A4099" w:rsidRDefault="006A6EE2">
            <w:pPr>
              <w:pStyle w:val="TableParagraph"/>
              <w:spacing w:before="82"/>
              <w:ind w:left="247"/>
              <w:rPr>
                <w:sz w:val="21"/>
              </w:rPr>
            </w:pPr>
            <w:r>
              <w:rPr>
                <w:sz w:val="21"/>
              </w:rPr>
              <w:t>Kristy</w:t>
            </w:r>
            <w:r>
              <w:rPr>
                <w:spacing w:val="-5"/>
                <w:sz w:val="21"/>
              </w:rPr>
              <w:t xml:space="preserve"> </w:t>
            </w:r>
            <w:r>
              <w:rPr>
                <w:spacing w:val="-2"/>
                <w:sz w:val="21"/>
              </w:rPr>
              <w:t>Bourne</w:t>
            </w:r>
          </w:p>
        </w:tc>
        <w:tc>
          <w:tcPr>
            <w:tcW w:w="3008" w:type="dxa"/>
            <w:tcBorders>
              <w:bottom w:val="nil"/>
            </w:tcBorders>
          </w:tcPr>
          <w:p w14:paraId="7CB25AC2" w14:textId="77777777" w:rsidR="008A4099" w:rsidRDefault="006A6EE2">
            <w:pPr>
              <w:pStyle w:val="TableParagraph"/>
              <w:spacing w:before="82"/>
              <w:ind w:left="197"/>
              <w:rPr>
                <w:sz w:val="21"/>
              </w:rPr>
            </w:pPr>
            <w:r>
              <w:rPr>
                <w:sz w:val="21"/>
              </w:rPr>
              <w:t>Apr</w:t>
            </w:r>
            <w:r>
              <w:rPr>
                <w:spacing w:val="-4"/>
                <w:sz w:val="21"/>
              </w:rPr>
              <w:t xml:space="preserve"> </w:t>
            </w:r>
            <w:r>
              <w:rPr>
                <w:sz w:val="21"/>
              </w:rPr>
              <w:t>2021</w:t>
            </w:r>
            <w:r>
              <w:rPr>
                <w:spacing w:val="-2"/>
                <w:sz w:val="21"/>
              </w:rPr>
              <w:t xml:space="preserve"> </w:t>
            </w:r>
            <w:r>
              <w:rPr>
                <w:sz w:val="21"/>
              </w:rPr>
              <w:t>–</w:t>
            </w:r>
            <w:r>
              <w:rPr>
                <w:spacing w:val="-3"/>
                <w:sz w:val="21"/>
              </w:rPr>
              <w:t xml:space="preserve"> </w:t>
            </w:r>
            <w:r>
              <w:rPr>
                <w:spacing w:val="-2"/>
                <w:sz w:val="21"/>
              </w:rPr>
              <w:t>present</w:t>
            </w:r>
          </w:p>
        </w:tc>
      </w:tr>
      <w:tr w:rsidR="008A4099" w14:paraId="7CB25AC7" w14:textId="77777777">
        <w:trPr>
          <w:trHeight w:val="390"/>
        </w:trPr>
        <w:tc>
          <w:tcPr>
            <w:tcW w:w="3005" w:type="dxa"/>
            <w:vMerge/>
            <w:tcBorders>
              <w:top w:val="nil"/>
            </w:tcBorders>
          </w:tcPr>
          <w:p w14:paraId="7CB25AC4" w14:textId="77777777" w:rsidR="008A4099" w:rsidRDefault="008A4099">
            <w:pPr>
              <w:rPr>
                <w:sz w:val="2"/>
                <w:szCs w:val="2"/>
              </w:rPr>
            </w:pPr>
          </w:p>
        </w:tc>
        <w:tc>
          <w:tcPr>
            <w:tcW w:w="3005" w:type="dxa"/>
            <w:tcBorders>
              <w:top w:val="nil"/>
              <w:bottom w:val="nil"/>
            </w:tcBorders>
          </w:tcPr>
          <w:p w14:paraId="7CB25AC5" w14:textId="77777777" w:rsidR="008A4099" w:rsidRDefault="006A6EE2">
            <w:pPr>
              <w:pStyle w:val="TableParagraph"/>
              <w:spacing w:before="70"/>
              <w:ind w:left="247"/>
              <w:rPr>
                <w:sz w:val="21"/>
              </w:rPr>
            </w:pPr>
            <w:r>
              <w:rPr>
                <w:sz w:val="21"/>
              </w:rPr>
              <w:t>Kerrie</w:t>
            </w:r>
            <w:r>
              <w:rPr>
                <w:spacing w:val="-4"/>
                <w:sz w:val="21"/>
              </w:rPr>
              <w:t xml:space="preserve"> </w:t>
            </w:r>
            <w:r>
              <w:rPr>
                <w:spacing w:val="-2"/>
                <w:sz w:val="21"/>
              </w:rPr>
              <w:t>Crowder</w:t>
            </w:r>
          </w:p>
        </w:tc>
        <w:tc>
          <w:tcPr>
            <w:tcW w:w="3008" w:type="dxa"/>
            <w:tcBorders>
              <w:top w:val="nil"/>
              <w:bottom w:val="nil"/>
            </w:tcBorders>
          </w:tcPr>
          <w:p w14:paraId="7CB25AC6" w14:textId="77777777" w:rsidR="008A4099" w:rsidRDefault="006A6EE2">
            <w:pPr>
              <w:pStyle w:val="TableParagraph"/>
              <w:spacing w:before="70"/>
              <w:ind w:left="197"/>
              <w:rPr>
                <w:sz w:val="21"/>
              </w:rPr>
            </w:pPr>
            <w:r>
              <w:rPr>
                <w:sz w:val="21"/>
              </w:rPr>
              <w:t>Oct</w:t>
            </w:r>
            <w:r>
              <w:rPr>
                <w:spacing w:val="-2"/>
                <w:sz w:val="21"/>
              </w:rPr>
              <w:t xml:space="preserve"> </w:t>
            </w:r>
            <w:r>
              <w:rPr>
                <w:sz w:val="21"/>
              </w:rPr>
              <w:t>2020</w:t>
            </w:r>
            <w:r>
              <w:rPr>
                <w:spacing w:val="-1"/>
                <w:sz w:val="21"/>
              </w:rPr>
              <w:t xml:space="preserve"> </w:t>
            </w:r>
            <w:r>
              <w:rPr>
                <w:sz w:val="21"/>
              </w:rPr>
              <w:t>–</w:t>
            </w:r>
            <w:r>
              <w:rPr>
                <w:spacing w:val="-4"/>
                <w:sz w:val="21"/>
              </w:rPr>
              <w:t xml:space="preserve"> </w:t>
            </w:r>
            <w:r>
              <w:rPr>
                <w:sz w:val="21"/>
              </w:rPr>
              <w:t>Apr</w:t>
            </w:r>
            <w:r>
              <w:rPr>
                <w:spacing w:val="-3"/>
                <w:sz w:val="21"/>
              </w:rPr>
              <w:t xml:space="preserve"> </w:t>
            </w:r>
            <w:r>
              <w:rPr>
                <w:spacing w:val="-4"/>
                <w:sz w:val="21"/>
              </w:rPr>
              <w:t>2021</w:t>
            </w:r>
          </w:p>
        </w:tc>
      </w:tr>
      <w:tr w:rsidR="008A4099" w14:paraId="7CB25ACB" w14:textId="77777777">
        <w:trPr>
          <w:trHeight w:val="391"/>
        </w:trPr>
        <w:tc>
          <w:tcPr>
            <w:tcW w:w="3005" w:type="dxa"/>
            <w:vMerge/>
            <w:tcBorders>
              <w:top w:val="nil"/>
            </w:tcBorders>
          </w:tcPr>
          <w:p w14:paraId="7CB25AC8" w14:textId="77777777" w:rsidR="008A4099" w:rsidRDefault="008A4099">
            <w:pPr>
              <w:rPr>
                <w:sz w:val="2"/>
                <w:szCs w:val="2"/>
              </w:rPr>
            </w:pPr>
          </w:p>
        </w:tc>
        <w:tc>
          <w:tcPr>
            <w:tcW w:w="3005" w:type="dxa"/>
            <w:tcBorders>
              <w:top w:val="nil"/>
            </w:tcBorders>
          </w:tcPr>
          <w:p w14:paraId="7CB25AC9" w14:textId="77777777" w:rsidR="008A4099" w:rsidRDefault="006A6EE2">
            <w:pPr>
              <w:pStyle w:val="TableParagraph"/>
              <w:spacing w:before="70"/>
              <w:ind w:left="247"/>
              <w:rPr>
                <w:sz w:val="21"/>
              </w:rPr>
            </w:pPr>
            <w:r>
              <w:rPr>
                <w:sz w:val="21"/>
              </w:rPr>
              <w:t>Kristy</w:t>
            </w:r>
            <w:r>
              <w:rPr>
                <w:spacing w:val="-5"/>
                <w:sz w:val="21"/>
              </w:rPr>
              <w:t xml:space="preserve"> </w:t>
            </w:r>
            <w:r>
              <w:rPr>
                <w:spacing w:val="-2"/>
                <w:sz w:val="21"/>
              </w:rPr>
              <w:t>Bourne</w:t>
            </w:r>
          </w:p>
        </w:tc>
        <w:tc>
          <w:tcPr>
            <w:tcW w:w="3008" w:type="dxa"/>
            <w:tcBorders>
              <w:top w:val="nil"/>
            </w:tcBorders>
          </w:tcPr>
          <w:p w14:paraId="7CB25ACA" w14:textId="77777777" w:rsidR="008A4099" w:rsidRDefault="006A6EE2">
            <w:pPr>
              <w:pStyle w:val="TableParagraph"/>
              <w:spacing w:before="70"/>
              <w:ind w:left="197"/>
              <w:rPr>
                <w:sz w:val="21"/>
              </w:rPr>
            </w:pPr>
            <w:r>
              <w:rPr>
                <w:sz w:val="21"/>
              </w:rPr>
              <w:t>Sep</w:t>
            </w:r>
            <w:r>
              <w:rPr>
                <w:spacing w:val="-3"/>
                <w:sz w:val="21"/>
              </w:rPr>
              <w:t xml:space="preserve"> </w:t>
            </w:r>
            <w:r>
              <w:rPr>
                <w:sz w:val="21"/>
              </w:rPr>
              <w:t>2019</w:t>
            </w:r>
            <w:r>
              <w:rPr>
                <w:spacing w:val="-1"/>
                <w:sz w:val="21"/>
              </w:rPr>
              <w:t xml:space="preserve"> </w:t>
            </w:r>
            <w:r>
              <w:rPr>
                <w:sz w:val="21"/>
              </w:rPr>
              <w:t>–</w:t>
            </w:r>
            <w:r>
              <w:rPr>
                <w:spacing w:val="-4"/>
                <w:sz w:val="21"/>
              </w:rPr>
              <w:t xml:space="preserve"> </w:t>
            </w:r>
            <w:r>
              <w:rPr>
                <w:sz w:val="21"/>
              </w:rPr>
              <w:t>Oct</w:t>
            </w:r>
            <w:r>
              <w:rPr>
                <w:spacing w:val="-1"/>
                <w:sz w:val="21"/>
              </w:rPr>
              <w:t xml:space="preserve"> </w:t>
            </w:r>
            <w:r>
              <w:rPr>
                <w:spacing w:val="-4"/>
                <w:sz w:val="21"/>
              </w:rPr>
              <w:t>2020</w:t>
            </w:r>
          </w:p>
        </w:tc>
      </w:tr>
      <w:tr w:rsidR="008A4099" w14:paraId="7CB25ACF" w14:textId="77777777">
        <w:trPr>
          <w:trHeight w:val="642"/>
        </w:trPr>
        <w:tc>
          <w:tcPr>
            <w:tcW w:w="3005" w:type="dxa"/>
          </w:tcPr>
          <w:p w14:paraId="7CB25ACC" w14:textId="77777777" w:rsidR="008A4099" w:rsidRDefault="006A6EE2">
            <w:pPr>
              <w:pStyle w:val="TableParagraph"/>
              <w:spacing w:before="82"/>
              <w:ind w:left="146"/>
              <w:rPr>
                <w:sz w:val="21"/>
              </w:rPr>
            </w:pPr>
            <w:r>
              <w:rPr>
                <w:sz w:val="21"/>
              </w:rPr>
              <w:t>Honourable</w:t>
            </w:r>
            <w:r>
              <w:rPr>
                <w:spacing w:val="-8"/>
                <w:sz w:val="21"/>
              </w:rPr>
              <w:t xml:space="preserve"> </w:t>
            </w:r>
            <w:r>
              <w:rPr>
                <w:sz w:val="21"/>
              </w:rPr>
              <w:t>the</w:t>
            </w:r>
            <w:r>
              <w:rPr>
                <w:spacing w:val="-11"/>
                <w:sz w:val="21"/>
              </w:rPr>
              <w:t xml:space="preserve"> </w:t>
            </w:r>
            <w:r>
              <w:rPr>
                <w:sz w:val="21"/>
              </w:rPr>
              <w:t>Chief</w:t>
            </w:r>
            <w:r>
              <w:rPr>
                <w:spacing w:val="-9"/>
                <w:sz w:val="21"/>
              </w:rPr>
              <w:t xml:space="preserve"> </w:t>
            </w:r>
            <w:r>
              <w:rPr>
                <w:sz w:val="21"/>
              </w:rPr>
              <w:t>Justice</w:t>
            </w:r>
            <w:r>
              <w:rPr>
                <w:spacing w:val="-11"/>
                <w:sz w:val="21"/>
              </w:rPr>
              <w:t xml:space="preserve"> </w:t>
            </w:r>
            <w:r>
              <w:rPr>
                <w:sz w:val="21"/>
              </w:rPr>
              <w:t>of Tasmania’s Appointee</w:t>
            </w:r>
          </w:p>
        </w:tc>
        <w:tc>
          <w:tcPr>
            <w:tcW w:w="3005" w:type="dxa"/>
          </w:tcPr>
          <w:p w14:paraId="7CB25ACD" w14:textId="77777777" w:rsidR="008A4099" w:rsidRDefault="006A6EE2">
            <w:pPr>
              <w:pStyle w:val="TableParagraph"/>
              <w:spacing w:before="82"/>
              <w:ind w:left="268" w:hanging="22"/>
              <w:rPr>
                <w:sz w:val="21"/>
              </w:rPr>
            </w:pPr>
            <w:r>
              <w:rPr>
                <w:sz w:val="21"/>
              </w:rPr>
              <w:t>The</w:t>
            </w:r>
            <w:r>
              <w:rPr>
                <w:spacing w:val="-13"/>
                <w:sz w:val="21"/>
              </w:rPr>
              <w:t xml:space="preserve"> </w:t>
            </w:r>
            <w:r>
              <w:rPr>
                <w:sz w:val="21"/>
              </w:rPr>
              <w:t>Honourable</w:t>
            </w:r>
            <w:r>
              <w:rPr>
                <w:spacing w:val="-11"/>
                <w:sz w:val="21"/>
              </w:rPr>
              <w:t xml:space="preserve"> </w:t>
            </w:r>
            <w:r>
              <w:rPr>
                <w:sz w:val="21"/>
              </w:rPr>
              <w:t>Justice</w:t>
            </w:r>
            <w:r>
              <w:rPr>
                <w:spacing w:val="-14"/>
                <w:sz w:val="21"/>
              </w:rPr>
              <w:t xml:space="preserve"> </w:t>
            </w:r>
            <w:r>
              <w:rPr>
                <w:sz w:val="21"/>
              </w:rPr>
              <w:t xml:space="preserve">Helen </w:t>
            </w:r>
            <w:r>
              <w:rPr>
                <w:spacing w:val="-4"/>
                <w:sz w:val="21"/>
              </w:rPr>
              <w:t>Wood</w:t>
            </w:r>
          </w:p>
        </w:tc>
        <w:tc>
          <w:tcPr>
            <w:tcW w:w="3008" w:type="dxa"/>
          </w:tcPr>
          <w:p w14:paraId="7CB25ACE" w14:textId="77777777" w:rsidR="008A4099" w:rsidRDefault="006A6EE2">
            <w:pPr>
              <w:pStyle w:val="TableParagraph"/>
              <w:spacing w:before="202"/>
              <w:ind w:left="197"/>
              <w:rPr>
                <w:sz w:val="21"/>
              </w:rPr>
            </w:pPr>
            <w:r>
              <w:rPr>
                <w:sz w:val="21"/>
              </w:rPr>
              <w:t>Sep</w:t>
            </w:r>
            <w:r>
              <w:rPr>
                <w:spacing w:val="-2"/>
                <w:sz w:val="21"/>
              </w:rPr>
              <w:t xml:space="preserve"> </w:t>
            </w:r>
            <w:r>
              <w:rPr>
                <w:sz w:val="21"/>
              </w:rPr>
              <w:t>2019</w:t>
            </w:r>
            <w:r>
              <w:rPr>
                <w:spacing w:val="-1"/>
                <w:sz w:val="21"/>
              </w:rPr>
              <w:t xml:space="preserve"> </w:t>
            </w:r>
            <w:r>
              <w:rPr>
                <w:sz w:val="21"/>
              </w:rPr>
              <w:t>–</w:t>
            </w:r>
            <w:r>
              <w:rPr>
                <w:spacing w:val="-3"/>
                <w:sz w:val="21"/>
              </w:rPr>
              <w:t xml:space="preserve"> </w:t>
            </w:r>
            <w:r>
              <w:rPr>
                <w:spacing w:val="-2"/>
                <w:sz w:val="21"/>
              </w:rPr>
              <w:t>present</w:t>
            </w:r>
          </w:p>
        </w:tc>
      </w:tr>
      <w:tr w:rsidR="008A4099" w14:paraId="7CB25AD3" w14:textId="77777777">
        <w:trPr>
          <w:trHeight w:val="645"/>
        </w:trPr>
        <w:tc>
          <w:tcPr>
            <w:tcW w:w="3005" w:type="dxa"/>
          </w:tcPr>
          <w:p w14:paraId="7CB25AD0" w14:textId="77777777" w:rsidR="008A4099" w:rsidRDefault="006A6EE2">
            <w:pPr>
              <w:pStyle w:val="TableParagraph"/>
              <w:spacing w:before="82"/>
              <w:ind w:left="146"/>
              <w:rPr>
                <w:sz w:val="21"/>
              </w:rPr>
            </w:pPr>
            <w:r>
              <w:rPr>
                <w:sz w:val="21"/>
              </w:rPr>
              <w:t>Law</w:t>
            </w:r>
            <w:r>
              <w:rPr>
                <w:spacing w:val="-12"/>
                <w:sz w:val="21"/>
              </w:rPr>
              <w:t xml:space="preserve"> </w:t>
            </w:r>
            <w:r>
              <w:rPr>
                <w:sz w:val="21"/>
              </w:rPr>
              <w:t>Society</w:t>
            </w:r>
            <w:r>
              <w:rPr>
                <w:spacing w:val="-13"/>
                <w:sz w:val="21"/>
              </w:rPr>
              <w:t xml:space="preserve"> </w:t>
            </w:r>
            <w:r>
              <w:rPr>
                <w:sz w:val="21"/>
              </w:rPr>
              <w:t>of</w:t>
            </w:r>
            <w:r>
              <w:rPr>
                <w:spacing w:val="-13"/>
                <w:sz w:val="21"/>
              </w:rPr>
              <w:t xml:space="preserve"> </w:t>
            </w:r>
            <w:r>
              <w:rPr>
                <w:sz w:val="21"/>
              </w:rPr>
              <w:t xml:space="preserve">Tasmania </w:t>
            </w:r>
            <w:r>
              <w:rPr>
                <w:spacing w:val="-2"/>
                <w:sz w:val="21"/>
              </w:rPr>
              <w:t>Appointee</w:t>
            </w:r>
          </w:p>
        </w:tc>
        <w:tc>
          <w:tcPr>
            <w:tcW w:w="3005" w:type="dxa"/>
          </w:tcPr>
          <w:p w14:paraId="7CB25AD1" w14:textId="77777777" w:rsidR="008A4099" w:rsidRDefault="006A6EE2">
            <w:pPr>
              <w:pStyle w:val="TableParagraph"/>
              <w:spacing w:before="202"/>
              <w:ind w:left="247"/>
              <w:rPr>
                <w:sz w:val="21"/>
              </w:rPr>
            </w:pPr>
            <w:r>
              <w:rPr>
                <w:sz w:val="21"/>
              </w:rPr>
              <w:t>Rohan</w:t>
            </w:r>
            <w:r>
              <w:rPr>
                <w:spacing w:val="-3"/>
                <w:sz w:val="21"/>
              </w:rPr>
              <w:t xml:space="preserve"> </w:t>
            </w:r>
            <w:r>
              <w:rPr>
                <w:spacing w:val="-4"/>
                <w:sz w:val="21"/>
              </w:rPr>
              <w:t>Foon</w:t>
            </w:r>
          </w:p>
        </w:tc>
        <w:tc>
          <w:tcPr>
            <w:tcW w:w="3008" w:type="dxa"/>
          </w:tcPr>
          <w:p w14:paraId="7CB25AD2" w14:textId="77777777" w:rsidR="008A4099" w:rsidRDefault="006A6EE2">
            <w:pPr>
              <w:pStyle w:val="TableParagraph"/>
              <w:spacing w:before="202"/>
              <w:ind w:left="197"/>
              <w:rPr>
                <w:sz w:val="21"/>
              </w:rPr>
            </w:pPr>
            <w:r>
              <w:rPr>
                <w:sz w:val="21"/>
              </w:rPr>
              <w:t>Sep</w:t>
            </w:r>
            <w:r>
              <w:rPr>
                <w:spacing w:val="-2"/>
                <w:sz w:val="21"/>
              </w:rPr>
              <w:t xml:space="preserve"> </w:t>
            </w:r>
            <w:r>
              <w:rPr>
                <w:sz w:val="21"/>
              </w:rPr>
              <w:t>2019</w:t>
            </w:r>
            <w:r>
              <w:rPr>
                <w:spacing w:val="-1"/>
                <w:sz w:val="21"/>
              </w:rPr>
              <w:t xml:space="preserve"> </w:t>
            </w:r>
            <w:r>
              <w:rPr>
                <w:sz w:val="21"/>
              </w:rPr>
              <w:t>–</w:t>
            </w:r>
            <w:r>
              <w:rPr>
                <w:spacing w:val="-3"/>
                <w:sz w:val="21"/>
              </w:rPr>
              <w:t xml:space="preserve"> </w:t>
            </w:r>
            <w:r>
              <w:rPr>
                <w:spacing w:val="-2"/>
                <w:sz w:val="21"/>
              </w:rPr>
              <w:t>present</w:t>
            </w:r>
          </w:p>
        </w:tc>
      </w:tr>
      <w:tr w:rsidR="008A4099" w14:paraId="7CB25AD7" w14:textId="77777777">
        <w:trPr>
          <w:trHeight w:val="643"/>
        </w:trPr>
        <w:tc>
          <w:tcPr>
            <w:tcW w:w="3005" w:type="dxa"/>
          </w:tcPr>
          <w:p w14:paraId="7CB25AD4" w14:textId="77777777" w:rsidR="008A4099" w:rsidRDefault="006A6EE2">
            <w:pPr>
              <w:pStyle w:val="TableParagraph"/>
              <w:spacing w:before="80"/>
              <w:ind w:left="146"/>
              <w:rPr>
                <w:sz w:val="21"/>
              </w:rPr>
            </w:pPr>
            <w:r>
              <w:rPr>
                <w:sz w:val="21"/>
              </w:rPr>
              <w:t>University</w:t>
            </w:r>
            <w:r>
              <w:rPr>
                <w:spacing w:val="-13"/>
                <w:sz w:val="21"/>
              </w:rPr>
              <w:t xml:space="preserve"> </w:t>
            </w:r>
            <w:r>
              <w:rPr>
                <w:sz w:val="21"/>
              </w:rPr>
              <w:t>of</w:t>
            </w:r>
            <w:r>
              <w:rPr>
                <w:spacing w:val="-12"/>
                <w:sz w:val="21"/>
              </w:rPr>
              <w:t xml:space="preserve"> </w:t>
            </w:r>
            <w:r>
              <w:rPr>
                <w:sz w:val="21"/>
              </w:rPr>
              <w:t>Tasmania</w:t>
            </w:r>
            <w:r>
              <w:rPr>
                <w:spacing w:val="-14"/>
                <w:sz w:val="21"/>
              </w:rPr>
              <w:t xml:space="preserve"> </w:t>
            </w:r>
            <w:r>
              <w:rPr>
                <w:sz w:val="21"/>
              </w:rPr>
              <w:t xml:space="preserve">Council </w:t>
            </w:r>
            <w:r>
              <w:rPr>
                <w:spacing w:val="-2"/>
                <w:sz w:val="21"/>
              </w:rPr>
              <w:t>Appointee</w:t>
            </w:r>
          </w:p>
        </w:tc>
        <w:tc>
          <w:tcPr>
            <w:tcW w:w="3005" w:type="dxa"/>
          </w:tcPr>
          <w:p w14:paraId="7CB25AD5" w14:textId="77777777" w:rsidR="008A4099" w:rsidRDefault="006A6EE2">
            <w:pPr>
              <w:pStyle w:val="TableParagraph"/>
              <w:spacing w:before="200"/>
              <w:ind w:left="247"/>
              <w:rPr>
                <w:sz w:val="21"/>
              </w:rPr>
            </w:pPr>
            <w:r>
              <w:rPr>
                <w:sz w:val="21"/>
              </w:rPr>
              <w:t>Prof</w:t>
            </w:r>
            <w:r>
              <w:rPr>
                <w:spacing w:val="-3"/>
                <w:sz w:val="21"/>
              </w:rPr>
              <w:t xml:space="preserve"> </w:t>
            </w:r>
            <w:r>
              <w:rPr>
                <w:sz w:val="21"/>
              </w:rPr>
              <w:t>Jeremy</w:t>
            </w:r>
            <w:r>
              <w:rPr>
                <w:spacing w:val="-2"/>
                <w:sz w:val="21"/>
              </w:rPr>
              <w:t xml:space="preserve"> Prichard</w:t>
            </w:r>
          </w:p>
        </w:tc>
        <w:tc>
          <w:tcPr>
            <w:tcW w:w="3008" w:type="dxa"/>
          </w:tcPr>
          <w:p w14:paraId="7CB25AD6" w14:textId="77777777" w:rsidR="008A4099" w:rsidRDefault="006A6EE2">
            <w:pPr>
              <w:pStyle w:val="TableParagraph"/>
              <w:spacing w:before="200"/>
              <w:ind w:left="197"/>
              <w:rPr>
                <w:sz w:val="21"/>
              </w:rPr>
            </w:pPr>
            <w:r>
              <w:rPr>
                <w:sz w:val="21"/>
              </w:rPr>
              <w:t>Sep</w:t>
            </w:r>
            <w:r>
              <w:rPr>
                <w:spacing w:val="-2"/>
                <w:sz w:val="21"/>
              </w:rPr>
              <w:t xml:space="preserve"> </w:t>
            </w:r>
            <w:r>
              <w:rPr>
                <w:sz w:val="21"/>
              </w:rPr>
              <w:t>2019</w:t>
            </w:r>
            <w:r>
              <w:rPr>
                <w:spacing w:val="-2"/>
                <w:sz w:val="21"/>
              </w:rPr>
              <w:t xml:space="preserve"> </w:t>
            </w:r>
            <w:r>
              <w:rPr>
                <w:sz w:val="21"/>
              </w:rPr>
              <w:t>–</w:t>
            </w:r>
            <w:r>
              <w:rPr>
                <w:spacing w:val="-4"/>
                <w:sz w:val="21"/>
              </w:rPr>
              <w:t xml:space="preserve"> </w:t>
            </w:r>
            <w:r>
              <w:rPr>
                <w:sz w:val="21"/>
              </w:rPr>
              <w:t>Aug</w:t>
            </w:r>
            <w:r>
              <w:rPr>
                <w:spacing w:val="-1"/>
                <w:sz w:val="21"/>
              </w:rPr>
              <w:t xml:space="preserve"> </w:t>
            </w:r>
            <w:r>
              <w:rPr>
                <w:spacing w:val="-4"/>
                <w:sz w:val="21"/>
              </w:rPr>
              <w:t>2022</w:t>
            </w:r>
          </w:p>
        </w:tc>
      </w:tr>
      <w:tr w:rsidR="008A4099" w14:paraId="7CB25ADB" w14:textId="77777777">
        <w:trPr>
          <w:trHeight w:val="642"/>
        </w:trPr>
        <w:tc>
          <w:tcPr>
            <w:tcW w:w="3005" w:type="dxa"/>
          </w:tcPr>
          <w:p w14:paraId="7CB25AD8" w14:textId="77777777" w:rsidR="008A4099" w:rsidRDefault="006A6EE2">
            <w:pPr>
              <w:pStyle w:val="TableParagraph"/>
              <w:spacing w:before="79"/>
              <w:ind w:left="146"/>
              <w:rPr>
                <w:sz w:val="21"/>
              </w:rPr>
            </w:pPr>
            <w:r>
              <w:rPr>
                <w:sz w:val="21"/>
              </w:rPr>
              <w:t>Tasmanian</w:t>
            </w:r>
            <w:r>
              <w:rPr>
                <w:spacing w:val="-14"/>
                <w:sz w:val="21"/>
              </w:rPr>
              <w:t xml:space="preserve"> </w:t>
            </w:r>
            <w:r>
              <w:rPr>
                <w:sz w:val="21"/>
              </w:rPr>
              <w:t>Bar</w:t>
            </w:r>
            <w:r>
              <w:rPr>
                <w:spacing w:val="-13"/>
                <w:sz w:val="21"/>
              </w:rPr>
              <w:t xml:space="preserve"> </w:t>
            </w:r>
            <w:r>
              <w:rPr>
                <w:sz w:val="21"/>
              </w:rPr>
              <w:t xml:space="preserve">Association </w:t>
            </w:r>
            <w:r>
              <w:rPr>
                <w:spacing w:val="-2"/>
                <w:sz w:val="21"/>
              </w:rPr>
              <w:t>Appointee</w:t>
            </w:r>
          </w:p>
        </w:tc>
        <w:tc>
          <w:tcPr>
            <w:tcW w:w="3005" w:type="dxa"/>
          </w:tcPr>
          <w:p w14:paraId="7CB25AD9" w14:textId="77777777" w:rsidR="008A4099" w:rsidRDefault="006A6EE2">
            <w:pPr>
              <w:pStyle w:val="TableParagraph"/>
              <w:spacing w:before="199"/>
              <w:ind w:left="247"/>
              <w:rPr>
                <w:sz w:val="21"/>
              </w:rPr>
            </w:pPr>
            <w:r>
              <w:rPr>
                <w:sz w:val="21"/>
              </w:rPr>
              <w:t>Craig</w:t>
            </w:r>
            <w:r>
              <w:rPr>
                <w:spacing w:val="-5"/>
                <w:sz w:val="21"/>
              </w:rPr>
              <w:t xml:space="preserve"> </w:t>
            </w:r>
            <w:r>
              <w:rPr>
                <w:spacing w:val="-2"/>
                <w:sz w:val="21"/>
              </w:rPr>
              <w:t>Mackie</w:t>
            </w:r>
          </w:p>
        </w:tc>
        <w:tc>
          <w:tcPr>
            <w:tcW w:w="3008" w:type="dxa"/>
          </w:tcPr>
          <w:p w14:paraId="7CB25ADA" w14:textId="77777777" w:rsidR="008A4099" w:rsidRDefault="006A6EE2">
            <w:pPr>
              <w:pStyle w:val="TableParagraph"/>
              <w:spacing w:before="199"/>
              <w:ind w:left="197"/>
              <w:rPr>
                <w:sz w:val="21"/>
              </w:rPr>
            </w:pPr>
            <w:r>
              <w:rPr>
                <w:sz w:val="21"/>
              </w:rPr>
              <w:t>Sep</w:t>
            </w:r>
            <w:r>
              <w:rPr>
                <w:spacing w:val="-2"/>
                <w:sz w:val="21"/>
              </w:rPr>
              <w:t xml:space="preserve"> </w:t>
            </w:r>
            <w:r>
              <w:rPr>
                <w:sz w:val="21"/>
              </w:rPr>
              <w:t>2019</w:t>
            </w:r>
            <w:r>
              <w:rPr>
                <w:spacing w:val="-1"/>
                <w:sz w:val="21"/>
              </w:rPr>
              <w:t xml:space="preserve"> </w:t>
            </w:r>
            <w:r>
              <w:rPr>
                <w:sz w:val="21"/>
              </w:rPr>
              <w:t>–</w:t>
            </w:r>
            <w:r>
              <w:rPr>
                <w:spacing w:val="-3"/>
                <w:sz w:val="21"/>
              </w:rPr>
              <w:t xml:space="preserve"> </w:t>
            </w:r>
            <w:r>
              <w:rPr>
                <w:spacing w:val="-2"/>
                <w:sz w:val="21"/>
              </w:rPr>
              <w:t>present</w:t>
            </w:r>
          </w:p>
        </w:tc>
      </w:tr>
      <w:tr w:rsidR="008A4099" w14:paraId="7CB25ADF" w14:textId="77777777">
        <w:trPr>
          <w:trHeight w:val="400"/>
        </w:trPr>
        <w:tc>
          <w:tcPr>
            <w:tcW w:w="3005" w:type="dxa"/>
          </w:tcPr>
          <w:p w14:paraId="7CB25ADC" w14:textId="77777777" w:rsidR="008A4099" w:rsidRDefault="006A6EE2">
            <w:pPr>
              <w:pStyle w:val="TableParagraph"/>
              <w:spacing w:before="79"/>
              <w:ind w:left="146"/>
              <w:rPr>
                <w:sz w:val="21"/>
              </w:rPr>
            </w:pPr>
            <w:r>
              <w:rPr>
                <w:sz w:val="21"/>
              </w:rPr>
              <w:t>Co-opted</w:t>
            </w:r>
            <w:r>
              <w:rPr>
                <w:spacing w:val="-7"/>
                <w:sz w:val="21"/>
              </w:rPr>
              <w:t xml:space="preserve"> </w:t>
            </w:r>
            <w:r>
              <w:rPr>
                <w:sz w:val="21"/>
              </w:rPr>
              <w:t>by</w:t>
            </w:r>
            <w:r>
              <w:rPr>
                <w:spacing w:val="-2"/>
                <w:sz w:val="21"/>
              </w:rPr>
              <w:t xml:space="preserve"> </w:t>
            </w:r>
            <w:r>
              <w:rPr>
                <w:sz w:val="21"/>
              </w:rPr>
              <w:t>the</w:t>
            </w:r>
            <w:r>
              <w:rPr>
                <w:spacing w:val="-4"/>
                <w:sz w:val="21"/>
              </w:rPr>
              <w:t xml:space="preserve"> Board</w:t>
            </w:r>
          </w:p>
        </w:tc>
        <w:tc>
          <w:tcPr>
            <w:tcW w:w="3005" w:type="dxa"/>
          </w:tcPr>
          <w:p w14:paraId="7CB25ADD" w14:textId="77777777" w:rsidR="008A4099" w:rsidRDefault="006A6EE2">
            <w:pPr>
              <w:pStyle w:val="TableParagraph"/>
              <w:spacing w:before="79"/>
              <w:ind w:left="247"/>
              <w:rPr>
                <w:sz w:val="21"/>
              </w:rPr>
            </w:pPr>
            <w:r>
              <w:rPr>
                <w:sz w:val="21"/>
              </w:rPr>
              <w:t>Kim</w:t>
            </w:r>
            <w:r>
              <w:rPr>
                <w:spacing w:val="-5"/>
                <w:sz w:val="21"/>
              </w:rPr>
              <w:t xml:space="preserve"> </w:t>
            </w:r>
            <w:r>
              <w:rPr>
                <w:spacing w:val="-2"/>
                <w:sz w:val="21"/>
              </w:rPr>
              <w:t>Baumeler</w:t>
            </w:r>
          </w:p>
        </w:tc>
        <w:tc>
          <w:tcPr>
            <w:tcW w:w="3008" w:type="dxa"/>
          </w:tcPr>
          <w:p w14:paraId="7CB25ADE" w14:textId="77777777" w:rsidR="008A4099" w:rsidRDefault="006A6EE2">
            <w:pPr>
              <w:pStyle w:val="TableParagraph"/>
              <w:spacing w:before="79"/>
              <w:ind w:left="197"/>
              <w:rPr>
                <w:sz w:val="21"/>
              </w:rPr>
            </w:pPr>
            <w:r>
              <w:rPr>
                <w:sz w:val="21"/>
              </w:rPr>
              <w:t>Sep</w:t>
            </w:r>
            <w:r>
              <w:rPr>
                <w:spacing w:val="-2"/>
                <w:sz w:val="21"/>
              </w:rPr>
              <w:t xml:space="preserve"> </w:t>
            </w:r>
            <w:r>
              <w:rPr>
                <w:sz w:val="21"/>
              </w:rPr>
              <w:t>2019</w:t>
            </w:r>
            <w:r>
              <w:rPr>
                <w:spacing w:val="-1"/>
                <w:sz w:val="21"/>
              </w:rPr>
              <w:t xml:space="preserve"> </w:t>
            </w:r>
            <w:r>
              <w:rPr>
                <w:sz w:val="21"/>
              </w:rPr>
              <w:t>–</w:t>
            </w:r>
            <w:r>
              <w:rPr>
                <w:spacing w:val="-3"/>
                <w:sz w:val="21"/>
              </w:rPr>
              <w:t xml:space="preserve"> </w:t>
            </w:r>
            <w:r>
              <w:rPr>
                <w:spacing w:val="-2"/>
                <w:sz w:val="21"/>
              </w:rPr>
              <w:t>present</w:t>
            </w:r>
          </w:p>
        </w:tc>
      </w:tr>
      <w:tr w:rsidR="008A4099" w14:paraId="7CB25AE3" w14:textId="77777777">
        <w:trPr>
          <w:trHeight w:val="402"/>
        </w:trPr>
        <w:tc>
          <w:tcPr>
            <w:tcW w:w="3005" w:type="dxa"/>
          </w:tcPr>
          <w:p w14:paraId="7CB25AE0" w14:textId="77777777" w:rsidR="008A4099" w:rsidRDefault="006A6EE2">
            <w:pPr>
              <w:pStyle w:val="TableParagraph"/>
              <w:spacing w:before="79"/>
              <w:ind w:left="146"/>
              <w:rPr>
                <w:sz w:val="21"/>
              </w:rPr>
            </w:pPr>
            <w:r>
              <w:rPr>
                <w:sz w:val="21"/>
              </w:rPr>
              <w:t>Co-opted</w:t>
            </w:r>
            <w:r>
              <w:rPr>
                <w:spacing w:val="-7"/>
                <w:sz w:val="21"/>
              </w:rPr>
              <w:t xml:space="preserve"> </w:t>
            </w:r>
            <w:r>
              <w:rPr>
                <w:sz w:val="21"/>
              </w:rPr>
              <w:t>by</w:t>
            </w:r>
            <w:r>
              <w:rPr>
                <w:spacing w:val="-2"/>
                <w:sz w:val="21"/>
              </w:rPr>
              <w:t xml:space="preserve"> </w:t>
            </w:r>
            <w:r>
              <w:rPr>
                <w:sz w:val="21"/>
              </w:rPr>
              <w:t>the</w:t>
            </w:r>
            <w:r>
              <w:rPr>
                <w:spacing w:val="-4"/>
                <w:sz w:val="21"/>
              </w:rPr>
              <w:t xml:space="preserve"> Board</w:t>
            </w:r>
          </w:p>
        </w:tc>
        <w:tc>
          <w:tcPr>
            <w:tcW w:w="3005" w:type="dxa"/>
          </w:tcPr>
          <w:p w14:paraId="7CB25AE1" w14:textId="77777777" w:rsidR="008A4099" w:rsidRDefault="006A6EE2">
            <w:pPr>
              <w:pStyle w:val="TableParagraph"/>
              <w:spacing w:before="79"/>
              <w:ind w:left="247"/>
              <w:rPr>
                <w:sz w:val="21"/>
              </w:rPr>
            </w:pPr>
            <w:r>
              <w:rPr>
                <w:sz w:val="21"/>
              </w:rPr>
              <w:t>Ann</w:t>
            </w:r>
            <w:r>
              <w:rPr>
                <w:spacing w:val="-3"/>
                <w:sz w:val="21"/>
              </w:rPr>
              <w:t xml:space="preserve"> </w:t>
            </w:r>
            <w:r>
              <w:rPr>
                <w:spacing w:val="-2"/>
                <w:sz w:val="21"/>
              </w:rPr>
              <w:t>Hughes</w:t>
            </w:r>
          </w:p>
        </w:tc>
        <w:tc>
          <w:tcPr>
            <w:tcW w:w="3008" w:type="dxa"/>
          </w:tcPr>
          <w:p w14:paraId="7CB25AE2" w14:textId="77777777" w:rsidR="008A4099" w:rsidRDefault="006A6EE2">
            <w:pPr>
              <w:pStyle w:val="TableParagraph"/>
              <w:spacing w:before="79"/>
              <w:ind w:left="197"/>
              <w:rPr>
                <w:sz w:val="21"/>
              </w:rPr>
            </w:pPr>
            <w:r>
              <w:rPr>
                <w:sz w:val="21"/>
              </w:rPr>
              <w:t>Sep</w:t>
            </w:r>
            <w:r>
              <w:rPr>
                <w:spacing w:val="-2"/>
                <w:sz w:val="21"/>
              </w:rPr>
              <w:t xml:space="preserve"> </w:t>
            </w:r>
            <w:r>
              <w:rPr>
                <w:sz w:val="21"/>
              </w:rPr>
              <w:t>2019</w:t>
            </w:r>
            <w:r>
              <w:rPr>
                <w:spacing w:val="-1"/>
                <w:sz w:val="21"/>
              </w:rPr>
              <w:t xml:space="preserve"> </w:t>
            </w:r>
            <w:r>
              <w:rPr>
                <w:sz w:val="21"/>
              </w:rPr>
              <w:t>–</w:t>
            </w:r>
            <w:r>
              <w:rPr>
                <w:spacing w:val="-3"/>
                <w:sz w:val="21"/>
              </w:rPr>
              <w:t xml:space="preserve"> </w:t>
            </w:r>
            <w:r>
              <w:rPr>
                <w:spacing w:val="-2"/>
                <w:sz w:val="21"/>
              </w:rPr>
              <w:t>present</w:t>
            </w:r>
          </w:p>
        </w:tc>
      </w:tr>
      <w:tr w:rsidR="008A4099" w14:paraId="7CB25AE9" w14:textId="77777777">
        <w:trPr>
          <w:trHeight w:val="882"/>
        </w:trPr>
        <w:tc>
          <w:tcPr>
            <w:tcW w:w="3005" w:type="dxa"/>
          </w:tcPr>
          <w:p w14:paraId="7CB25AE4" w14:textId="77777777" w:rsidR="008A4099" w:rsidRDefault="006A6EE2">
            <w:pPr>
              <w:pStyle w:val="TableParagraph"/>
              <w:spacing w:before="79"/>
              <w:ind w:left="146"/>
              <w:rPr>
                <w:sz w:val="21"/>
              </w:rPr>
            </w:pPr>
            <w:r>
              <w:rPr>
                <w:sz w:val="21"/>
              </w:rPr>
              <w:t>Co-opted</w:t>
            </w:r>
            <w:r>
              <w:rPr>
                <w:spacing w:val="-8"/>
                <w:sz w:val="21"/>
              </w:rPr>
              <w:t xml:space="preserve"> </w:t>
            </w:r>
            <w:r>
              <w:rPr>
                <w:sz w:val="21"/>
              </w:rPr>
              <w:t>by</w:t>
            </w:r>
            <w:r>
              <w:rPr>
                <w:spacing w:val="-6"/>
                <w:sz w:val="21"/>
              </w:rPr>
              <w:t xml:space="preserve"> </w:t>
            </w:r>
            <w:r>
              <w:rPr>
                <w:sz w:val="21"/>
              </w:rPr>
              <w:t>the</w:t>
            </w:r>
            <w:r>
              <w:rPr>
                <w:spacing w:val="-8"/>
                <w:sz w:val="21"/>
              </w:rPr>
              <w:t xml:space="preserve"> </w:t>
            </w:r>
            <w:r>
              <w:rPr>
                <w:sz w:val="21"/>
              </w:rPr>
              <w:t>Board</w:t>
            </w:r>
            <w:r>
              <w:rPr>
                <w:spacing w:val="-8"/>
                <w:sz w:val="21"/>
              </w:rPr>
              <w:t xml:space="preserve"> </w:t>
            </w:r>
            <w:r>
              <w:rPr>
                <w:sz w:val="21"/>
              </w:rPr>
              <w:t>as</w:t>
            </w:r>
            <w:r>
              <w:rPr>
                <w:spacing w:val="-7"/>
                <w:sz w:val="21"/>
              </w:rPr>
              <w:t xml:space="preserve"> </w:t>
            </w:r>
            <w:r>
              <w:rPr>
                <w:sz w:val="21"/>
              </w:rPr>
              <w:t>a member of the Tasmanian Aboriginal Community</w:t>
            </w:r>
          </w:p>
        </w:tc>
        <w:tc>
          <w:tcPr>
            <w:tcW w:w="3005" w:type="dxa"/>
          </w:tcPr>
          <w:p w14:paraId="7CB25AE5" w14:textId="77777777" w:rsidR="008A4099" w:rsidRDefault="008A4099">
            <w:pPr>
              <w:pStyle w:val="TableParagraph"/>
              <w:spacing w:before="78"/>
              <w:rPr>
                <w:sz w:val="21"/>
              </w:rPr>
            </w:pPr>
          </w:p>
          <w:p w14:paraId="7CB25AE6" w14:textId="77777777" w:rsidR="008A4099" w:rsidRDefault="006A6EE2">
            <w:pPr>
              <w:pStyle w:val="TableParagraph"/>
              <w:ind w:left="247"/>
              <w:rPr>
                <w:sz w:val="21"/>
              </w:rPr>
            </w:pPr>
            <w:r>
              <w:rPr>
                <w:sz w:val="21"/>
              </w:rPr>
              <w:t>Rosie</w:t>
            </w:r>
            <w:r>
              <w:rPr>
                <w:spacing w:val="-2"/>
                <w:sz w:val="21"/>
              </w:rPr>
              <w:t xml:space="preserve"> Smith</w:t>
            </w:r>
          </w:p>
        </w:tc>
        <w:tc>
          <w:tcPr>
            <w:tcW w:w="3008" w:type="dxa"/>
          </w:tcPr>
          <w:p w14:paraId="7CB25AE7" w14:textId="77777777" w:rsidR="008A4099" w:rsidRDefault="008A4099">
            <w:pPr>
              <w:pStyle w:val="TableParagraph"/>
              <w:spacing w:before="78"/>
              <w:rPr>
                <w:sz w:val="21"/>
              </w:rPr>
            </w:pPr>
          </w:p>
          <w:p w14:paraId="7CB25AE8" w14:textId="77777777" w:rsidR="008A4099" w:rsidRDefault="006A6EE2">
            <w:pPr>
              <w:pStyle w:val="TableParagraph"/>
              <w:ind w:left="197"/>
              <w:rPr>
                <w:sz w:val="21"/>
              </w:rPr>
            </w:pPr>
            <w:r>
              <w:rPr>
                <w:sz w:val="21"/>
              </w:rPr>
              <w:t>Sep</w:t>
            </w:r>
            <w:r>
              <w:rPr>
                <w:spacing w:val="-2"/>
                <w:sz w:val="21"/>
              </w:rPr>
              <w:t xml:space="preserve"> </w:t>
            </w:r>
            <w:r>
              <w:rPr>
                <w:sz w:val="21"/>
              </w:rPr>
              <w:t>2019</w:t>
            </w:r>
            <w:r>
              <w:rPr>
                <w:spacing w:val="-1"/>
                <w:sz w:val="21"/>
              </w:rPr>
              <w:t xml:space="preserve"> </w:t>
            </w:r>
            <w:r>
              <w:rPr>
                <w:sz w:val="21"/>
              </w:rPr>
              <w:t>–</w:t>
            </w:r>
            <w:r>
              <w:rPr>
                <w:spacing w:val="-3"/>
                <w:sz w:val="21"/>
              </w:rPr>
              <w:t xml:space="preserve"> </w:t>
            </w:r>
            <w:r>
              <w:rPr>
                <w:spacing w:val="-2"/>
                <w:sz w:val="21"/>
              </w:rPr>
              <w:t>present</w:t>
            </w:r>
          </w:p>
        </w:tc>
      </w:tr>
    </w:tbl>
    <w:p w14:paraId="7CB25AEA" w14:textId="77777777" w:rsidR="008A4099" w:rsidRDefault="006A6EE2">
      <w:pPr>
        <w:spacing w:before="130"/>
        <w:ind w:left="160"/>
        <w:rPr>
          <w:sz w:val="20"/>
        </w:rPr>
      </w:pPr>
      <w:r>
        <w:rPr>
          <w:sz w:val="20"/>
        </w:rPr>
        <w:t>*Acting</w:t>
      </w:r>
      <w:r>
        <w:rPr>
          <w:spacing w:val="-3"/>
          <w:sz w:val="20"/>
        </w:rPr>
        <w:t xml:space="preserve"> </w:t>
      </w:r>
      <w:r>
        <w:rPr>
          <w:sz w:val="20"/>
        </w:rPr>
        <w:t>Director</w:t>
      </w:r>
      <w:r>
        <w:rPr>
          <w:spacing w:val="-3"/>
          <w:sz w:val="20"/>
        </w:rPr>
        <w:t xml:space="preserve"> </w:t>
      </w:r>
      <w:r>
        <w:rPr>
          <w:sz w:val="20"/>
        </w:rPr>
        <w:t xml:space="preserve">Aug </w:t>
      </w:r>
      <w:r>
        <w:t>–</w:t>
      </w:r>
      <w:r>
        <w:rPr>
          <w:spacing w:val="-4"/>
        </w:rPr>
        <w:t xml:space="preserve"> </w:t>
      </w:r>
      <w:r>
        <w:rPr>
          <w:sz w:val="20"/>
        </w:rPr>
        <w:t>Dec</w:t>
      </w:r>
      <w:r>
        <w:rPr>
          <w:spacing w:val="-3"/>
          <w:sz w:val="20"/>
        </w:rPr>
        <w:t xml:space="preserve"> </w:t>
      </w:r>
      <w:r>
        <w:rPr>
          <w:sz w:val="20"/>
        </w:rPr>
        <w:t>2022.</w:t>
      </w:r>
      <w:r>
        <w:rPr>
          <w:spacing w:val="-3"/>
          <w:sz w:val="20"/>
        </w:rPr>
        <w:t xml:space="preserve"> </w:t>
      </w:r>
      <w:r>
        <w:rPr>
          <w:sz w:val="20"/>
        </w:rPr>
        <w:t>Absent</w:t>
      </w:r>
      <w:r>
        <w:rPr>
          <w:spacing w:val="-6"/>
          <w:sz w:val="20"/>
        </w:rPr>
        <w:t xml:space="preserve"> </w:t>
      </w:r>
      <w:r>
        <w:rPr>
          <w:sz w:val="20"/>
        </w:rPr>
        <w:t>from</w:t>
      </w:r>
      <w:r>
        <w:rPr>
          <w:spacing w:val="-5"/>
          <w:sz w:val="20"/>
        </w:rPr>
        <w:t xml:space="preserve"> </w:t>
      </w:r>
      <w:r>
        <w:rPr>
          <w:sz w:val="20"/>
        </w:rPr>
        <w:t>Board</w:t>
      </w:r>
      <w:r>
        <w:rPr>
          <w:spacing w:val="-2"/>
          <w:sz w:val="20"/>
        </w:rPr>
        <w:t xml:space="preserve"> </w:t>
      </w:r>
      <w:r>
        <w:rPr>
          <w:sz w:val="20"/>
        </w:rPr>
        <w:t>July</w:t>
      </w:r>
      <w:r>
        <w:rPr>
          <w:spacing w:val="-5"/>
          <w:sz w:val="20"/>
        </w:rPr>
        <w:t xml:space="preserve"> </w:t>
      </w:r>
      <w:r>
        <w:rPr>
          <w:sz w:val="20"/>
        </w:rPr>
        <w:t xml:space="preserve">2020 </w:t>
      </w:r>
      <w:r>
        <w:t>–</w:t>
      </w:r>
      <w:r>
        <w:rPr>
          <w:spacing w:val="-3"/>
        </w:rPr>
        <w:t xml:space="preserve"> </w:t>
      </w:r>
      <w:r>
        <w:rPr>
          <w:sz w:val="20"/>
        </w:rPr>
        <w:t>June</w:t>
      </w:r>
      <w:r>
        <w:rPr>
          <w:spacing w:val="-3"/>
          <w:sz w:val="20"/>
        </w:rPr>
        <w:t xml:space="preserve"> </w:t>
      </w:r>
      <w:r>
        <w:rPr>
          <w:spacing w:val="-2"/>
          <w:sz w:val="20"/>
        </w:rPr>
        <w:t>2022.</w:t>
      </w:r>
    </w:p>
    <w:p w14:paraId="7CB25AEB" w14:textId="77777777" w:rsidR="008A4099" w:rsidRDefault="008A4099">
      <w:pPr>
        <w:pStyle w:val="BodyText"/>
        <w:spacing w:before="50"/>
        <w:rPr>
          <w:sz w:val="20"/>
        </w:rPr>
      </w:pPr>
    </w:p>
    <w:p w14:paraId="7CB25AEC" w14:textId="77777777" w:rsidR="008A4099" w:rsidRDefault="006A6EE2">
      <w:pPr>
        <w:pStyle w:val="BodyText"/>
        <w:ind w:left="160" w:right="792"/>
        <w:jc w:val="both"/>
      </w:pPr>
      <w:r>
        <w:t>The Board is established as an advisory body to provide advice to the TLRI on: the identification of the scope, cost, completion time and expected outputs of projects; the acceptance or rejection of references;</w:t>
      </w:r>
      <w:r>
        <w:rPr>
          <w:spacing w:val="-1"/>
        </w:rPr>
        <w:t xml:space="preserve"> </w:t>
      </w:r>
      <w:r>
        <w:t>the</w:t>
      </w:r>
      <w:r>
        <w:rPr>
          <w:spacing w:val="-2"/>
        </w:rPr>
        <w:t xml:space="preserve"> </w:t>
      </w:r>
      <w:r>
        <w:t>funding</w:t>
      </w:r>
      <w:r>
        <w:rPr>
          <w:spacing w:val="-3"/>
        </w:rPr>
        <w:t xml:space="preserve"> </w:t>
      </w:r>
      <w:r>
        <w:t>of</w:t>
      </w:r>
      <w:r>
        <w:rPr>
          <w:spacing w:val="-2"/>
        </w:rPr>
        <w:t xml:space="preserve"> </w:t>
      </w:r>
      <w:r>
        <w:t>projects</w:t>
      </w:r>
      <w:r>
        <w:rPr>
          <w:spacing w:val="-2"/>
        </w:rPr>
        <w:t xml:space="preserve"> </w:t>
      </w:r>
      <w:r>
        <w:t>including</w:t>
      </w:r>
      <w:r>
        <w:rPr>
          <w:spacing w:val="-2"/>
        </w:rPr>
        <w:t xml:space="preserve"> </w:t>
      </w:r>
      <w:r>
        <w:t>the</w:t>
      </w:r>
      <w:r>
        <w:rPr>
          <w:spacing w:val="-2"/>
        </w:rPr>
        <w:t xml:space="preserve"> </w:t>
      </w:r>
      <w:r>
        <w:t>appropriateness</w:t>
      </w:r>
      <w:r>
        <w:rPr>
          <w:spacing w:val="-2"/>
        </w:rPr>
        <w:t xml:space="preserve"> </w:t>
      </w:r>
      <w:r>
        <w:t>of</w:t>
      </w:r>
      <w:r>
        <w:rPr>
          <w:spacing w:val="-2"/>
        </w:rPr>
        <w:t xml:space="preserve"> </w:t>
      </w:r>
      <w:r>
        <w:t>accepting funding</w:t>
      </w:r>
      <w:r>
        <w:rPr>
          <w:spacing w:val="-2"/>
        </w:rPr>
        <w:t xml:space="preserve"> </w:t>
      </w:r>
      <w:r>
        <w:t>from</w:t>
      </w:r>
      <w:r>
        <w:rPr>
          <w:spacing w:val="-1"/>
        </w:rPr>
        <w:t xml:space="preserve"> </w:t>
      </w:r>
      <w:r>
        <w:t>any</w:t>
      </w:r>
      <w:r>
        <w:rPr>
          <w:spacing w:val="-2"/>
        </w:rPr>
        <w:t xml:space="preserve"> </w:t>
      </w:r>
      <w:r>
        <w:t xml:space="preserve">body or person for particular references, and the publication of Final Reports. It makes decisions by </w:t>
      </w:r>
      <w:r>
        <w:rPr>
          <w:spacing w:val="-2"/>
        </w:rPr>
        <w:t>consensus.</w:t>
      </w:r>
    </w:p>
    <w:p w14:paraId="7CB25AED" w14:textId="77777777" w:rsidR="008A4099" w:rsidRDefault="008A4099">
      <w:pPr>
        <w:jc w:val="both"/>
        <w:sectPr w:rsidR="008A4099" w:rsidSect="00D43B2D">
          <w:headerReference w:type="default" r:id="rId18"/>
          <w:pgSz w:w="11910" w:h="16840"/>
          <w:pgMar w:top="1360" w:right="760" w:bottom="940" w:left="1280" w:header="0" w:footer="0" w:gutter="0"/>
          <w:cols w:space="720"/>
        </w:sectPr>
      </w:pPr>
    </w:p>
    <w:p w14:paraId="7CB25AEE" w14:textId="77777777" w:rsidR="008A4099" w:rsidRDefault="008A4099">
      <w:pPr>
        <w:pStyle w:val="BodyText"/>
        <w:spacing w:before="2"/>
      </w:pPr>
    </w:p>
    <w:p w14:paraId="7CB25AEF" w14:textId="77777777" w:rsidR="008A4099" w:rsidRDefault="006A6EE2">
      <w:pPr>
        <w:pStyle w:val="BodyText"/>
        <w:spacing w:before="1"/>
        <w:ind w:left="160" w:right="793"/>
        <w:jc w:val="both"/>
      </w:pPr>
      <w:r>
        <w:t>This Research Report was prepared for the Board of the TLRI by Jess Feehely, Associate Professor Brendan Gogarty, Dr Rebecca Bradfield, Adjunct Associate Professor Terese Henning and Bruce Newey, with research assistance from Gina Goh.</w:t>
      </w:r>
    </w:p>
    <w:p w14:paraId="7CB25AF0" w14:textId="77777777" w:rsidR="008A4099" w:rsidRDefault="006A6EE2">
      <w:pPr>
        <w:pStyle w:val="BodyText"/>
        <w:spacing w:before="119"/>
        <w:ind w:left="160" w:right="789"/>
        <w:jc w:val="both"/>
      </w:pPr>
      <w:r>
        <w:t>During the period of this project, Terese Henning was Director of the Institute from September 2019 to</w:t>
      </w:r>
      <w:r>
        <w:rPr>
          <w:spacing w:val="-9"/>
        </w:rPr>
        <w:t xml:space="preserve"> </w:t>
      </w:r>
      <w:r>
        <w:t>December</w:t>
      </w:r>
      <w:r>
        <w:rPr>
          <w:spacing w:val="-8"/>
        </w:rPr>
        <w:t xml:space="preserve"> </w:t>
      </w:r>
      <w:r>
        <w:t>2019.</w:t>
      </w:r>
      <w:r>
        <w:rPr>
          <w:spacing w:val="-9"/>
        </w:rPr>
        <w:t xml:space="preserve"> </w:t>
      </w:r>
      <w:r>
        <w:t>Her</w:t>
      </w:r>
      <w:r>
        <w:rPr>
          <w:spacing w:val="-10"/>
        </w:rPr>
        <w:t xml:space="preserve"> </w:t>
      </w:r>
      <w:r>
        <w:t>involvement</w:t>
      </w:r>
      <w:r>
        <w:rPr>
          <w:spacing w:val="-8"/>
        </w:rPr>
        <w:t xml:space="preserve"> </w:t>
      </w:r>
      <w:r>
        <w:t>during</w:t>
      </w:r>
      <w:r>
        <w:rPr>
          <w:spacing w:val="-9"/>
        </w:rPr>
        <w:t xml:space="preserve"> </w:t>
      </w:r>
      <w:r>
        <w:t>this</w:t>
      </w:r>
      <w:r>
        <w:rPr>
          <w:spacing w:val="-8"/>
        </w:rPr>
        <w:t xml:space="preserve"> </w:t>
      </w:r>
      <w:r>
        <w:t>phase</w:t>
      </w:r>
      <w:r>
        <w:rPr>
          <w:spacing w:val="-11"/>
        </w:rPr>
        <w:t xml:space="preserve"> </w:t>
      </w:r>
      <w:r>
        <w:t>was</w:t>
      </w:r>
      <w:r>
        <w:rPr>
          <w:spacing w:val="-8"/>
        </w:rPr>
        <w:t xml:space="preserve"> </w:t>
      </w:r>
      <w:r>
        <w:t>limited</w:t>
      </w:r>
      <w:r>
        <w:rPr>
          <w:spacing w:val="-11"/>
        </w:rPr>
        <w:t xml:space="preserve"> </w:t>
      </w:r>
      <w:r>
        <w:t>to</w:t>
      </w:r>
      <w:r>
        <w:rPr>
          <w:spacing w:val="-9"/>
        </w:rPr>
        <w:t xml:space="preserve"> </w:t>
      </w:r>
      <w:r>
        <w:t>drafting</w:t>
      </w:r>
      <w:r>
        <w:rPr>
          <w:spacing w:val="-9"/>
        </w:rPr>
        <w:t xml:space="preserve"> </w:t>
      </w:r>
      <w:r>
        <w:t>the</w:t>
      </w:r>
      <w:r>
        <w:rPr>
          <w:spacing w:val="-8"/>
        </w:rPr>
        <w:t xml:space="preserve"> </w:t>
      </w:r>
      <w:r>
        <w:t>project</w:t>
      </w:r>
      <w:r>
        <w:rPr>
          <w:spacing w:val="-7"/>
        </w:rPr>
        <w:t xml:space="preserve"> </w:t>
      </w:r>
      <w:r>
        <w:t>proposal</w:t>
      </w:r>
      <w:r>
        <w:rPr>
          <w:spacing w:val="-7"/>
        </w:rPr>
        <w:t xml:space="preserve"> </w:t>
      </w:r>
      <w:r>
        <w:t>and preparing</w:t>
      </w:r>
      <w:r>
        <w:rPr>
          <w:spacing w:val="-10"/>
        </w:rPr>
        <w:t xml:space="preserve"> </w:t>
      </w:r>
      <w:r>
        <w:t>a</w:t>
      </w:r>
      <w:r>
        <w:rPr>
          <w:spacing w:val="-9"/>
        </w:rPr>
        <w:t xml:space="preserve"> </w:t>
      </w:r>
      <w:r>
        <w:t>grant</w:t>
      </w:r>
      <w:r>
        <w:rPr>
          <w:spacing w:val="-11"/>
        </w:rPr>
        <w:t xml:space="preserve"> </w:t>
      </w:r>
      <w:r>
        <w:t>application</w:t>
      </w:r>
      <w:r>
        <w:rPr>
          <w:spacing w:val="-10"/>
        </w:rPr>
        <w:t xml:space="preserve"> </w:t>
      </w:r>
      <w:r>
        <w:t>for</w:t>
      </w:r>
      <w:r>
        <w:rPr>
          <w:spacing w:val="-9"/>
        </w:rPr>
        <w:t xml:space="preserve"> </w:t>
      </w:r>
      <w:r>
        <w:t>submission</w:t>
      </w:r>
      <w:r>
        <w:rPr>
          <w:spacing w:val="-12"/>
        </w:rPr>
        <w:t xml:space="preserve"> </w:t>
      </w:r>
      <w:r>
        <w:t>to</w:t>
      </w:r>
      <w:r>
        <w:rPr>
          <w:spacing w:val="-10"/>
        </w:rPr>
        <w:t xml:space="preserve"> </w:t>
      </w:r>
      <w:r>
        <w:t>the</w:t>
      </w:r>
      <w:r>
        <w:rPr>
          <w:spacing w:val="-9"/>
        </w:rPr>
        <w:t xml:space="preserve"> </w:t>
      </w:r>
      <w:r>
        <w:t>Law</w:t>
      </w:r>
      <w:r>
        <w:rPr>
          <w:spacing w:val="-9"/>
        </w:rPr>
        <w:t xml:space="preserve"> </w:t>
      </w:r>
      <w:r>
        <w:t>Foundation</w:t>
      </w:r>
      <w:r>
        <w:rPr>
          <w:spacing w:val="-10"/>
        </w:rPr>
        <w:t xml:space="preserve"> </w:t>
      </w:r>
      <w:r>
        <w:t>of</w:t>
      </w:r>
      <w:r>
        <w:rPr>
          <w:spacing w:val="-9"/>
        </w:rPr>
        <w:t xml:space="preserve"> </w:t>
      </w:r>
      <w:r>
        <w:t>Tasmania.</w:t>
      </w:r>
      <w:r>
        <w:rPr>
          <w:spacing w:val="-9"/>
        </w:rPr>
        <w:t xml:space="preserve"> </w:t>
      </w:r>
      <w:r>
        <w:t>Subsequently,</w:t>
      </w:r>
      <w:r>
        <w:rPr>
          <w:spacing w:val="-10"/>
        </w:rPr>
        <w:t xml:space="preserve"> </w:t>
      </w:r>
      <w:r>
        <w:t>in</w:t>
      </w:r>
      <w:r>
        <w:rPr>
          <w:spacing w:val="-10"/>
        </w:rPr>
        <w:t xml:space="preserve"> </w:t>
      </w:r>
      <w:r>
        <w:t>her capacity as UTAS Adjunct Associate Professor in Law, she was a member of the project’s Expert Advisory</w:t>
      </w:r>
      <w:r>
        <w:rPr>
          <w:spacing w:val="-2"/>
        </w:rPr>
        <w:t xml:space="preserve"> </w:t>
      </w:r>
      <w:r>
        <w:t>Group</w:t>
      </w:r>
      <w:r>
        <w:rPr>
          <w:spacing w:val="-2"/>
        </w:rPr>
        <w:t xml:space="preserve"> </w:t>
      </w:r>
      <w:r>
        <w:t>until</w:t>
      </w:r>
      <w:r>
        <w:rPr>
          <w:spacing w:val="-3"/>
        </w:rPr>
        <w:t xml:space="preserve"> </w:t>
      </w:r>
      <w:r>
        <w:t>July</w:t>
      </w:r>
      <w:r>
        <w:rPr>
          <w:spacing w:val="-6"/>
        </w:rPr>
        <w:t xml:space="preserve"> </w:t>
      </w:r>
      <w:r>
        <w:t>2022,</w:t>
      </w:r>
      <w:r>
        <w:rPr>
          <w:spacing w:val="-2"/>
        </w:rPr>
        <w:t xml:space="preserve"> </w:t>
      </w:r>
      <w:r>
        <w:t>when</w:t>
      </w:r>
      <w:r>
        <w:rPr>
          <w:spacing w:val="-3"/>
        </w:rPr>
        <w:t xml:space="preserve"> </w:t>
      </w:r>
      <w:r>
        <w:t>she</w:t>
      </w:r>
      <w:r>
        <w:rPr>
          <w:spacing w:val="-2"/>
        </w:rPr>
        <w:t xml:space="preserve"> </w:t>
      </w:r>
      <w:r>
        <w:t>commenced</w:t>
      </w:r>
      <w:r>
        <w:rPr>
          <w:spacing w:val="-2"/>
        </w:rPr>
        <w:t xml:space="preserve"> </w:t>
      </w:r>
      <w:r>
        <w:t>work</w:t>
      </w:r>
      <w:r>
        <w:rPr>
          <w:spacing w:val="-4"/>
        </w:rPr>
        <w:t xml:space="preserve"> </w:t>
      </w:r>
      <w:r>
        <w:t>as</w:t>
      </w:r>
      <w:r>
        <w:rPr>
          <w:spacing w:val="-3"/>
        </w:rPr>
        <w:t xml:space="preserve"> </w:t>
      </w:r>
      <w:r>
        <w:t>content</w:t>
      </w:r>
      <w:r>
        <w:rPr>
          <w:spacing w:val="-3"/>
        </w:rPr>
        <w:t xml:space="preserve"> </w:t>
      </w:r>
      <w:r>
        <w:t>editor</w:t>
      </w:r>
      <w:r>
        <w:rPr>
          <w:spacing w:val="-2"/>
        </w:rPr>
        <w:t xml:space="preserve"> </w:t>
      </w:r>
      <w:r>
        <w:t>on</w:t>
      </w:r>
      <w:r>
        <w:rPr>
          <w:spacing w:val="-6"/>
        </w:rPr>
        <w:t xml:space="preserve"> </w:t>
      </w:r>
      <w:r>
        <w:t>the</w:t>
      </w:r>
      <w:r>
        <w:rPr>
          <w:spacing w:val="-2"/>
        </w:rPr>
        <w:t xml:space="preserve"> </w:t>
      </w:r>
      <w:r>
        <w:t>draft</w:t>
      </w:r>
      <w:r>
        <w:rPr>
          <w:spacing w:val="-3"/>
        </w:rPr>
        <w:t xml:space="preserve"> </w:t>
      </w:r>
      <w:r>
        <w:t>paper</w:t>
      </w:r>
      <w:r>
        <w:rPr>
          <w:spacing w:val="-2"/>
        </w:rPr>
        <w:t xml:space="preserve"> </w:t>
      </w:r>
      <w:r>
        <w:t>on</w:t>
      </w:r>
      <w:r>
        <w:rPr>
          <w:spacing w:val="-2"/>
        </w:rPr>
        <w:t xml:space="preserve"> </w:t>
      </w:r>
      <w:r>
        <w:t>a voluntary basis. Brendan Gogarty was Acting TLRI Director from December 2019 to March 2022. Initial</w:t>
      </w:r>
      <w:r>
        <w:rPr>
          <w:spacing w:val="-14"/>
        </w:rPr>
        <w:t xml:space="preserve"> </w:t>
      </w:r>
      <w:r>
        <w:t>work</w:t>
      </w:r>
      <w:r>
        <w:rPr>
          <w:spacing w:val="-14"/>
        </w:rPr>
        <w:t xml:space="preserve"> </w:t>
      </w:r>
      <w:r>
        <w:t>on</w:t>
      </w:r>
      <w:r>
        <w:rPr>
          <w:spacing w:val="-14"/>
        </w:rPr>
        <w:t xml:space="preserve"> </w:t>
      </w:r>
      <w:r>
        <w:t>the</w:t>
      </w:r>
      <w:r>
        <w:rPr>
          <w:spacing w:val="-13"/>
        </w:rPr>
        <w:t xml:space="preserve"> </w:t>
      </w:r>
      <w:r>
        <w:t>reference</w:t>
      </w:r>
      <w:r>
        <w:rPr>
          <w:spacing w:val="-14"/>
        </w:rPr>
        <w:t xml:space="preserve"> </w:t>
      </w:r>
      <w:r>
        <w:t>was</w:t>
      </w:r>
      <w:r>
        <w:rPr>
          <w:spacing w:val="-14"/>
        </w:rPr>
        <w:t xml:space="preserve"> </w:t>
      </w:r>
      <w:r>
        <w:t>undertaken</w:t>
      </w:r>
      <w:r>
        <w:rPr>
          <w:spacing w:val="-14"/>
        </w:rPr>
        <w:t xml:space="preserve"> </w:t>
      </w:r>
      <w:r>
        <w:t>by</w:t>
      </w:r>
      <w:r>
        <w:rPr>
          <w:spacing w:val="-13"/>
        </w:rPr>
        <w:t xml:space="preserve"> </w:t>
      </w:r>
      <w:r>
        <w:t>Bruce</w:t>
      </w:r>
      <w:r>
        <w:rPr>
          <w:spacing w:val="-14"/>
        </w:rPr>
        <w:t xml:space="preserve"> </w:t>
      </w:r>
      <w:r>
        <w:t>Newey,</w:t>
      </w:r>
      <w:r>
        <w:rPr>
          <w:spacing w:val="-14"/>
        </w:rPr>
        <w:t xml:space="preserve"> </w:t>
      </w:r>
      <w:r>
        <w:t>with</w:t>
      </w:r>
      <w:r>
        <w:rPr>
          <w:spacing w:val="-14"/>
        </w:rPr>
        <w:t xml:space="preserve"> </w:t>
      </w:r>
      <w:r>
        <w:t>Jess</w:t>
      </w:r>
      <w:r>
        <w:rPr>
          <w:spacing w:val="-13"/>
        </w:rPr>
        <w:t xml:space="preserve"> </w:t>
      </w:r>
      <w:r>
        <w:t>Feehely</w:t>
      </w:r>
      <w:r>
        <w:rPr>
          <w:spacing w:val="-14"/>
        </w:rPr>
        <w:t xml:space="preserve"> </w:t>
      </w:r>
      <w:r>
        <w:t>appointed</w:t>
      </w:r>
      <w:r>
        <w:rPr>
          <w:spacing w:val="-14"/>
        </w:rPr>
        <w:t xml:space="preserve"> </w:t>
      </w:r>
      <w:r>
        <w:t>to</w:t>
      </w:r>
      <w:r>
        <w:rPr>
          <w:spacing w:val="-14"/>
        </w:rPr>
        <w:t xml:space="preserve"> </w:t>
      </w:r>
      <w:r>
        <w:t>continue work</w:t>
      </w:r>
      <w:r>
        <w:rPr>
          <w:spacing w:val="-5"/>
        </w:rPr>
        <w:t xml:space="preserve"> </w:t>
      </w:r>
      <w:r>
        <w:t>on</w:t>
      </w:r>
      <w:r>
        <w:rPr>
          <w:spacing w:val="-7"/>
        </w:rPr>
        <w:t xml:space="preserve"> </w:t>
      </w:r>
      <w:r>
        <w:t>drafting</w:t>
      </w:r>
      <w:r>
        <w:rPr>
          <w:spacing w:val="-7"/>
        </w:rPr>
        <w:t xml:space="preserve"> </w:t>
      </w:r>
      <w:r>
        <w:t>the</w:t>
      </w:r>
      <w:r>
        <w:rPr>
          <w:spacing w:val="-4"/>
        </w:rPr>
        <w:t xml:space="preserve"> </w:t>
      </w:r>
      <w:r>
        <w:t>paper</w:t>
      </w:r>
      <w:r>
        <w:rPr>
          <w:spacing w:val="-6"/>
        </w:rPr>
        <w:t xml:space="preserve"> </w:t>
      </w:r>
      <w:r>
        <w:t>in</w:t>
      </w:r>
      <w:r>
        <w:rPr>
          <w:spacing w:val="-5"/>
        </w:rPr>
        <w:t xml:space="preserve"> </w:t>
      </w:r>
      <w:r>
        <w:t>August</w:t>
      </w:r>
      <w:r>
        <w:rPr>
          <w:spacing w:val="-4"/>
        </w:rPr>
        <w:t xml:space="preserve"> </w:t>
      </w:r>
      <w:r>
        <w:t>2021.</w:t>
      </w:r>
      <w:r>
        <w:rPr>
          <w:spacing w:val="-2"/>
        </w:rPr>
        <w:t xml:space="preserve"> </w:t>
      </w:r>
      <w:r>
        <w:t>She</w:t>
      </w:r>
      <w:r>
        <w:rPr>
          <w:spacing w:val="-4"/>
        </w:rPr>
        <w:t xml:space="preserve"> </w:t>
      </w:r>
      <w:r>
        <w:t>subsequently</w:t>
      </w:r>
      <w:r>
        <w:rPr>
          <w:spacing w:val="-5"/>
        </w:rPr>
        <w:t xml:space="preserve"> </w:t>
      </w:r>
      <w:r>
        <w:t>was</w:t>
      </w:r>
      <w:r>
        <w:rPr>
          <w:spacing w:val="-4"/>
        </w:rPr>
        <w:t xml:space="preserve"> </w:t>
      </w:r>
      <w:r>
        <w:t>employed</w:t>
      </w:r>
      <w:r>
        <w:rPr>
          <w:spacing w:val="-7"/>
        </w:rPr>
        <w:t xml:space="preserve"> </w:t>
      </w:r>
      <w:r>
        <w:t>by</w:t>
      </w:r>
      <w:r>
        <w:rPr>
          <w:spacing w:val="-7"/>
        </w:rPr>
        <w:t xml:space="preserve"> </w:t>
      </w:r>
      <w:r>
        <w:t>an</w:t>
      </w:r>
      <w:r>
        <w:rPr>
          <w:spacing w:val="-7"/>
        </w:rPr>
        <w:t xml:space="preserve"> </w:t>
      </w:r>
      <w:r>
        <w:t>Australian</w:t>
      </w:r>
      <w:r>
        <w:rPr>
          <w:spacing w:val="-4"/>
        </w:rPr>
        <w:t xml:space="preserve"> </w:t>
      </w:r>
      <w:r>
        <w:t>Senator and worked on this paper in a personal capacity. Dr</w:t>
      </w:r>
      <w:r>
        <w:rPr>
          <w:spacing w:val="-2"/>
        </w:rPr>
        <w:t xml:space="preserve"> </w:t>
      </w:r>
      <w:r>
        <w:t>Rebecca Bradfield has held the role of TLRI Principal Research Fellow since March 2023.</w:t>
      </w:r>
    </w:p>
    <w:p w14:paraId="7CB25AF1" w14:textId="77777777" w:rsidR="008A4099" w:rsidRDefault="006A6EE2">
      <w:pPr>
        <w:pStyle w:val="BodyText"/>
        <w:spacing w:before="121"/>
        <w:ind w:left="160" w:right="797"/>
        <w:jc w:val="both"/>
      </w:pPr>
      <w:r>
        <w:t>The</w:t>
      </w:r>
      <w:r>
        <w:rPr>
          <w:spacing w:val="-1"/>
        </w:rPr>
        <w:t xml:space="preserve"> </w:t>
      </w:r>
      <w:r>
        <w:t>Research</w:t>
      </w:r>
      <w:r>
        <w:rPr>
          <w:spacing w:val="-1"/>
        </w:rPr>
        <w:t xml:space="preserve"> </w:t>
      </w:r>
      <w:r>
        <w:t>Paper</w:t>
      </w:r>
      <w:r>
        <w:rPr>
          <w:spacing w:val="-2"/>
        </w:rPr>
        <w:t xml:space="preserve"> </w:t>
      </w:r>
      <w:r>
        <w:t>was</w:t>
      </w:r>
      <w:r>
        <w:rPr>
          <w:spacing w:val="-3"/>
        </w:rPr>
        <w:t xml:space="preserve"> </w:t>
      </w:r>
      <w:r>
        <w:t>prepared</w:t>
      </w:r>
      <w:r>
        <w:rPr>
          <w:spacing w:val="-1"/>
        </w:rPr>
        <w:t xml:space="preserve"> </w:t>
      </w:r>
      <w:r>
        <w:t>under</w:t>
      </w:r>
      <w:r>
        <w:rPr>
          <w:spacing w:val="-2"/>
        </w:rPr>
        <w:t xml:space="preserve"> </w:t>
      </w:r>
      <w:r>
        <w:t>the</w:t>
      </w:r>
      <w:r>
        <w:rPr>
          <w:spacing w:val="-1"/>
        </w:rPr>
        <w:t xml:space="preserve"> </w:t>
      </w:r>
      <w:r>
        <w:t>oversight</w:t>
      </w:r>
      <w:r>
        <w:rPr>
          <w:spacing w:val="-2"/>
        </w:rPr>
        <w:t xml:space="preserve"> </w:t>
      </w:r>
      <w:r>
        <w:t>of the</w:t>
      </w:r>
      <w:r>
        <w:rPr>
          <w:spacing w:val="-1"/>
        </w:rPr>
        <w:t xml:space="preserve"> </w:t>
      </w:r>
      <w:r>
        <w:t>Expert Advisory</w:t>
      </w:r>
      <w:r>
        <w:rPr>
          <w:spacing w:val="-1"/>
        </w:rPr>
        <w:t xml:space="preserve"> </w:t>
      </w:r>
      <w:r>
        <w:t>Panel and</w:t>
      </w:r>
      <w:r>
        <w:rPr>
          <w:spacing w:val="-3"/>
        </w:rPr>
        <w:t xml:space="preserve"> </w:t>
      </w:r>
      <w:r>
        <w:t>the</w:t>
      </w:r>
      <w:r>
        <w:rPr>
          <w:spacing w:val="-1"/>
        </w:rPr>
        <w:t xml:space="preserve"> </w:t>
      </w:r>
      <w:r>
        <w:t>Board</w:t>
      </w:r>
      <w:r>
        <w:rPr>
          <w:spacing w:val="-4"/>
        </w:rPr>
        <w:t xml:space="preserve"> </w:t>
      </w:r>
      <w:r>
        <w:t>of the Tasmania Law Reform Institute.</w:t>
      </w:r>
    </w:p>
    <w:p w14:paraId="7CB25AF2" w14:textId="2AD2C061" w:rsidR="008A4099" w:rsidRDefault="006A6EE2">
      <w:pPr>
        <w:pStyle w:val="BodyText"/>
        <w:spacing w:before="120"/>
        <w:ind w:left="160" w:right="789"/>
        <w:jc w:val="both"/>
      </w:pPr>
      <w:r>
        <w:t>Assistance</w:t>
      </w:r>
      <w:r>
        <w:rPr>
          <w:spacing w:val="-14"/>
        </w:rPr>
        <w:t xml:space="preserve"> </w:t>
      </w:r>
      <w:r>
        <w:t>and</w:t>
      </w:r>
      <w:r>
        <w:rPr>
          <w:spacing w:val="-14"/>
        </w:rPr>
        <w:t xml:space="preserve"> </w:t>
      </w:r>
      <w:r>
        <w:t>oversight</w:t>
      </w:r>
      <w:r>
        <w:rPr>
          <w:spacing w:val="-14"/>
        </w:rPr>
        <w:t xml:space="preserve"> </w:t>
      </w:r>
      <w:r>
        <w:t>of</w:t>
      </w:r>
      <w:r>
        <w:rPr>
          <w:spacing w:val="-13"/>
        </w:rPr>
        <w:t xml:space="preserve"> </w:t>
      </w:r>
      <w:r>
        <w:t>the</w:t>
      </w:r>
      <w:r>
        <w:rPr>
          <w:spacing w:val="-14"/>
        </w:rPr>
        <w:t xml:space="preserve"> </w:t>
      </w:r>
      <w:r>
        <w:t>preparation</w:t>
      </w:r>
      <w:r>
        <w:rPr>
          <w:spacing w:val="-14"/>
        </w:rPr>
        <w:t xml:space="preserve"> </w:t>
      </w:r>
      <w:r>
        <w:t>of</w:t>
      </w:r>
      <w:r>
        <w:rPr>
          <w:spacing w:val="-14"/>
        </w:rPr>
        <w:t xml:space="preserve"> </w:t>
      </w:r>
      <w:r>
        <w:t>the</w:t>
      </w:r>
      <w:r>
        <w:rPr>
          <w:spacing w:val="-12"/>
        </w:rPr>
        <w:t xml:space="preserve"> </w:t>
      </w:r>
      <w:r>
        <w:t>Research</w:t>
      </w:r>
      <w:r>
        <w:rPr>
          <w:spacing w:val="-9"/>
        </w:rPr>
        <w:t xml:space="preserve"> </w:t>
      </w:r>
      <w:r>
        <w:t>Paper</w:t>
      </w:r>
      <w:r>
        <w:rPr>
          <w:spacing w:val="-12"/>
        </w:rPr>
        <w:t xml:space="preserve"> </w:t>
      </w:r>
      <w:r>
        <w:t>was</w:t>
      </w:r>
      <w:r>
        <w:rPr>
          <w:spacing w:val="-12"/>
        </w:rPr>
        <w:t xml:space="preserve"> </w:t>
      </w:r>
      <w:r>
        <w:t>provided</w:t>
      </w:r>
      <w:r>
        <w:rPr>
          <w:spacing w:val="-14"/>
        </w:rPr>
        <w:t xml:space="preserve"> </w:t>
      </w:r>
      <w:r>
        <w:t>by</w:t>
      </w:r>
      <w:r>
        <w:rPr>
          <w:spacing w:val="-14"/>
        </w:rPr>
        <w:t xml:space="preserve"> </w:t>
      </w:r>
      <w:r>
        <w:t>an</w:t>
      </w:r>
      <w:r>
        <w:rPr>
          <w:spacing w:val="-12"/>
        </w:rPr>
        <w:t xml:space="preserve"> </w:t>
      </w:r>
      <w:r>
        <w:t>Expert</w:t>
      </w:r>
      <w:r>
        <w:rPr>
          <w:spacing w:val="-14"/>
        </w:rPr>
        <w:t xml:space="preserve"> </w:t>
      </w:r>
      <w:r>
        <w:t>Advisory Group. The Advisory Group finished its work</w:t>
      </w:r>
      <w:r>
        <w:rPr>
          <w:spacing w:val="-1"/>
        </w:rPr>
        <w:t xml:space="preserve"> </w:t>
      </w:r>
      <w:r>
        <w:t>in January 2023. The</w:t>
      </w:r>
      <w:r>
        <w:rPr>
          <w:spacing w:val="-1"/>
        </w:rPr>
        <w:t xml:space="preserve"> </w:t>
      </w:r>
      <w:r>
        <w:t>members of the Advisory Group were: Sarah Bolt, Pia Struwe (from Nov 2021) and Melanie van Egdom (</w:t>
      </w:r>
      <w:r w:rsidR="001013B4">
        <w:t>Equal</w:t>
      </w:r>
      <w:r w:rsidR="00685580">
        <w:t xml:space="preserve"> Opportunity</w:t>
      </w:r>
      <w:r>
        <w:t xml:space="preserve"> Tasmania); Dr Rebecca Bradfield (formerly UTAS) (to Nov 2021); Vincenzo Caltabiano (to Oct 2022) and Sarah Campbell (from Jan 2023) (Legal Aid Tasmania); Anja Hilkemeijer (UTAS); and Adjunct Associate Professor Terese Henning (UTAS) (to Jul 2022).</w:t>
      </w:r>
    </w:p>
    <w:p w14:paraId="7CB25AF3" w14:textId="77777777" w:rsidR="008A4099" w:rsidRDefault="006A6EE2">
      <w:pPr>
        <w:pStyle w:val="BodyText"/>
        <w:spacing w:before="119" w:line="244" w:lineRule="auto"/>
        <w:ind w:left="160" w:right="790"/>
        <w:jc w:val="both"/>
      </w:pPr>
      <w:r>
        <w:t xml:space="preserve">Thank you also to Professor Jeremy Gans, Associate Professor Rebecca Ananian-Welsh and David </w:t>
      </w:r>
      <w:r>
        <w:rPr>
          <w:spacing w:val="-2"/>
        </w:rPr>
        <w:t>Ananian-Cooper.</w:t>
      </w:r>
    </w:p>
    <w:p w14:paraId="7CB25AF4" w14:textId="77777777" w:rsidR="008A4099" w:rsidRDefault="006A6EE2">
      <w:pPr>
        <w:pStyle w:val="BodyText"/>
        <w:spacing w:before="113"/>
        <w:ind w:left="160"/>
        <w:jc w:val="both"/>
      </w:pPr>
      <w:r>
        <w:t>The</w:t>
      </w:r>
      <w:r>
        <w:rPr>
          <w:spacing w:val="-5"/>
        </w:rPr>
        <w:t xml:space="preserve"> </w:t>
      </w:r>
      <w:r>
        <w:t>paper</w:t>
      </w:r>
      <w:r>
        <w:rPr>
          <w:spacing w:val="-1"/>
        </w:rPr>
        <w:t xml:space="preserve"> </w:t>
      </w:r>
      <w:r>
        <w:t>was</w:t>
      </w:r>
      <w:r>
        <w:rPr>
          <w:spacing w:val="-5"/>
        </w:rPr>
        <w:t xml:space="preserve"> </w:t>
      </w:r>
      <w:r>
        <w:t>edited</w:t>
      </w:r>
      <w:r>
        <w:rPr>
          <w:spacing w:val="-2"/>
        </w:rPr>
        <w:t xml:space="preserve"> </w:t>
      </w:r>
      <w:r>
        <w:t>and</w:t>
      </w:r>
      <w:r>
        <w:rPr>
          <w:spacing w:val="-4"/>
        </w:rPr>
        <w:t xml:space="preserve"> </w:t>
      </w:r>
      <w:r>
        <w:t>prepared</w:t>
      </w:r>
      <w:r>
        <w:rPr>
          <w:spacing w:val="-5"/>
        </w:rPr>
        <w:t xml:space="preserve"> </w:t>
      </w:r>
      <w:r>
        <w:t>for</w:t>
      </w:r>
      <w:r>
        <w:rPr>
          <w:spacing w:val="-4"/>
        </w:rPr>
        <w:t xml:space="preserve"> </w:t>
      </w:r>
      <w:r>
        <w:t>publication</w:t>
      </w:r>
      <w:r>
        <w:rPr>
          <w:spacing w:val="-3"/>
        </w:rPr>
        <w:t xml:space="preserve"> </w:t>
      </w:r>
      <w:r>
        <w:t>by</w:t>
      </w:r>
      <w:r>
        <w:rPr>
          <w:spacing w:val="-7"/>
        </w:rPr>
        <w:t xml:space="preserve"> </w:t>
      </w:r>
      <w:r>
        <w:t>Dr</w:t>
      </w:r>
      <w:r>
        <w:rPr>
          <w:spacing w:val="-2"/>
        </w:rPr>
        <w:t xml:space="preserve"> </w:t>
      </w:r>
      <w:r>
        <w:t>Jacqueline</w:t>
      </w:r>
      <w:r>
        <w:rPr>
          <w:spacing w:val="-4"/>
        </w:rPr>
        <w:t xml:space="preserve"> Fox.</w:t>
      </w:r>
    </w:p>
    <w:p w14:paraId="7CB25AF5" w14:textId="77777777" w:rsidR="008A4099" w:rsidRDefault="006A6EE2">
      <w:pPr>
        <w:pStyle w:val="BodyText"/>
        <w:spacing w:before="119" w:line="355" w:lineRule="auto"/>
        <w:ind w:left="160" w:right="1433"/>
        <w:jc w:val="both"/>
      </w:pPr>
      <w:r>
        <w:t>Ongoing</w:t>
      </w:r>
      <w:r>
        <w:rPr>
          <w:spacing w:val="-6"/>
        </w:rPr>
        <w:t xml:space="preserve"> </w:t>
      </w:r>
      <w:r>
        <w:t>administration</w:t>
      </w:r>
      <w:r>
        <w:rPr>
          <w:spacing w:val="-3"/>
        </w:rPr>
        <w:t xml:space="preserve"> </w:t>
      </w:r>
      <w:r>
        <w:t>and</w:t>
      </w:r>
      <w:r>
        <w:rPr>
          <w:spacing w:val="-3"/>
        </w:rPr>
        <w:t xml:space="preserve"> </w:t>
      </w:r>
      <w:r>
        <w:t>management</w:t>
      </w:r>
      <w:r>
        <w:rPr>
          <w:spacing w:val="-2"/>
        </w:rPr>
        <w:t xml:space="preserve"> </w:t>
      </w:r>
      <w:r>
        <w:t>of</w:t>
      </w:r>
      <w:r>
        <w:rPr>
          <w:spacing w:val="-3"/>
        </w:rPr>
        <w:t xml:space="preserve"> </w:t>
      </w:r>
      <w:r>
        <w:t>the</w:t>
      </w:r>
      <w:r>
        <w:rPr>
          <w:spacing w:val="-3"/>
        </w:rPr>
        <w:t xml:space="preserve"> </w:t>
      </w:r>
      <w:r>
        <w:t>Inquiry</w:t>
      </w:r>
      <w:r>
        <w:rPr>
          <w:spacing w:val="-3"/>
        </w:rPr>
        <w:t xml:space="preserve"> </w:t>
      </w:r>
      <w:r>
        <w:t>has</w:t>
      </w:r>
      <w:r>
        <w:rPr>
          <w:spacing w:val="-3"/>
        </w:rPr>
        <w:t xml:space="preserve"> </w:t>
      </w:r>
      <w:r>
        <w:t>been</w:t>
      </w:r>
      <w:r>
        <w:rPr>
          <w:spacing w:val="-3"/>
        </w:rPr>
        <w:t xml:space="preserve"> </w:t>
      </w:r>
      <w:r>
        <w:t>provided</w:t>
      </w:r>
      <w:r>
        <w:rPr>
          <w:spacing w:val="-5"/>
        </w:rPr>
        <w:t xml:space="preserve"> </w:t>
      </w:r>
      <w:r>
        <w:t>by</w:t>
      </w:r>
      <w:r>
        <w:rPr>
          <w:spacing w:val="-3"/>
        </w:rPr>
        <w:t xml:space="preserve"> </w:t>
      </w:r>
      <w:r>
        <w:t>Ms</w:t>
      </w:r>
      <w:r>
        <w:rPr>
          <w:spacing w:val="-5"/>
        </w:rPr>
        <w:t xml:space="preserve"> </w:t>
      </w:r>
      <w:r>
        <w:t>Kira</w:t>
      </w:r>
      <w:r>
        <w:rPr>
          <w:spacing w:val="-5"/>
        </w:rPr>
        <w:t xml:space="preserve"> </w:t>
      </w:r>
      <w:r>
        <w:t>White. The project was funded by a grant from the Law Foundation of Tasmania.</w:t>
      </w:r>
    </w:p>
    <w:p w14:paraId="7CB25AF6" w14:textId="77777777" w:rsidR="008A4099" w:rsidRDefault="006A6EE2">
      <w:pPr>
        <w:pStyle w:val="BodyText"/>
        <w:spacing w:line="251" w:lineRule="exact"/>
        <w:ind w:left="160"/>
        <w:jc w:val="both"/>
      </w:pPr>
      <w:r>
        <w:t>The</w:t>
      </w:r>
      <w:r>
        <w:rPr>
          <w:spacing w:val="-5"/>
        </w:rPr>
        <w:t xml:space="preserve"> </w:t>
      </w:r>
      <w:r>
        <w:t>community</w:t>
      </w:r>
      <w:r>
        <w:rPr>
          <w:spacing w:val="-3"/>
        </w:rPr>
        <w:t xml:space="preserve"> </w:t>
      </w:r>
      <w:r>
        <w:t>groups</w:t>
      </w:r>
      <w:r>
        <w:rPr>
          <w:spacing w:val="-5"/>
        </w:rPr>
        <w:t xml:space="preserve"> </w:t>
      </w:r>
      <w:r>
        <w:t>that</w:t>
      </w:r>
      <w:r>
        <w:rPr>
          <w:spacing w:val="-4"/>
        </w:rPr>
        <w:t xml:space="preserve"> </w:t>
      </w:r>
      <w:r>
        <w:t>referred</w:t>
      </w:r>
      <w:r>
        <w:rPr>
          <w:spacing w:val="-5"/>
        </w:rPr>
        <w:t xml:space="preserve"> </w:t>
      </w:r>
      <w:r>
        <w:t>this</w:t>
      </w:r>
      <w:r>
        <w:rPr>
          <w:spacing w:val="-3"/>
        </w:rPr>
        <w:t xml:space="preserve"> </w:t>
      </w:r>
      <w:r>
        <w:t>project</w:t>
      </w:r>
      <w:r>
        <w:rPr>
          <w:spacing w:val="-5"/>
        </w:rPr>
        <w:t xml:space="preserve"> </w:t>
      </w:r>
      <w:r>
        <w:t>to</w:t>
      </w:r>
      <w:r>
        <w:rPr>
          <w:spacing w:val="-6"/>
        </w:rPr>
        <w:t xml:space="preserve"> </w:t>
      </w:r>
      <w:r>
        <w:t>the</w:t>
      </w:r>
      <w:r>
        <w:rPr>
          <w:spacing w:val="-5"/>
        </w:rPr>
        <w:t xml:space="preserve"> </w:t>
      </w:r>
      <w:r>
        <w:t>Tasmania</w:t>
      </w:r>
      <w:r>
        <w:rPr>
          <w:spacing w:val="-3"/>
        </w:rPr>
        <w:t xml:space="preserve"> </w:t>
      </w:r>
      <w:r>
        <w:t>Law</w:t>
      </w:r>
      <w:r>
        <w:rPr>
          <w:spacing w:val="-3"/>
        </w:rPr>
        <w:t xml:space="preserve"> </w:t>
      </w:r>
      <w:r>
        <w:t>Reform</w:t>
      </w:r>
      <w:r>
        <w:rPr>
          <w:spacing w:val="-3"/>
        </w:rPr>
        <w:t xml:space="preserve"> </w:t>
      </w:r>
      <w:r>
        <w:t>Institute</w:t>
      </w:r>
      <w:r>
        <w:rPr>
          <w:spacing w:val="-2"/>
        </w:rPr>
        <w:t xml:space="preserve"> were:</w:t>
      </w:r>
    </w:p>
    <w:p w14:paraId="7CB25AF7" w14:textId="77777777" w:rsidR="008A4099" w:rsidRDefault="006A6EE2">
      <w:pPr>
        <w:pStyle w:val="ListParagraph"/>
        <w:numPr>
          <w:ilvl w:val="0"/>
          <w:numId w:val="13"/>
        </w:numPr>
        <w:tabs>
          <w:tab w:val="left" w:pos="1227"/>
        </w:tabs>
        <w:spacing w:before="120"/>
        <w:ind w:left="1227" w:hanging="359"/>
      </w:pPr>
      <w:r>
        <w:t>Australian</w:t>
      </w:r>
      <w:r>
        <w:rPr>
          <w:spacing w:val="-5"/>
        </w:rPr>
        <w:t xml:space="preserve"> </w:t>
      </w:r>
      <w:r>
        <w:t>Lawyers</w:t>
      </w:r>
      <w:r>
        <w:rPr>
          <w:spacing w:val="-5"/>
        </w:rPr>
        <w:t xml:space="preserve"> </w:t>
      </w:r>
      <w:r>
        <w:rPr>
          <w:spacing w:val="-2"/>
        </w:rPr>
        <w:t>Alliance</w:t>
      </w:r>
    </w:p>
    <w:p w14:paraId="7CB25AF8" w14:textId="77777777" w:rsidR="008A4099" w:rsidRDefault="006A6EE2">
      <w:pPr>
        <w:pStyle w:val="ListParagraph"/>
        <w:numPr>
          <w:ilvl w:val="0"/>
          <w:numId w:val="13"/>
        </w:numPr>
        <w:tabs>
          <w:tab w:val="left" w:pos="1227"/>
        </w:tabs>
        <w:spacing w:before="155"/>
        <w:ind w:left="1227" w:hanging="359"/>
      </w:pPr>
      <w:r>
        <w:t>Civil</w:t>
      </w:r>
      <w:r>
        <w:rPr>
          <w:spacing w:val="-4"/>
        </w:rPr>
        <w:t xml:space="preserve"> </w:t>
      </w:r>
      <w:r>
        <w:t>Liberties</w:t>
      </w:r>
      <w:r>
        <w:rPr>
          <w:spacing w:val="-4"/>
        </w:rPr>
        <w:t xml:space="preserve"> </w:t>
      </w:r>
      <w:r>
        <w:rPr>
          <w:spacing w:val="-2"/>
        </w:rPr>
        <w:t>Australia</w:t>
      </w:r>
    </w:p>
    <w:p w14:paraId="7CB25AF9" w14:textId="77777777" w:rsidR="008A4099" w:rsidRDefault="006A6EE2">
      <w:pPr>
        <w:pStyle w:val="ListParagraph"/>
        <w:numPr>
          <w:ilvl w:val="0"/>
          <w:numId w:val="13"/>
        </w:numPr>
        <w:tabs>
          <w:tab w:val="left" w:pos="1228"/>
        </w:tabs>
        <w:spacing w:before="158"/>
        <w:jc w:val="left"/>
      </w:pPr>
      <w:r>
        <w:t>Community</w:t>
      </w:r>
      <w:r>
        <w:rPr>
          <w:spacing w:val="-7"/>
        </w:rPr>
        <w:t xml:space="preserve"> </w:t>
      </w:r>
      <w:r>
        <w:t>and</w:t>
      </w:r>
      <w:r>
        <w:rPr>
          <w:spacing w:val="-4"/>
        </w:rPr>
        <w:t xml:space="preserve"> </w:t>
      </w:r>
      <w:r>
        <w:t>Public</w:t>
      </w:r>
      <w:r>
        <w:rPr>
          <w:spacing w:val="-5"/>
        </w:rPr>
        <w:t xml:space="preserve"> </w:t>
      </w:r>
      <w:r>
        <w:t>Sector</w:t>
      </w:r>
      <w:r>
        <w:rPr>
          <w:spacing w:val="-5"/>
        </w:rPr>
        <w:t xml:space="preserve"> </w:t>
      </w:r>
      <w:r>
        <w:t>Union</w:t>
      </w:r>
      <w:r>
        <w:rPr>
          <w:spacing w:val="-6"/>
        </w:rPr>
        <w:t xml:space="preserve"> </w:t>
      </w:r>
      <w:r>
        <w:t>(State</w:t>
      </w:r>
      <w:r>
        <w:rPr>
          <w:spacing w:val="-4"/>
        </w:rPr>
        <w:t xml:space="preserve"> </w:t>
      </w:r>
      <w:r>
        <w:t>Public</w:t>
      </w:r>
      <w:r>
        <w:rPr>
          <w:spacing w:val="-4"/>
        </w:rPr>
        <w:t xml:space="preserve"> </w:t>
      </w:r>
      <w:r>
        <w:t>Services</w:t>
      </w:r>
      <w:r>
        <w:rPr>
          <w:spacing w:val="-4"/>
        </w:rPr>
        <w:t xml:space="preserve"> </w:t>
      </w:r>
      <w:r>
        <w:t>Federation</w:t>
      </w:r>
      <w:r>
        <w:rPr>
          <w:spacing w:val="-4"/>
        </w:rPr>
        <w:t xml:space="preserve"> </w:t>
      </w:r>
      <w:r>
        <w:rPr>
          <w:spacing w:val="-2"/>
        </w:rPr>
        <w:t>Tasmania)</w:t>
      </w:r>
    </w:p>
    <w:p w14:paraId="7CB25AFA" w14:textId="77777777" w:rsidR="008A4099" w:rsidRDefault="006A6EE2">
      <w:pPr>
        <w:pStyle w:val="ListParagraph"/>
        <w:numPr>
          <w:ilvl w:val="0"/>
          <w:numId w:val="13"/>
        </w:numPr>
        <w:tabs>
          <w:tab w:val="left" w:pos="1228"/>
        </w:tabs>
        <w:spacing w:before="158"/>
        <w:jc w:val="left"/>
      </w:pPr>
      <w:r>
        <w:t>Community</w:t>
      </w:r>
      <w:r>
        <w:rPr>
          <w:spacing w:val="-5"/>
        </w:rPr>
        <w:t xml:space="preserve"> </w:t>
      </w:r>
      <w:r>
        <w:t>Legal</w:t>
      </w:r>
      <w:r>
        <w:rPr>
          <w:spacing w:val="-4"/>
        </w:rPr>
        <w:t xml:space="preserve"> </w:t>
      </w:r>
      <w:r>
        <w:t>Centres</w:t>
      </w:r>
      <w:r>
        <w:rPr>
          <w:spacing w:val="-6"/>
        </w:rPr>
        <w:t xml:space="preserve"> </w:t>
      </w:r>
      <w:r>
        <w:rPr>
          <w:spacing w:val="-2"/>
        </w:rPr>
        <w:t>Tasmania</w:t>
      </w:r>
    </w:p>
    <w:p w14:paraId="7CB25AFB" w14:textId="77777777" w:rsidR="008A4099" w:rsidRDefault="006A6EE2">
      <w:pPr>
        <w:pStyle w:val="ListParagraph"/>
        <w:numPr>
          <w:ilvl w:val="0"/>
          <w:numId w:val="13"/>
        </w:numPr>
        <w:tabs>
          <w:tab w:val="left" w:pos="1228"/>
        </w:tabs>
        <w:spacing w:before="157"/>
        <w:jc w:val="left"/>
      </w:pPr>
      <w:r>
        <w:t>Equality</w:t>
      </w:r>
      <w:r>
        <w:rPr>
          <w:spacing w:val="-7"/>
        </w:rPr>
        <w:t xml:space="preserve"> </w:t>
      </w:r>
      <w:r>
        <w:t>Tasmania</w:t>
      </w:r>
      <w:r>
        <w:rPr>
          <w:spacing w:val="-5"/>
        </w:rPr>
        <w:t xml:space="preserve"> </w:t>
      </w:r>
      <w:r>
        <w:t>(formerly</w:t>
      </w:r>
      <w:r>
        <w:rPr>
          <w:spacing w:val="-4"/>
        </w:rPr>
        <w:t xml:space="preserve"> </w:t>
      </w:r>
      <w:r>
        <w:t>Tasmanian</w:t>
      </w:r>
      <w:r>
        <w:rPr>
          <w:spacing w:val="-5"/>
        </w:rPr>
        <w:t xml:space="preserve"> </w:t>
      </w:r>
      <w:r>
        <w:t>Gay</w:t>
      </w:r>
      <w:r>
        <w:rPr>
          <w:spacing w:val="-6"/>
        </w:rPr>
        <w:t xml:space="preserve"> </w:t>
      </w:r>
      <w:r>
        <w:t>and</w:t>
      </w:r>
      <w:r>
        <w:rPr>
          <w:spacing w:val="-4"/>
        </w:rPr>
        <w:t xml:space="preserve"> </w:t>
      </w:r>
      <w:r>
        <w:t>Lesbian</w:t>
      </w:r>
      <w:r>
        <w:rPr>
          <w:spacing w:val="-4"/>
        </w:rPr>
        <w:t xml:space="preserve"> </w:t>
      </w:r>
      <w:r>
        <w:t>Rights</w:t>
      </w:r>
      <w:r>
        <w:rPr>
          <w:spacing w:val="-4"/>
        </w:rPr>
        <w:t xml:space="preserve"> </w:t>
      </w:r>
      <w:r>
        <w:rPr>
          <w:spacing w:val="-2"/>
        </w:rPr>
        <w:t>Group)</w:t>
      </w:r>
    </w:p>
    <w:p w14:paraId="7CB25AFC" w14:textId="77777777" w:rsidR="008A4099" w:rsidRDefault="006A6EE2">
      <w:pPr>
        <w:pStyle w:val="ListParagraph"/>
        <w:numPr>
          <w:ilvl w:val="0"/>
          <w:numId w:val="13"/>
        </w:numPr>
        <w:tabs>
          <w:tab w:val="left" w:pos="1228"/>
        </w:tabs>
        <w:spacing w:before="158"/>
        <w:jc w:val="left"/>
      </w:pPr>
      <w:r>
        <w:t>Tasmanian</w:t>
      </w:r>
      <w:r>
        <w:rPr>
          <w:spacing w:val="-4"/>
        </w:rPr>
        <w:t xml:space="preserve"> </w:t>
      </w:r>
      <w:r>
        <w:t>Council</w:t>
      </w:r>
      <w:r>
        <w:rPr>
          <w:spacing w:val="-2"/>
        </w:rPr>
        <w:t xml:space="preserve"> </w:t>
      </w:r>
      <w:r>
        <w:t>of</w:t>
      </w:r>
      <w:r>
        <w:rPr>
          <w:spacing w:val="-4"/>
        </w:rPr>
        <w:t xml:space="preserve"> </w:t>
      </w:r>
      <w:r>
        <w:t>Social</w:t>
      </w:r>
      <w:r>
        <w:rPr>
          <w:spacing w:val="-2"/>
        </w:rPr>
        <w:t xml:space="preserve"> Service</w:t>
      </w:r>
    </w:p>
    <w:p w14:paraId="7CB25AFD" w14:textId="77777777" w:rsidR="008A4099" w:rsidRDefault="006A6EE2">
      <w:pPr>
        <w:pStyle w:val="ListParagraph"/>
        <w:numPr>
          <w:ilvl w:val="0"/>
          <w:numId w:val="13"/>
        </w:numPr>
        <w:tabs>
          <w:tab w:val="left" w:pos="1228"/>
        </w:tabs>
        <w:spacing w:before="156"/>
        <w:jc w:val="left"/>
      </w:pPr>
      <w:r>
        <w:t>Tasmanian</w:t>
      </w:r>
      <w:r>
        <w:rPr>
          <w:spacing w:val="-4"/>
        </w:rPr>
        <w:t xml:space="preserve"> </w:t>
      </w:r>
      <w:r>
        <w:t>Human</w:t>
      </w:r>
      <w:r>
        <w:rPr>
          <w:spacing w:val="-4"/>
        </w:rPr>
        <w:t xml:space="preserve"> </w:t>
      </w:r>
      <w:r>
        <w:t>Rights</w:t>
      </w:r>
      <w:r>
        <w:rPr>
          <w:spacing w:val="-5"/>
        </w:rPr>
        <w:t xml:space="preserve"> </w:t>
      </w:r>
      <w:r>
        <w:t>Act</w:t>
      </w:r>
      <w:r>
        <w:rPr>
          <w:spacing w:val="-2"/>
        </w:rPr>
        <w:t xml:space="preserve"> Campaign</w:t>
      </w:r>
    </w:p>
    <w:p w14:paraId="7CB25AFE" w14:textId="77777777" w:rsidR="008A4099" w:rsidRDefault="006A6EE2">
      <w:pPr>
        <w:pStyle w:val="ListParagraph"/>
        <w:numPr>
          <w:ilvl w:val="0"/>
          <w:numId w:val="13"/>
        </w:numPr>
        <w:tabs>
          <w:tab w:val="left" w:pos="1228"/>
        </w:tabs>
        <w:spacing w:before="158"/>
        <w:jc w:val="left"/>
      </w:pPr>
      <w:r>
        <w:t>Tenants</w:t>
      </w:r>
      <w:r>
        <w:rPr>
          <w:spacing w:val="-2"/>
        </w:rPr>
        <w:t xml:space="preserve"> Union</w:t>
      </w:r>
    </w:p>
    <w:p w14:paraId="7CB25AFF" w14:textId="77777777" w:rsidR="008A4099" w:rsidRDefault="006A6EE2">
      <w:pPr>
        <w:pStyle w:val="ListParagraph"/>
        <w:numPr>
          <w:ilvl w:val="0"/>
          <w:numId w:val="13"/>
        </w:numPr>
        <w:tabs>
          <w:tab w:val="left" w:pos="1228"/>
        </w:tabs>
        <w:spacing w:before="157"/>
        <w:jc w:val="left"/>
      </w:pPr>
      <w:r>
        <w:t>Unions</w:t>
      </w:r>
      <w:r>
        <w:rPr>
          <w:spacing w:val="-2"/>
        </w:rPr>
        <w:t xml:space="preserve"> Tasmania</w:t>
      </w:r>
    </w:p>
    <w:p w14:paraId="7CB25B00" w14:textId="77777777" w:rsidR="008A4099" w:rsidRDefault="006A6EE2">
      <w:pPr>
        <w:pStyle w:val="BodyText"/>
        <w:spacing w:before="191"/>
        <w:ind w:left="160" w:right="792"/>
        <w:jc w:val="both"/>
      </w:pPr>
      <w:r>
        <w:t>This study has been approved by the University of Tasmania Human Research Ethics Committee. If you</w:t>
      </w:r>
      <w:r>
        <w:rPr>
          <w:spacing w:val="-5"/>
        </w:rPr>
        <w:t xml:space="preserve"> </w:t>
      </w:r>
      <w:r>
        <w:t>have</w:t>
      </w:r>
      <w:r>
        <w:rPr>
          <w:spacing w:val="-4"/>
        </w:rPr>
        <w:t xml:space="preserve"> </w:t>
      </w:r>
      <w:r>
        <w:t>concerns</w:t>
      </w:r>
      <w:r>
        <w:rPr>
          <w:spacing w:val="-7"/>
        </w:rPr>
        <w:t xml:space="preserve"> </w:t>
      </w:r>
      <w:r>
        <w:t>or</w:t>
      </w:r>
      <w:r>
        <w:rPr>
          <w:spacing w:val="-6"/>
        </w:rPr>
        <w:t xml:space="preserve"> </w:t>
      </w:r>
      <w:r>
        <w:t>complaints</w:t>
      </w:r>
      <w:r>
        <w:rPr>
          <w:spacing w:val="-7"/>
        </w:rPr>
        <w:t xml:space="preserve"> </w:t>
      </w:r>
      <w:r>
        <w:t>about</w:t>
      </w:r>
      <w:r>
        <w:rPr>
          <w:spacing w:val="-6"/>
        </w:rPr>
        <w:t xml:space="preserve"> </w:t>
      </w:r>
      <w:r>
        <w:t>the</w:t>
      </w:r>
      <w:r>
        <w:rPr>
          <w:spacing w:val="-7"/>
        </w:rPr>
        <w:t xml:space="preserve"> </w:t>
      </w:r>
      <w:r>
        <w:t>conduct</w:t>
      </w:r>
      <w:r>
        <w:rPr>
          <w:spacing w:val="-6"/>
        </w:rPr>
        <w:t xml:space="preserve"> </w:t>
      </w:r>
      <w:r>
        <w:t>of</w:t>
      </w:r>
      <w:r>
        <w:rPr>
          <w:spacing w:val="-6"/>
        </w:rPr>
        <w:t xml:space="preserve"> </w:t>
      </w:r>
      <w:r>
        <w:t>this</w:t>
      </w:r>
      <w:r>
        <w:rPr>
          <w:spacing w:val="-6"/>
        </w:rPr>
        <w:t xml:space="preserve"> </w:t>
      </w:r>
      <w:r>
        <w:t>study,</w:t>
      </w:r>
      <w:r>
        <w:rPr>
          <w:spacing w:val="-5"/>
        </w:rPr>
        <w:t xml:space="preserve"> </w:t>
      </w:r>
      <w:r>
        <w:t>please</w:t>
      </w:r>
      <w:r>
        <w:rPr>
          <w:spacing w:val="-6"/>
        </w:rPr>
        <w:t xml:space="preserve"> </w:t>
      </w:r>
      <w:r>
        <w:t>contact</w:t>
      </w:r>
      <w:r>
        <w:rPr>
          <w:spacing w:val="-4"/>
        </w:rPr>
        <w:t xml:space="preserve"> </w:t>
      </w:r>
      <w:r>
        <w:t>the</w:t>
      </w:r>
      <w:r>
        <w:rPr>
          <w:spacing w:val="-7"/>
        </w:rPr>
        <w:t xml:space="preserve"> </w:t>
      </w:r>
      <w:r>
        <w:t>Executive</w:t>
      </w:r>
      <w:r>
        <w:rPr>
          <w:spacing w:val="-4"/>
        </w:rPr>
        <w:t xml:space="preserve"> </w:t>
      </w:r>
      <w:r>
        <w:t xml:space="preserve">Officer of the HREC on +61 3 6226 6254 or email </w:t>
      </w:r>
      <w:hyperlink r:id="rId19">
        <w:r>
          <w:t>human.ethics@utas.edu.au.</w:t>
        </w:r>
      </w:hyperlink>
      <w:r>
        <w:t xml:space="preserve"> The Executive Officer is the person nominated to receive complaints from research participants. You will need to quote ethics reference number [H0016752].</w:t>
      </w:r>
    </w:p>
    <w:p w14:paraId="7CB25B01" w14:textId="77777777" w:rsidR="008A4099" w:rsidRDefault="008A4099">
      <w:pPr>
        <w:jc w:val="both"/>
        <w:sectPr w:rsidR="008A4099" w:rsidSect="00D43B2D">
          <w:headerReference w:type="even" r:id="rId20"/>
          <w:headerReference w:type="default" r:id="rId21"/>
          <w:footerReference w:type="even" r:id="rId22"/>
          <w:footerReference w:type="default" r:id="rId23"/>
          <w:pgSz w:w="11910" w:h="16840"/>
          <w:pgMar w:top="1800" w:right="760" w:bottom="940" w:left="1280" w:header="1454" w:footer="753" w:gutter="0"/>
          <w:pgNumType w:start="6"/>
          <w:cols w:space="720"/>
        </w:sectPr>
      </w:pPr>
    </w:p>
    <w:p w14:paraId="7CB25B02" w14:textId="77777777" w:rsidR="008A4099" w:rsidRDefault="008A4099">
      <w:pPr>
        <w:pStyle w:val="BodyText"/>
        <w:spacing w:before="61"/>
        <w:rPr>
          <w:sz w:val="20"/>
        </w:rPr>
      </w:pPr>
    </w:p>
    <w:tbl>
      <w:tblPr>
        <w:tblW w:w="0" w:type="auto"/>
        <w:tblInd w:w="117" w:type="dxa"/>
        <w:tblLayout w:type="fixed"/>
        <w:tblCellMar>
          <w:left w:w="0" w:type="dxa"/>
          <w:right w:w="0" w:type="dxa"/>
        </w:tblCellMar>
        <w:tblLook w:val="01E0" w:firstRow="1" w:lastRow="1" w:firstColumn="1" w:lastColumn="1" w:noHBand="0" w:noVBand="0"/>
      </w:tblPr>
      <w:tblGrid>
        <w:gridCol w:w="3085"/>
        <w:gridCol w:w="5986"/>
      </w:tblGrid>
      <w:tr w:rsidR="008A4099" w14:paraId="7CB25B05" w14:textId="77777777">
        <w:trPr>
          <w:trHeight w:val="338"/>
        </w:trPr>
        <w:tc>
          <w:tcPr>
            <w:tcW w:w="3085" w:type="dxa"/>
          </w:tcPr>
          <w:p w14:paraId="7CB25B03" w14:textId="77777777" w:rsidR="008A4099" w:rsidRDefault="006A6EE2">
            <w:pPr>
              <w:pStyle w:val="TableParagraph"/>
              <w:spacing w:line="244" w:lineRule="exact"/>
              <w:ind w:left="50"/>
            </w:pPr>
            <w:r>
              <w:t>ACT</w:t>
            </w:r>
            <w:r>
              <w:rPr>
                <w:spacing w:val="-5"/>
              </w:rPr>
              <w:t xml:space="preserve"> </w:t>
            </w:r>
            <w:r>
              <w:t>Covid</w:t>
            </w:r>
            <w:r>
              <w:rPr>
                <w:spacing w:val="-2"/>
              </w:rPr>
              <w:t xml:space="preserve"> </w:t>
            </w:r>
            <w:r>
              <w:rPr>
                <w:spacing w:val="-4"/>
              </w:rPr>
              <w:t>Bill</w:t>
            </w:r>
          </w:p>
        </w:tc>
        <w:tc>
          <w:tcPr>
            <w:tcW w:w="5986" w:type="dxa"/>
          </w:tcPr>
          <w:p w14:paraId="7CB25B04" w14:textId="77777777" w:rsidR="008A4099" w:rsidRDefault="006A6EE2">
            <w:pPr>
              <w:pStyle w:val="TableParagraph"/>
              <w:spacing w:line="244" w:lineRule="exact"/>
              <w:ind w:left="279"/>
            </w:pPr>
            <w:r>
              <w:rPr>
                <w:i/>
              </w:rPr>
              <w:t>COVID-19</w:t>
            </w:r>
            <w:r>
              <w:rPr>
                <w:i/>
                <w:spacing w:val="-4"/>
              </w:rPr>
              <w:t xml:space="preserve"> </w:t>
            </w:r>
            <w:r>
              <w:rPr>
                <w:i/>
              </w:rPr>
              <w:t>Emergency</w:t>
            </w:r>
            <w:r>
              <w:rPr>
                <w:i/>
                <w:spacing w:val="-6"/>
              </w:rPr>
              <w:t xml:space="preserve"> </w:t>
            </w:r>
            <w:r>
              <w:rPr>
                <w:i/>
              </w:rPr>
              <w:t>Response</w:t>
            </w:r>
            <w:r>
              <w:rPr>
                <w:i/>
                <w:spacing w:val="-4"/>
              </w:rPr>
              <w:t xml:space="preserve"> </w:t>
            </w:r>
            <w:r>
              <w:rPr>
                <w:i/>
              </w:rPr>
              <w:t>Bill</w:t>
            </w:r>
            <w:r>
              <w:rPr>
                <w:i/>
                <w:spacing w:val="-3"/>
              </w:rPr>
              <w:t xml:space="preserve"> </w:t>
            </w:r>
            <w:r>
              <w:rPr>
                <w:i/>
              </w:rPr>
              <w:t>2020</w:t>
            </w:r>
            <w:r>
              <w:rPr>
                <w:i/>
                <w:spacing w:val="-2"/>
              </w:rPr>
              <w:t xml:space="preserve"> </w:t>
            </w:r>
            <w:r>
              <w:rPr>
                <w:spacing w:val="-4"/>
              </w:rPr>
              <w:t>(ACT)</w:t>
            </w:r>
          </w:p>
        </w:tc>
      </w:tr>
      <w:tr w:rsidR="008A4099" w14:paraId="7CB25B08" w14:textId="77777777">
        <w:trPr>
          <w:trHeight w:val="433"/>
        </w:trPr>
        <w:tc>
          <w:tcPr>
            <w:tcW w:w="3085" w:type="dxa"/>
          </w:tcPr>
          <w:p w14:paraId="7CB25B06" w14:textId="77777777" w:rsidR="008A4099" w:rsidRDefault="006A6EE2">
            <w:pPr>
              <w:pStyle w:val="TableParagraph"/>
              <w:spacing w:before="85"/>
              <w:ind w:left="50"/>
            </w:pPr>
            <w:r>
              <w:t>ACT</w:t>
            </w:r>
            <w:r>
              <w:rPr>
                <w:spacing w:val="-3"/>
              </w:rPr>
              <w:t xml:space="preserve"> </w:t>
            </w:r>
            <w:r>
              <w:t>Human</w:t>
            </w:r>
            <w:r>
              <w:rPr>
                <w:spacing w:val="-3"/>
              </w:rPr>
              <w:t xml:space="preserve"> </w:t>
            </w:r>
            <w:r>
              <w:t>Rights</w:t>
            </w:r>
            <w:r>
              <w:rPr>
                <w:spacing w:val="-3"/>
              </w:rPr>
              <w:t xml:space="preserve"> </w:t>
            </w:r>
            <w:r>
              <w:rPr>
                <w:spacing w:val="-5"/>
              </w:rPr>
              <w:t>Act</w:t>
            </w:r>
          </w:p>
        </w:tc>
        <w:tc>
          <w:tcPr>
            <w:tcW w:w="5986" w:type="dxa"/>
          </w:tcPr>
          <w:p w14:paraId="7CB25B07" w14:textId="77777777" w:rsidR="008A4099" w:rsidRDefault="006A6EE2">
            <w:pPr>
              <w:pStyle w:val="TableParagraph"/>
              <w:spacing w:before="85"/>
              <w:ind w:left="279"/>
            </w:pPr>
            <w:r>
              <w:rPr>
                <w:i/>
              </w:rPr>
              <w:t>Human</w:t>
            </w:r>
            <w:r>
              <w:rPr>
                <w:i/>
                <w:spacing w:val="-5"/>
              </w:rPr>
              <w:t xml:space="preserve"> </w:t>
            </w:r>
            <w:r>
              <w:rPr>
                <w:i/>
              </w:rPr>
              <w:t>Rights</w:t>
            </w:r>
            <w:r>
              <w:rPr>
                <w:i/>
                <w:spacing w:val="-3"/>
              </w:rPr>
              <w:t xml:space="preserve"> </w:t>
            </w:r>
            <w:r>
              <w:rPr>
                <w:i/>
              </w:rPr>
              <w:t>Act</w:t>
            </w:r>
            <w:r>
              <w:rPr>
                <w:i/>
                <w:spacing w:val="-2"/>
              </w:rPr>
              <w:t xml:space="preserve"> </w:t>
            </w:r>
            <w:r>
              <w:rPr>
                <w:i/>
              </w:rPr>
              <w:t>2004</w:t>
            </w:r>
            <w:r>
              <w:rPr>
                <w:i/>
                <w:spacing w:val="-1"/>
              </w:rPr>
              <w:t xml:space="preserve"> </w:t>
            </w:r>
            <w:r>
              <w:rPr>
                <w:spacing w:val="-4"/>
              </w:rPr>
              <w:t>(ACT)</w:t>
            </w:r>
          </w:p>
        </w:tc>
      </w:tr>
      <w:tr w:rsidR="008A4099" w14:paraId="7CB25B0B" w14:textId="77777777">
        <w:trPr>
          <w:trHeight w:val="433"/>
        </w:trPr>
        <w:tc>
          <w:tcPr>
            <w:tcW w:w="3085" w:type="dxa"/>
          </w:tcPr>
          <w:p w14:paraId="7CB25B09" w14:textId="77777777" w:rsidR="008A4099" w:rsidRDefault="006A6EE2">
            <w:pPr>
              <w:pStyle w:val="TableParagraph"/>
              <w:spacing w:before="86"/>
              <w:ind w:left="50"/>
            </w:pPr>
            <w:r>
              <w:t>ACT</w:t>
            </w:r>
            <w:r>
              <w:rPr>
                <w:spacing w:val="-3"/>
              </w:rPr>
              <w:t xml:space="preserve"> </w:t>
            </w:r>
            <w:r>
              <w:t>Scrutiny</w:t>
            </w:r>
            <w:r>
              <w:rPr>
                <w:spacing w:val="-2"/>
              </w:rPr>
              <w:t xml:space="preserve"> Committee</w:t>
            </w:r>
          </w:p>
        </w:tc>
        <w:tc>
          <w:tcPr>
            <w:tcW w:w="5986" w:type="dxa"/>
          </w:tcPr>
          <w:p w14:paraId="7CB25B0A" w14:textId="77777777" w:rsidR="008A4099" w:rsidRDefault="006A6EE2">
            <w:pPr>
              <w:pStyle w:val="TableParagraph"/>
              <w:spacing w:before="86"/>
              <w:ind w:left="279"/>
            </w:pPr>
            <w:r>
              <w:t>Standing</w:t>
            </w:r>
            <w:r>
              <w:rPr>
                <w:spacing w:val="-4"/>
              </w:rPr>
              <w:t xml:space="preserve"> </w:t>
            </w:r>
            <w:r>
              <w:t>Committee</w:t>
            </w:r>
            <w:r>
              <w:rPr>
                <w:spacing w:val="-3"/>
              </w:rPr>
              <w:t xml:space="preserve"> </w:t>
            </w:r>
            <w:r>
              <w:t>on</w:t>
            </w:r>
            <w:r>
              <w:rPr>
                <w:spacing w:val="-6"/>
              </w:rPr>
              <w:t xml:space="preserve"> </w:t>
            </w:r>
            <w:r>
              <w:t>Justice</w:t>
            </w:r>
            <w:r>
              <w:rPr>
                <w:spacing w:val="-3"/>
              </w:rPr>
              <w:t xml:space="preserve"> </w:t>
            </w:r>
            <w:r>
              <w:t>and</w:t>
            </w:r>
            <w:r>
              <w:rPr>
                <w:spacing w:val="-3"/>
              </w:rPr>
              <w:t xml:space="preserve"> </w:t>
            </w:r>
            <w:r>
              <w:rPr>
                <w:spacing w:val="-2"/>
              </w:rPr>
              <w:t>Scrutiny</w:t>
            </w:r>
          </w:p>
        </w:tc>
      </w:tr>
      <w:tr w:rsidR="008A4099" w14:paraId="7CB25B0E" w14:textId="77777777">
        <w:trPr>
          <w:trHeight w:val="433"/>
        </w:trPr>
        <w:tc>
          <w:tcPr>
            <w:tcW w:w="3085" w:type="dxa"/>
          </w:tcPr>
          <w:p w14:paraId="7CB25B0C" w14:textId="77777777" w:rsidR="008A4099" w:rsidRDefault="006A6EE2">
            <w:pPr>
              <w:pStyle w:val="TableParagraph"/>
              <w:spacing w:before="85"/>
              <w:ind w:left="50"/>
            </w:pPr>
            <w:r>
              <w:rPr>
                <w:spacing w:val="-5"/>
              </w:rPr>
              <w:t>ADC</w:t>
            </w:r>
          </w:p>
        </w:tc>
        <w:tc>
          <w:tcPr>
            <w:tcW w:w="5986" w:type="dxa"/>
          </w:tcPr>
          <w:p w14:paraId="7CB25B0D" w14:textId="77777777" w:rsidR="008A4099" w:rsidRDefault="006A6EE2">
            <w:pPr>
              <w:pStyle w:val="TableParagraph"/>
              <w:spacing w:before="85"/>
              <w:ind w:left="279"/>
            </w:pPr>
            <w:r>
              <w:rPr>
                <w:spacing w:val="-2"/>
              </w:rPr>
              <w:t>Anti-Discrimination</w:t>
            </w:r>
            <w:r>
              <w:rPr>
                <w:spacing w:val="22"/>
              </w:rPr>
              <w:t xml:space="preserve"> </w:t>
            </w:r>
            <w:r>
              <w:rPr>
                <w:spacing w:val="-2"/>
              </w:rPr>
              <w:t>Commissioner</w:t>
            </w:r>
          </w:p>
        </w:tc>
      </w:tr>
      <w:tr w:rsidR="008A4099" w14:paraId="7CB25B11" w14:textId="77777777">
        <w:trPr>
          <w:trHeight w:val="431"/>
        </w:trPr>
        <w:tc>
          <w:tcPr>
            <w:tcW w:w="3085" w:type="dxa"/>
          </w:tcPr>
          <w:p w14:paraId="7CB25B0F" w14:textId="77777777" w:rsidR="008A4099" w:rsidRDefault="006A6EE2">
            <w:pPr>
              <w:pStyle w:val="TableParagraph"/>
              <w:spacing w:before="86"/>
              <w:ind w:left="50"/>
            </w:pPr>
            <w:r>
              <w:rPr>
                <w:spacing w:val="-4"/>
              </w:rPr>
              <w:t>AHRC</w:t>
            </w:r>
          </w:p>
        </w:tc>
        <w:tc>
          <w:tcPr>
            <w:tcW w:w="5986" w:type="dxa"/>
          </w:tcPr>
          <w:p w14:paraId="7CB25B10" w14:textId="77777777" w:rsidR="008A4099" w:rsidRDefault="006A6EE2">
            <w:pPr>
              <w:pStyle w:val="TableParagraph"/>
              <w:spacing w:before="86"/>
              <w:ind w:left="279"/>
            </w:pPr>
            <w:r>
              <w:t>Australian</w:t>
            </w:r>
            <w:r>
              <w:rPr>
                <w:spacing w:val="-5"/>
              </w:rPr>
              <w:t xml:space="preserve"> </w:t>
            </w:r>
            <w:r>
              <w:t>Human</w:t>
            </w:r>
            <w:r>
              <w:rPr>
                <w:spacing w:val="-5"/>
              </w:rPr>
              <w:t xml:space="preserve"> </w:t>
            </w:r>
            <w:r>
              <w:t>Rights</w:t>
            </w:r>
            <w:r>
              <w:rPr>
                <w:spacing w:val="-5"/>
              </w:rPr>
              <w:t xml:space="preserve"> </w:t>
            </w:r>
            <w:r>
              <w:rPr>
                <w:spacing w:val="-2"/>
              </w:rPr>
              <w:t>Commission</w:t>
            </w:r>
          </w:p>
        </w:tc>
      </w:tr>
      <w:tr w:rsidR="008A4099" w14:paraId="7CB25B14" w14:textId="77777777">
        <w:trPr>
          <w:trHeight w:val="685"/>
        </w:trPr>
        <w:tc>
          <w:tcPr>
            <w:tcW w:w="3085" w:type="dxa"/>
          </w:tcPr>
          <w:p w14:paraId="7CB25B12" w14:textId="77777777" w:rsidR="008A4099" w:rsidRDefault="006A6EE2">
            <w:pPr>
              <w:pStyle w:val="TableParagraph"/>
              <w:spacing w:before="84"/>
              <w:ind w:left="50"/>
            </w:pPr>
            <w:r>
              <w:t>Charter</w:t>
            </w:r>
            <w:r>
              <w:rPr>
                <w:spacing w:val="-14"/>
              </w:rPr>
              <w:t xml:space="preserve"> </w:t>
            </w:r>
            <w:r>
              <w:t>and</w:t>
            </w:r>
            <w:r>
              <w:rPr>
                <w:spacing w:val="-12"/>
              </w:rPr>
              <w:t xml:space="preserve"> </w:t>
            </w:r>
            <w:r>
              <w:t>Human</w:t>
            </w:r>
            <w:r>
              <w:rPr>
                <w:spacing w:val="-12"/>
              </w:rPr>
              <w:t xml:space="preserve"> </w:t>
            </w:r>
            <w:r>
              <w:t xml:space="preserve">Rights </w:t>
            </w:r>
            <w:r>
              <w:rPr>
                <w:spacing w:val="-2"/>
              </w:rPr>
              <w:t>Act/Enactment</w:t>
            </w:r>
          </w:p>
        </w:tc>
        <w:tc>
          <w:tcPr>
            <w:tcW w:w="5986" w:type="dxa"/>
          </w:tcPr>
          <w:p w14:paraId="7CB25B13" w14:textId="77777777" w:rsidR="008A4099" w:rsidRDefault="006A6EE2">
            <w:pPr>
              <w:pStyle w:val="TableParagraph"/>
              <w:spacing w:before="86"/>
              <w:ind w:left="279"/>
            </w:pPr>
            <w:r>
              <w:t>These</w:t>
            </w:r>
            <w:r>
              <w:rPr>
                <w:spacing w:val="-5"/>
              </w:rPr>
              <w:t xml:space="preserve"> </w:t>
            </w:r>
            <w:r>
              <w:t>terms</w:t>
            </w:r>
            <w:r>
              <w:rPr>
                <w:spacing w:val="-3"/>
              </w:rPr>
              <w:t xml:space="preserve"> </w:t>
            </w:r>
            <w:r>
              <w:t>are</w:t>
            </w:r>
            <w:r>
              <w:rPr>
                <w:spacing w:val="-3"/>
              </w:rPr>
              <w:t xml:space="preserve"> </w:t>
            </w:r>
            <w:r>
              <w:t>used</w:t>
            </w:r>
            <w:r>
              <w:rPr>
                <w:spacing w:val="-3"/>
              </w:rPr>
              <w:t xml:space="preserve"> </w:t>
            </w:r>
            <w:r>
              <w:t>interchangeably</w:t>
            </w:r>
            <w:r>
              <w:rPr>
                <w:spacing w:val="-5"/>
              </w:rPr>
              <w:t xml:space="preserve"> </w:t>
            </w:r>
            <w:r>
              <w:t>in</w:t>
            </w:r>
            <w:r>
              <w:rPr>
                <w:spacing w:val="-6"/>
              </w:rPr>
              <w:t xml:space="preserve"> </w:t>
            </w:r>
            <w:r>
              <w:t>this</w:t>
            </w:r>
            <w:r>
              <w:rPr>
                <w:spacing w:val="-3"/>
              </w:rPr>
              <w:t xml:space="preserve"> </w:t>
            </w:r>
            <w:r>
              <w:t>Research</w:t>
            </w:r>
            <w:r>
              <w:rPr>
                <w:spacing w:val="-4"/>
              </w:rPr>
              <w:t xml:space="preserve"> </w:t>
            </w:r>
            <w:r>
              <w:rPr>
                <w:spacing w:val="-2"/>
              </w:rPr>
              <w:t>Paper.</w:t>
            </w:r>
          </w:p>
        </w:tc>
      </w:tr>
      <w:tr w:rsidR="008A4099" w14:paraId="7CB25B17" w14:textId="77777777">
        <w:trPr>
          <w:trHeight w:val="941"/>
        </w:trPr>
        <w:tc>
          <w:tcPr>
            <w:tcW w:w="3085" w:type="dxa"/>
          </w:tcPr>
          <w:p w14:paraId="7CB25B15" w14:textId="77777777" w:rsidR="008A4099" w:rsidRDefault="006A6EE2">
            <w:pPr>
              <w:pStyle w:val="TableParagraph"/>
              <w:spacing w:before="87"/>
              <w:ind w:left="50"/>
            </w:pPr>
            <w:r>
              <w:t>Charter</w:t>
            </w:r>
            <w:r>
              <w:rPr>
                <w:spacing w:val="-3"/>
              </w:rPr>
              <w:t xml:space="preserve"> </w:t>
            </w:r>
            <w:r>
              <w:rPr>
                <w:spacing w:val="-2"/>
              </w:rPr>
              <w:t>jurisdictions</w:t>
            </w:r>
          </w:p>
        </w:tc>
        <w:tc>
          <w:tcPr>
            <w:tcW w:w="5986" w:type="dxa"/>
          </w:tcPr>
          <w:p w14:paraId="7CB25B16" w14:textId="77777777" w:rsidR="008A4099" w:rsidRDefault="006A6EE2">
            <w:pPr>
              <w:pStyle w:val="TableParagraph"/>
              <w:spacing w:before="85" w:line="242" w:lineRule="auto"/>
              <w:ind w:left="279"/>
            </w:pPr>
            <w:r>
              <w:t>Australian</w:t>
            </w:r>
            <w:r>
              <w:rPr>
                <w:spacing w:val="-7"/>
              </w:rPr>
              <w:t xml:space="preserve"> </w:t>
            </w:r>
            <w:r>
              <w:t>jurisdictions</w:t>
            </w:r>
            <w:r>
              <w:rPr>
                <w:spacing w:val="-7"/>
              </w:rPr>
              <w:t xml:space="preserve"> </w:t>
            </w:r>
            <w:r>
              <w:t>that</w:t>
            </w:r>
            <w:r>
              <w:rPr>
                <w:spacing w:val="-7"/>
              </w:rPr>
              <w:t xml:space="preserve"> </w:t>
            </w:r>
            <w:r>
              <w:t>have</w:t>
            </w:r>
            <w:r>
              <w:rPr>
                <w:spacing w:val="-5"/>
              </w:rPr>
              <w:t xml:space="preserve"> </w:t>
            </w:r>
            <w:r>
              <w:t>human</w:t>
            </w:r>
            <w:r>
              <w:rPr>
                <w:spacing w:val="-5"/>
              </w:rPr>
              <w:t xml:space="preserve"> </w:t>
            </w:r>
            <w:r>
              <w:t>rights</w:t>
            </w:r>
            <w:r>
              <w:rPr>
                <w:spacing w:val="-5"/>
              </w:rPr>
              <w:t xml:space="preserve"> </w:t>
            </w:r>
            <w:r>
              <w:t>enactments</w:t>
            </w:r>
            <w:r>
              <w:rPr>
                <w:spacing w:val="-3"/>
              </w:rPr>
              <w:t xml:space="preserve"> </w:t>
            </w:r>
            <w:r>
              <w:t xml:space="preserve">– currently, the Australian Capital Territory, Victoria, and </w:t>
            </w:r>
            <w:r>
              <w:rPr>
                <w:spacing w:val="-2"/>
              </w:rPr>
              <w:t>Queensland.</w:t>
            </w:r>
          </w:p>
        </w:tc>
      </w:tr>
      <w:tr w:rsidR="008A4099" w14:paraId="7CB25B1A" w14:textId="77777777">
        <w:trPr>
          <w:trHeight w:val="432"/>
        </w:trPr>
        <w:tc>
          <w:tcPr>
            <w:tcW w:w="3085" w:type="dxa"/>
          </w:tcPr>
          <w:p w14:paraId="7CB25B18" w14:textId="77777777" w:rsidR="008A4099" w:rsidRDefault="006A6EE2">
            <w:pPr>
              <w:pStyle w:val="TableParagraph"/>
              <w:spacing w:before="85"/>
              <w:ind w:left="50"/>
            </w:pPr>
            <w:r>
              <w:rPr>
                <w:spacing w:val="-5"/>
              </w:rPr>
              <w:t>CHO</w:t>
            </w:r>
          </w:p>
        </w:tc>
        <w:tc>
          <w:tcPr>
            <w:tcW w:w="5986" w:type="dxa"/>
          </w:tcPr>
          <w:p w14:paraId="7CB25B19" w14:textId="77777777" w:rsidR="008A4099" w:rsidRDefault="006A6EE2">
            <w:pPr>
              <w:pStyle w:val="TableParagraph"/>
              <w:spacing w:before="85"/>
              <w:ind w:left="279"/>
            </w:pPr>
            <w:r>
              <w:t>Chief</w:t>
            </w:r>
            <w:r>
              <w:rPr>
                <w:spacing w:val="-3"/>
              </w:rPr>
              <w:t xml:space="preserve"> </w:t>
            </w:r>
            <w:r>
              <w:t>Health</w:t>
            </w:r>
            <w:r>
              <w:rPr>
                <w:spacing w:val="-3"/>
              </w:rPr>
              <w:t xml:space="preserve"> </w:t>
            </w:r>
            <w:r>
              <w:rPr>
                <w:spacing w:val="-2"/>
              </w:rPr>
              <w:t>Officer</w:t>
            </w:r>
          </w:p>
        </w:tc>
      </w:tr>
      <w:tr w:rsidR="008A4099" w14:paraId="7CB25B1D" w14:textId="77777777">
        <w:trPr>
          <w:trHeight w:val="433"/>
        </w:trPr>
        <w:tc>
          <w:tcPr>
            <w:tcW w:w="3085" w:type="dxa"/>
          </w:tcPr>
          <w:p w14:paraId="7CB25B1B" w14:textId="77777777" w:rsidR="008A4099" w:rsidRDefault="006A6EE2">
            <w:pPr>
              <w:pStyle w:val="TableParagraph"/>
              <w:spacing w:before="85"/>
              <w:ind w:left="50"/>
            </w:pPr>
            <w:r>
              <w:t>Cth</w:t>
            </w:r>
            <w:r>
              <w:rPr>
                <w:spacing w:val="-3"/>
              </w:rPr>
              <w:t xml:space="preserve"> </w:t>
            </w:r>
            <w:r>
              <w:t>Scrutiny</w:t>
            </w:r>
            <w:r>
              <w:rPr>
                <w:spacing w:val="-2"/>
              </w:rPr>
              <w:t xml:space="preserve"> </w:t>
            </w:r>
            <w:r>
              <w:rPr>
                <w:spacing w:val="-5"/>
              </w:rPr>
              <w:t>Act</w:t>
            </w:r>
          </w:p>
        </w:tc>
        <w:tc>
          <w:tcPr>
            <w:tcW w:w="5986" w:type="dxa"/>
          </w:tcPr>
          <w:p w14:paraId="7CB25B1C" w14:textId="77777777" w:rsidR="008A4099" w:rsidRDefault="006A6EE2">
            <w:pPr>
              <w:pStyle w:val="TableParagraph"/>
              <w:spacing w:before="85"/>
              <w:ind w:left="279"/>
            </w:pPr>
            <w:r>
              <w:rPr>
                <w:i/>
              </w:rPr>
              <w:t>Human</w:t>
            </w:r>
            <w:r>
              <w:rPr>
                <w:i/>
                <w:spacing w:val="-5"/>
              </w:rPr>
              <w:t xml:space="preserve"> </w:t>
            </w:r>
            <w:r>
              <w:rPr>
                <w:i/>
              </w:rPr>
              <w:t>Rights</w:t>
            </w:r>
            <w:r>
              <w:rPr>
                <w:i/>
                <w:spacing w:val="-4"/>
              </w:rPr>
              <w:t xml:space="preserve"> </w:t>
            </w:r>
            <w:r>
              <w:rPr>
                <w:i/>
              </w:rPr>
              <w:t>(Parliamentary</w:t>
            </w:r>
            <w:r>
              <w:rPr>
                <w:i/>
                <w:spacing w:val="-4"/>
              </w:rPr>
              <w:t xml:space="preserve"> </w:t>
            </w:r>
            <w:r>
              <w:rPr>
                <w:i/>
              </w:rPr>
              <w:t>Scrutiny)</w:t>
            </w:r>
            <w:r>
              <w:rPr>
                <w:i/>
                <w:spacing w:val="-5"/>
              </w:rPr>
              <w:t xml:space="preserve"> </w:t>
            </w:r>
            <w:r>
              <w:rPr>
                <w:i/>
              </w:rPr>
              <w:t>Act</w:t>
            </w:r>
            <w:r>
              <w:rPr>
                <w:i/>
                <w:spacing w:val="-3"/>
              </w:rPr>
              <w:t xml:space="preserve"> </w:t>
            </w:r>
            <w:r>
              <w:rPr>
                <w:i/>
              </w:rPr>
              <w:t>2011</w:t>
            </w:r>
            <w:r>
              <w:rPr>
                <w:i/>
                <w:spacing w:val="-1"/>
              </w:rPr>
              <w:t xml:space="preserve"> </w:t>
            </w:r>
            <w:r>
              <w:rPr>
                <w:spacing w:val="-4"/>
              </w:rPr>
              <w:t>(Cth)</w:t>
            </w:r>
          </w:p>
        </w:tc>
      </w:tr>
      <w:tr w:rsidR="008A4099" w14:paraId="7CB25B20" w14:textId="77777777">
        <w:trPr>
          <w:trHeight w:val="433"/>
        </w:trPr>
        <w:tc>
          <w:tcPr>
            <w:tcW w:w="3085" w:type="dxa"/>
          </w:tcPr>
          <w:p w14:paraId="7CB25B1E" w14:textId="77777777" w:rsidR="008A4099" w:rsidRDefault="006A6EE2">
            <w:pPr>
              <w:pStyle w:val="TableParagraph"/>
              <w:spacing w:before="86"/>
              <w:ind w:left="50"/>
            </w:pPr>
            <w:r>
              <w:rPr>
                <w:spacing w:val="-4"/>
              </w:rPr>
              <w:t>DHHS</w:t>
            </w:r>
          </w:p>
        </w:tc>
        <w:tc>
          <w:tcPr>
            <w:tcW w:w="5986" w:type="dxa"/>
          </w:tcPr>
          <w:p w14:paraId="7CB25B1F" w14:textId="77777777" w:rsidR="008A4099" w:rsidRDefault="006A6EE2">
            <w:pPr>
              <w:pStyle w:val="TableParagraph"/>
              <w:spacing w:before="86"/>
              <w:ind w:left="279"/>
            </w:pPr>
            <w:r>
              <w:t>Department</w:t>
            </w:r>
            <w:r>
              <w:rPr>
                <w:spacing w:val="-5"/>
              </w:rPr>
              <w:t xml:space="preserve"> </w:t>
            </w:r>
            <w:r>
              <w:t>of</w:t>
            </w:r>
            <w:r>
              <w:rPr>
                <w:spacing w:val="-3"/>
              </w:rPr>
              <w:t xml:space="preserve"> </w:t>
            </w:r>
            <w:r>
              <w:t>Health</w:t>
            </w:r>
            <w:r>
              <w:rPr>
                <w:spacing w:val="-3"/>
              </w:rPr>
              <w:t xml:space="preserve"> </w:t>
            </w:r>
            <w:r>
              <w:t>and</w:t>
            </w:r>
            <w:r>
              <w:rPr>
                <w:spacing w:val="-8"/>
              </w:rPr>
              <w:t xml:space="preserve"> </w:t>
            </w:r>
            <w:r>
              <w:t>Human</w:t>
            </w:r>
            <w:r>
              <w:rPr>
                <w:spacing w:val="-2"/>
              </w:rPr>
              <w:t xml:space="preserve"> Services</w:t>
            </w:r>
          </w:p>
        </w:tc>
      </w:tr>
      <w:tr w:rsidR="008A4099" w14:paraId="7CB25B23" w14:textId="77777777">
        <w:trPr>
          <w:trHeight w:val="433"/>
        </w:trPr>
        <w:tc>
          <w:tcPr>
            <w:tcW w:w="3085" w:type="dxa"/>
          </w:tcPr>
          <w:p w14:paraId="7CB25B21" w14:textId="77777777" w:rsidR="008A4099" w:rsidRDefault="006A6EE2">
            <w:pPr>
              <w:pStyle w:val="TableParagraph"/>
              <w:spacing w:before="85"/>
              <w:ind w:left="50"/>
            </w:pPr>
            <w:r>
              <w:rPr>
                <w:spacing w:val="-4"/>
              </w:rPr>
              <w:t>HRLC</w:t>
            </w:r>
          </w:p>
        </w:tc>
        <w:tc>
          <w:tcPr>
            <w:tcW w:w="5986" w:type="dxa"/>
          </w:tcPr>
          <w:p w14:paraId="7CB25B22" w14:textId="77777777" w:rsidR="008A4099" w:rsidRDefault="006A6EE2">
            <w:pPr>
              <w:pStyle w:val="TableParagraph"/>
              <w:spacing w:before="85"/>
              <w:ind w:left="279"/>
            </w:pPr>
            <w:r>
              <w:t>Human</w:t>
            </w:r>
            <w:r>
              <w:rPr>
                <w:spacing w:val="-3"/>
              </w:rPr>
              <w:t xml:space="preserve"> </w:t>
            </w:r>
            <w:r>
              <w:t>Rights</w:t>
            </w:r>
            <w:r>
              <w:rPr>
                <w:spacing w:val="-2"/>
              </w:rPr>
              <w:t xml:space="preserve"> </w:t>
            </w:r>
            <w:r>
              <w:t>Law</w:t>
            </w:r>
            <w:r>
              <w:rPr>
                <w:spacing w:val="-2"/>
              </w:rPr>
              <w:t xml:space="preserve"> Centre</w:t>
            </w:r>
          </w:p>
        </w:tc>
      </w:tr>
      <w:tr w:rsidR="008A4099" w14:paraId="7CB25B26" w14:textId="77777777">
        <w:trPr>
          <w:trHeight w:val="431"/>
        </w:trPr>
        <w:tc>
          <w:tcPr>
            <w:tcW w:w="3085" w:type="dxa"/>
          </w:tcPr>
          <w:p w14:paraId="7CB25B24" w14:textId="77777777" w:rsidR="008A4099" w:rsidRDefault="006A6EE2">
            <w:pPr>
              <w:pStyle w:val="TableParagraph"/>
              <w:spacing w:before="86"/>
              <w:ind w:left="50"/>
            </w:pPr>
            <w:r>
              <w:rPr>
                <w:spacing w:val="-2"/>
              </w:rPr>
              <w:t>ICCPR</w:t>
            </w:r>
          </w:p>
        </w:tc>
        <w:tc>
          <w:tcPr>
            <w:tcW w:w="5986" w:type="dxa"/>
          </w:tcPr>
          <w:p w14:paraId="7CB25B25" w14:textId="77777777" w:rsidR="008A4099" w:rsidRDefault="006A6EE2">
            <w:pPr>
              <w:pStyle w:val="TableParagraph"/>
              <w:spacing w:before="86"/>
              <w:ind w:left="279"/>
              <w:rPr>
                <w:i/>
              </w:rPr>
            </w:pPr>
            <w:r>
              <w:rPr>
                <w:i/>
              </w:rPr>
              <w:t>International</w:t>
            </w:r>
            <w:r>
              <w:rPr>
                <w:i/>
                <w:spacing w:val="-4"/>
              </w:rPr>
              <w:t xml:space="preserve"> </w:t>
            </w:r>
            <w:r>
              <w:rPr>
                <w:i/>
              </w:rPr>
              <w:t>Covenant</w:t>
            </w:r>
            <w:r>
              <w:rPr>
                <w:i/>
                <w:spacing w:val="-3"/>
              </w:rPr>
              <w:t xml:space="preserve"> </w:t>
            </w:r>
            <w:r>
              <w:rPr>
                <w:i/>
              </w:rPr>
              <w:t>on</w:t>
            </w:r>
            <w:r>
              <w:rPr>
                <w:i/>
                <w:spacing w:val="-7"/>
              </w:rPr>
              <w:t xml:space="preserve"> </w:t>
            </w:r>
            <w:r>
              <w:rPr>
                <w:i/>
              </w:rPr>
              <w:t>Civil</w:t>
            </w:r>
            <w:r>
              <w:rPr>
                <w:i/>
                <w:spacing w:val="-4"/>
              </w:rPr>
              <w:t xml:space="preserve"> </w:t>
            </w:r>
            <w:r>
              <w:rPr>
                <w:i/>
              </w:rPr>
              <w:t>and</w:t>
            </w:r>
            <w:r>
              <w:rPr>
                <w:i/>
                <w:spacing w:val="-4"/>
              </w:rPr>
              <w:t xml:space="preserve"> </w:t>
            </w:r>
            <w:r>
              <w:rPr>
                <w:i/>
              </w:rPr>
              <w:t>Political</w:t>
            </w:r>
            <w:r>
              <w:rPr>
                <w:i/>
                <w:spacing w:val="-3"/>
              </w:rPr>
              <w:t xml:space="preserve"> </w:t>
            </w:r>
            <w:r>
              <w:rPr>
                <w:i/>
                <w:spacing w:val="-2"/>
              </w:rPr>
              <w:t>Rights</w:t>
            </w:r>
          </w:p>
        </w:tc>
      </w:tr>
      <w:tr w:rsidR="008A4099" w14:paraId="7CB25B29" w14:textId="77777777">
        <w:trPr>
          <w:trHeight w:val="687"/>
        </w:trPr>
        <w:tc>
          <w:tcPr>
            <w:tcW w:w="3085" w:type="dxa"/>
          </w:tcPr>
          <w:p w14:paraId="7CB25B27" w14:textId="77777777" w:rsidR="008A4099" w:rsidRDefault="006A6EE2">
            <w:pPr>
              <w:pStyle w:val="TableParagraph"/>
              <w:spacing w:before="86"/>
              <w:ind w:left="50"/>
            </w:pPr>
            <w:r>
              <w:rPr>
                <w:spacing w:val="-2"/>
              </w:rPr>
              <w:t>ICESCR</w:t>
            </w:r>
          </w:p>
        </w:tc>
        <w:tc>
          <w:tcPr>
            <w:tcW w:w="5986" w:type="dxa"/>
          </w:tcPr>
          <w:p w14:paraId="7CB25B28" w14:textId="77777777" w:rsidR="008A4099" w:rsidRDefault="006A6EE2">
            <w:pPr>
              <w:pStyle w:val="TableParagraph"/>
              <w:spacing w:before="84" w:line="244" w:lineRule="auto"/>
              <w:ind w:left="279" w:right="101"/>
              <w:rPr>
                <w:i/>
              </w:rPr>
            </w:pPr>
            <w:r>
              <w:rPr>
                <w:i/>
              </w:rPr>
              <w:t>International</w:t>
            </w:r>
            <w:r>
              <w:rPr>
                <w:i/>
                <w:spacing w:val="-5"/>
              </w:rPr>
              <w:t xml:space="preserve"> </w:t>
            </w:r>
            <w:r>
              <w:rPr>
                <w:i/>
              </w:rPr>
              <w:t>Covenant</w:t>
            </w:r>
            <w:r>
              <w:rPr>
                <w:i/>
                <w:spacing w:val="-5"/>
              </w:rPr>
              <w:t xml:space="preserve"> </w:t>
            </w:r>
            <w:r>
              <w:rPr>
                <w:i/>
              </w:rPr>
              <w:t>on</w:t>
            </w:r>
            <w:r>
              <w:rPr>
                <w:i/>
                <w:spacing w:val="-9"/>
              </w:rPr>
              <w:t xml:space="preserve"> </w:t>
            </w:r>
            <w:r>
              <w:rPr>
                <w:i/>
              </w:rPr>
              <w:t>Economic,</w:t>
            </w:r>
            <w:r>
              <w:rPr>
                <w:i/>
                <w:spacing w:val="-6"/>
              </w:rPr>
              <w:t xml:space="preserve"> </w:t>
            </w:r>
            <w:r>
              <w:rPr>
                <w:i/>
              </w:rPr>
              <w:t>Social</w:t>
            </w:r>
            <w:r>
              <w:rPr>
                <w:i/>
                <w:spacing w:val="-8"/>
              </w:rPr>
              <w:t xml:space="preserve"> </w:t>
            </w:r>
            <w:r>
              <w:rPr>
                <w:i/>
              </w:rPr>
              <w:t>and</w:t>
            </w:r>
            <w:r>
              <w:rPr>
                <w:i/>
                <w:spacing w:val="-6"/>
              </w:rPr>
              <w:t xml:space="preserve"> </w:t>
            </w:r>
            <w:r>
              <w:rPr>
                <w:i/>
              </w:rPr>
              <w:t xml:space="preserve">Cultural </w:t>
            </w:r>
            <w:r>
              <w:rPr>
                <w:i/>
                <w:spacing w:val="-2"/>
              </w:rPr>
              <w:t>Rights</w:t>
            </w:r>
          </w:p>
        </w:tc>
      </w:tr>
      <w:tr w:rsidR="008A4099" w14:paraId="7CB25B2C" w14:textId="77777777">
        <w:trPr>
          <w:trHeight w:val="432"/>
        </w:trPr>
        <w:tc>
          <w:tcPr>
            <w:tcW w:w="3085" w:type="dxa"/>
          </w:tcPr>
          <w:p w14:paraId="7CB25B2A" w14:textId="77777777" w:rsidR="008A4099" w:rsidRDefault="006A6EE2">
            <w:pPr>
              <w:pStyle w:val="TableParagraph"/>
              <w:spacing w:before="85"/>
              <w:ind w:left="50"/>
            </w:pPr>
            <w:r>
              <w:rPr>
                <w:spacing w:val="-4"/>
              </w:rPr>
              <w:t>JSCSL</w:t>
            </w:r>
          </w:p>
        </w:tc>
        <w:tc>
          <w:tcPr>
            <w:tcW w:w="5986" w:type="dxa"/>
          </w:tcPr>
          <w:p w14:paraId="7CB25B2B" w14:textId="77777777" w:rsidR="008A4099" w:rsidRDefault="006A6EE2">
            <w:pPr>
              <w:pStyle w:val="TableParagraph"/>
              <w:spacing w:before="85"/>
              <w:ind w:left="279"/>
            </w:pPr>
            <w:r>
              <w:t>Joint</w:t>
            </w:r>
            <w:r>
              <w:rPr>
                <w:spacing w:val="-4"/>
              </w:rPr>
              <w:t xml:space="preserve"> </w:t>
            </w:r>
            <w:r>
              <w:t>Standing</w:t>
            </w:r>
            <w:r>
              <w:rPr>
                <w:spacing w:val="-4"/>
              </w:rPr>
              <w:t xml:space="preserve"> </w:t>
            </w:r>
            <w:r>
              <w:t>Committee</w:t>
            </w:r>
            <w:r>
              <w:rPr>
                <w:spacing w:val="-5"/>
              </w:rPr>
              <w:t xml:space="preserve"> </w:t>
            </w:r>
            <w:r>
              <w:t>on</w:t>
            </w:r>
            <w:r>
              <w:rPr>
                <w:spacing w:val="-3"/>
              </w:rPr>
              <w:t xml:space="preserve"> </w:t>
            </w:r>
            <w:r>
              <w:t>Subordinate</w:t>
            </w:r>
            <w:r>
              <w:rPr>
                <w:spacing w:val="-4"/>
              </w:rPr>
              <w:t xml:space="preserve"> </w:t>
            </w:r>
            <w:r>
              <w:rPr>
                <w:spacing w:val="-2"/>
              </w:rPr>
              <w:t>Legislation</w:t>
            </w:r>
          </w:p>
        </w:tc>
      </w:tr>
      <w:tr w:rsidR="008A4099" w14:paraId="7CB25B2F" w14:textId="77777777">
        <w:trPr>
          <w:trHeight w:val="433"/>
        </w:trPr>
        <w:tc>
          <w:tcPr>
            <w:tcW w:w="3085" w:type="dxa"/>
          </w:tcPr>
          <w:p w14:paraId="7CB25B2D" w14:textId="77777777" w:rsidR="008A4099" w:rsidRDefault="006A6EE2">
            <w:pPr>
              <w:pStyle w:val="TableParagraph"/>
              <w:spacing w:before="85"/>
              <w:ind w:left="50"/>
            </w:pPr>
            <w:r>
              <w:rPr>
                <w:spacing w:val="-2"/>
              </w:rPr>
              <w:t>NDLFRS</w:t>
            </w:r>
          </w:p>
        </w:tc>
        <w:tc>
          <w:tcPr>
            <w:tcW w:w="5986" w:type="dxa"/>
          </w:tcPr>
          <w:p w14:paraId="7CB25B2E" w14:textId="77777777" w:rsidR="008A4099" w:rsidRDefault="006A6EE2">
            <w:pPr>
              <w:pStyle w:val="TableParagraph"/>
              <w:spacing w:before="85"/>
              <w:ind w:left="279"/>
            </w:pPr>
            <w:r>
              <w:t>National</w:t>
            </w:r>
            <w:r>
              <w:rPr>
                <w:spacing w:val="-5"/>
              </w:rPr>
              <w:t xml:space="preserve"> </w:t>
            </w:r>
            <w:r>
              <w:t>Drivers</w:t>
            </w:r>
            <w:r>
              <w:rPr>
                <w:spacing w:val="-7"/>
              </w:rPr>
              <w:t xml:space="preserve"> </w:t>
            </w:r>
            <w:r>
              <w:t>Licence</w:t>
            </w:r>
            <w:r>
              <w:rPr>
                <w:spacing w:val="-5"/>
              </w:rPr>
              <w:t xml:space="preserve"> </w:t>
            </w:r>
            <w:r>
              <w:t>Facial</w:t>
            </w:r>
            <w:r>
              <w:rPr>
                <w:spacing w:val="-4"/>
              </w:rPr>
              <w:t xml:space="preserve"> </w:t>
            </w:r>
            <w:r>
              <w:t>Recognition</w:t>
            </w:r>
            <w:r>
              <w:rPr>
                <w:spacing w:val="-5"/>
              </w:rPr>
              <w:t xml:space="preserve"> </w:t>
            </w:r>
            <w:r>
              <w:rPr>
                <w:spacing w:val="-2"/>
              </w:rPr>
              <w:t>System</w:t>
            </w:r>
          </w:p>
        </w:tc>
      </w:tr>
      <w:tr w:rsidR="008A4099" w14:paraId="7CB25B32" w14:textId="77777777">
        <w:trPr>
          <w:trHeight w:val="433"/>
        </w:trPr>
        <w:tc>
          <w:tcPr>
            <w:tcW w:w="3085" w:type="dxa"/>
          </w:tcPr>
          <w:p w14:paraId="7CB25B30" w14:textId="77777777" w:rsidR="008A4099" w:rsidRDefault="006A6EE2">
            <w:pPr>
              <w:pStyle w:val="TableParagraph"/>
              <w:spacing w:before="86"/>
              <w:ind w:left="50"/>
            </w:pPr>
            <w:r>
              <w:rPr>
                <w:spacing w:val="-2"/>
              </w:rPr>
              <w:t>NHHRC</w:t>
            </w:r>
          </w:p>
        </w:tc>
        <w:tc>
          <w:tcPr>
            <w:tcW w:w="5986" w:type="dxa"/>
          </w:tcPr>
          <w:p w14:paraId="7CB25B31" w14:textId="77777777" w:rsidR="008A4099" w:rsidRDefault="006A6EE2">
            <w:pPr>
              <w:pStyle w:val="TableParagraph"/>
              <w:spacing w:before="86"/>
              <w:ind w:left="279"/>
            </w:pPr>
            <w:r>
              <w:t>National</w:t>
            </w:r>
            <w:r>
              <w:rPr>
                <w:spacing w:val="-5"/>
              </w:rPr>
              <w:t xml:space="preserve"> </w:t>
            </w:r>
            <w:r>
              <w:t>Human</w:t>
            </w:r>
            <w:r>
              <w:rPr>
                <w:spacing w:val="-5"/>
              </w:rPr>
              <w:t xml:space="preserve"> </w:t>
            </w:r>
            <w:r>
              <w:t>Rights</w:t>
            </w:r>
            <w:r>
              <w:rPr>
                <w:spacing w:val="-5"/>
              </w:rPr>
              <w:t xml:space="preserve"> </w:t>
            </w:r>
            <w:r>
              <w:t>Consultation</w:t>
            </w:r>
            <w:r>
              <w:rPr>
                <w:spacing w:val="-5"/>
              </w:rPr>
              <w:t xml:space="preserve"> </w:t>
            </w:r>
            <w:r>
              <w:rPr>
                <w:spacing w:val="-2"/>
              </w:rPr>
              <w:t>Committee</w:t>
            </w:r>
          </w:p>
        </w:tc>
      </w:tr>
      <w:tr w:rsidR="008A4099" w14:paraId="7CB25B35" w14:textId="77777777">
        <w:trPr>
          <w:trHeight w:val="433"/>
        </w:trPr>
        <w:tc>
          <w:tcPr>
            <w:tcW w:w="3085" w:type="dxa"/>
          </w:tcPr>
          <w:p w14:paraId="7CB25B33" w14:textId="77777777" w:rsidR="008A4099" w:rsidRDefault="006A6EE2">
            <w:pPr>
              <w:pStyle w:val="TableParagraph"/>
              <w:spacing w:before="85"/>
              <w:ind w:left="50"/>
            </w:pPr>
            <w:r>
              <w:rPr>
                <w:spacing w:val="-2"/>
              </w:rPr>
              <w:t>PDAOC</w:t>
            </w:r>
          </w:p>
        </w:tc>
        <w:tc>
          <w:tcPr>
            <w:tcW w:w="5986" w:type="dxa"/>
          </w:tcPr>
          <w:p w14:paraId="7CB25B34" w14:textId="77777777" w:rsidR="008A4099" w:rsidRDefault="006A6EE2">
            <w:pPr>
              <w:pStyle w:val="TableParagraph"/>
              <w:spacing w:before="85"/>
              <w:ind w:left="279"/>
            </w:pPr>
            <w:r>
              <w:t>Pandemic</w:t>
            </w:r>
            <w:r>
              <w:rPr>
                <w:spacing w:val="-8"/>
              </w:rPr>
              <w:t xml:space="preserve"> </w:t>
            </w:r>
            <w:r>
              <w:t>Declaration</w:t>
            </w:r>
            <w:r>
              <w:rPr>
                <w:spacing w:val="-6"/>
              </w:rPr>
              <w:t xml:space="preserve"> </w:t>
            </w:r>
            <w:r>
              <w:t>Accountability</w:t>
            </w:r>
            <w:r>
              <w:rPr>
                <w:spacing w:val="-5"/>
              </w:rPr>
              <w:t xml:space="preserve"> </w:t>
            </w:r>
            <w:r>
              <w:t>and</w:t>
            </w:r>
            <w:r>
              <w:rPr>
                <w:spacing w:val="-8"/>
              </w:rPr>
              <w:t xml:space="preserve"> </w:t>
            </w:r>
            <w:r>
              <w:t>Oversight</w:t>
            </w:r>
            <w:r>
              <w:rPr>
                <w:spacing w:val="-4"/>
              </w:rPr>
              <w:t xml:space="preserve"> </w:t>
            </w:r>
            <w:r>
              <w:rPr>
                <w:spacing w:val="-2"/>
              </w:rPr>
              <w:t>Committee</w:t>
            </w:r>
          </w:p>
        </w:tc>
      </w:tr>
      <w:tr w:rsidR="008A4099" w14:paraId="7CB25B38" w14:textId="77777777">
        <w:trPr>
          <w:trHeight w:val="433"/>
        </w:trPr>
        <w:tc>
          <w:tcPr>
            <w:tcW w:w="3085" w:type="dxa"/>
          </w:tcPr>
          <w:p w14:paraId="7CB25B36" w14:textId="77777777" w:rsidR="008A4099" w:rsidRDefault="006A6EE2">
            <w:pPr>
              <w:pStyle w:val="TableParagraph"/>
              <w:spacing w:before="86"/>
              <w:ind w:left="50"/>
            </w:pPr>
            <w:r>
              <w:rPr>
                <w:spacing w:val="-2"/>
              </w:rPr>
              <w:t>PESRAC</w:t>
            </w:r>
          </w:p>
        </w:tc>
        <w:tc>
          <w:tcPr>
            <w:tcW w:w="5986" w:type="dxa"/>
          </w:tcPr>
          <w:p w14:paraId="7CB25B37" w14:textId="77777777" w:rsidR="008A4099" w:rsidRDefault="006A6EE2">
            <w:pPr>
              <w:pStyle w:val="TableParagraph"/>
              <w:spacing w:before="86"/>
              <w:ind w:left="279"/>
            </w:pPr>
            <w:r>
              <w:t>Premier’s</w:t>
            </w:r>
            <w:r>
              <w:rPr>
                <w:spacing w:val="-7"/>
              </w:rPr>
              <w:t xml:space="preserve"> </w:t>
            </w:r>
            <w:r>
              <w:t>Economic</w:t>
            </w:r>
            <w:r>
              <w:rPr>
                <w:spacing w:val="-4"/>
              </w:rPr>
              <w:t xml:space="preserve"> </w:t>
            </w:r>
            <w:r>
              <w:t>and</w:t>
            </w:r>
            <w:r>
              <w:rPr>
                <w:spacing w:val="-5"/>
              </w:rPr>
              <w:t xml:space="preserve"> </w:t>
            </w:r>
            <w:r>
              <w:t>Social</w:t>
            </w:r>
            <w:r>
              <w:rPr>
                <w:spacing w:val="-3"/>
              </w:rPr>
              <w:t xml:space="preserve"> </w:t>
            </w:r>
            <w:r>
              <w:t>Recovery</w:t>
            </w:r>
            <w:r>
              <w:rPr>
                <w:spacing w:val="-4"/>
              </w:rPr>
              <w:t xml:space="preserve"> </w:t>
            </w:r>
            <w:r>
              <w:t>Advisory</w:t>
            </w:r>
            <w:r>
              <w:rPr>
                <w:spacing w:val="-4"/>
              </w:rPr>
              <w:t xml:space="preserve"> </w:t>
            </w:r>
            <w:r>
              <w:rPr>
                <w:spacing w:val="-2"/>
              </w:rPr>
              <w:t>Council</w:t>
            </w:r>
          </w:p>
        </w:tc>
      </w:tr>
      <w:tr w:rsidR="008A4099" w14:paraId="7CB25B3B" w14:textId="77777777">
        <w:trPr>
          <w:trHeight w:val="432"/>
        </w:trPr>
        <w:tc>
          <w:tcPr>
            <w:tcW w:w="3085" w:type="dxa"/>
          </w:tcPr>
          <w:p w14:paraId="7CB25B39" w14:textId="77777777" w:rsidR="008A4099" w:rsidRDefault="006A6EE2">
            <w:pPr>
              <w:pStyle w:val="TableParagraph"/>
              <w:spacing w:before="85"/>
              <w:ind w:left="50"/>
            </w:pPr>
            <w:r>
              <w:rPr>
                <w:spacing w:val="-2"/>
              </w:rPr>
              <w:t>PHRSC</w:t>
            </w:r>
          </w:p>
        </w:tc>
        <w:tc>
          <w:tcPr>
            <w:tcW w:w="5986" w:type="dxa"/>
          </w:tcPr>
          <w:p w14:paraId="7CB25B3A" w14:textId="77777777" w:rsidR="008A4099" w:rsidRDefault="006A6EE2">
            <w:pPr>
              <w:pStyle w:val="TableParagraph"/>
              <w:spacing w:before="85"/>
              <w:ind w:left="279"/>
            </w:pPr>
            <w:r>
              <w:t>Parliamentary</w:t>
            </w:r>
            <w:r>
              <w:rPr>
                <w:spacing w:val="-7"/>
              </w:rPr>
              <w:t xml:space="preserve"> </w:t>
            </w:r>
            <w:r>
              <w:t>Human</w:t>
            </w:r>
            <w:r>
              <w:rPr>
                <w:spacing w:val="-6"/>
              </w:rPr>
              <w:t xml:space="preserve"> </w:t>
            </w:r>
            <w:r>
              <w:t>Rights</w:t>
            </w:r>
            <w:r>
              <w:rPr>
                <w:spacing w:val="-7"/>
              </w:rPr>
              <w:t xml:space="preserve"> </w:t>
            </w:r>
            <w:r>
              <w:t>Scrutiny</w:t>
            </w:r>
            <w:r>
              <w:rPr>
                <w:spacing w:val="-6"/>
              </w:rPr>
              <w:t xml:space="preserve"> </w:t>
            </w:r>
            <w:r>
              <w:t>Committee</w:t>
            </w:r>
            <w:r>
              <w:rPr>
                <w:spacing w:val="-8"/>
              </w:rPr>
              <w:t xml:space="preserve"> </w:t>
            </w:r>
            <w:r>
              <w:rPr>
                <w:spacing w:val="-2"/>
              </w:rPr>
              <w:t>(proposed)</w:t>
            </w:r>
          </w:p>
        </w:tc>
      </w:tr>
      <w:tr w:rsidR="008A4099" w14:paraId="7CB25B3E" w14:textId="77777777">
        <w:trPr>
          <w:trHeight w:val="433"/>
        </w:trPr>
        <w:tc>
          <w:tcPr>
            <w:tcW w:w="3085" w:type="dxa"/>
          </w:tcPr>
          <w:p w14:paraId="7CB25B3C" w14:textId="77777777" w:rsidR="008A4099" w:rsidRDefault="006A6EE2">
            <w:pPr>
              <w:pStyle w:val="TableParagraph"/>
              <w:spacing w:before="85"/>
              <w:ind w:left="50"/>
            </w:pPr>
            <w:r>
              <w:rPr>
                <w:spacing w:val="-2"/>
              </w:rPr>
              <w:t>PJCHR</w:t>
            </w:r>
          </w:p>
        </w:tc>
        <w:tc>
          <w:tcPr>
            <w:tcW w:w="5986" w:type="dxa"/>
          </w:tcPr>
          <w:p w14:paraId="7CB25B3D" w14:textId="77777777" w:rsidR="008A4099" w:rsidRDefault="006A6EE2">
            <w:pPr>
              <w:pStyle w:val="TableParagraph"/>
              <w:spacing w:before="85"/>
              <w:ind w:left="279"/>
            </w:pPr>
            <w:r>
              <w:t>Parliamentary</w:t>
            </w:r>
            <w:r>
              <w:rPr>
                <w:spacing w:val="-6"/>
              </w:rPr>
              <w:t xml:space="preserve"> </w:t>
            </w:r>
            <w:r>
              <w:t>Joint</w:t>
            </w:r>
            <w:r>
              <w:rPr>
                <w:spacing w:val="-4"/>
              </w:rPr>
              <w:t xml:space="preserve"> </w:t>
            </w:r>
            <w:r>
              <w:t>Committee</w:t>
            </w:r>
            <w:r>
              <w:rPr>
                <w:spacing w:val="-5"/>
              </w:rPr>
              <w:t xml:space="preserve"> </w:t>
            </w:r>
            <w:r>
              <w:t>on</w:t>
            </w:r>
            <w:r>
              <w:rPr>
                <w:spacing w:val="-5"/>
              </w:rPr>
              <w:t xml:space="preserve"> </w:t>
            </w:r>
            <w:r>
              <w:t>Human</w:t>
            </w:r>
            <w:r>
              <w:rPr>
                <w:spacing w:val="-5"/>
              </w:rPr>
              <w:t xml:space="preserve"> </w:t>
            </w:r>
            <w:r>
              <w:rPr>
                <w:spacing w:val="-2"/>
              </w:rPr>
              <w:t>Rights</w:t>
            </w:r>
          </w:p>
        </w:tc>
      </w:tr>
      <w:tr w:rsidR="008A4099" w14:paraId="7CB25B41" w14:textId="77777777">
        <w:trPr>
          <w:trHeight w:val="433"/>
        </w:trPr>
        <w:tc>
          <w:tcPr>
            <w:tcW w:w="3085" w:type="dxa"/>
          </w:tcPr>
          <w:p w14:paraId="7CB25B3F" w14:textId="77777777" w:rsidR="008A4099" w:rsidRDefault="006A6EE2">
            <w:pPr>
              <w:pStyle w:val="TableParagraph"/>
              <w:spacing w:before="86"/>
              <w:ind w:left="50"/>
            </w:pPr>
            <w:r>
              <w:rPr>
                <w:spacing w:val="-4"/>
              </w:rPr>
              <w:t>QHRC</w:t>
            </w:r>
          </w:p>
        </w:tc>
        <w:tc>
          <w:tcPr>
            <w:tcW w:w="5986" w:type="dxa"/>
          </w:tcPr>
          <w:p w14:paraId="7CB25B40" w14:textId="77777777" w:rsidR="008A4099" w:rsidRDefault="006A6EE2">
            <w:pPr>
              <w:pStyle w:val="TableParagraph"/>
              <w:spacing w:before="86"/>
              <w:ind w:left="279"/>
            </w:pPr>
            <w:r>
              <w:t>Queensland</w:t>
            </w:r>
            <w:r>
              <w:rPr>
                <w:spacing w:val="-5"/>
              </w:rPr>
              <w:t xml:space="preserve"> </w:t>
            </w:r>
            <w:r>
              <w:t>Human</w:t>
            </w:r>
            <w:r>
              <w:rPr>
                <w:spacing w:val="-6"/>
              </w:rPr>
              <w:t xml:space="preserve"> </w:t>
            </w:r>
            <w:r>
              <w:t>Rights</w:t>
            </w:r>
            <w:r>
              <w:rPr>
                <w:spacing w:val="-5"/>
              </w:rPr>
              <w:t xml:space="preserve"> </w:t>
            </w:r>
            <w:r>
              <w:rPr>
                <w:spacing w:val="-2"/>
              </w:rPr>
              <w:t>Commission</w:t>
            </w:r>
          </w:p>
        </w:tc>
      </w:tr>
      <w:tr w:rsidR="008A4099" w14:paraId="7CB25B44" w14:textId="77777777">
        <w:trPr>
          <w:trHeight w:val="433"/>
        </w:trPr>
        <w:tc>
          <w:tcPr>
            <w:tcW w:w="3085" w:type="dxa"/>
          </w:tcPr>
          <w:p w14:paraId="7CB25B42" w14:textId="77777777" w:rsidR="008A4099" w:rsidRDefault="006A6EE2">
            <w:pPr>
              <w:pStyle w:val="TableParagraph"/>
              <w:spacing w:before="85"/>
              <w:ind w:left="50"/>
            </w:pPr>
            <w:r>
              <w:t>Qld</w:t>
            </w:r>
            <w:r>
              <w:rPr>
                <w:spacing w:val="-5"/>
              </w:rPr>
              <w:t xml:space="preserve"> </w:t>
            </w:r>
            <w:r>
              <w:t>Human</w:t>
            </w:r>
            <w:r>
              <w:rPr>
                <w:spacing w:val="-3"/>
              </w:rPr>
              <w:t xml:space="preserve"> </w:t>
            </w:r>
            <w:r>
              <w:t>Rights</w:t>
            </w:r>
            <w:r>
              <w:rPr>
                <w:spacing w:val="-2"/>
              </w:rPr>
              <w:t xml:space="preserve"> </w:t>
            </w:r>
            <w:r>
              <w:rPr>
                <w:spacing w:val="-5"/>
              </w:rPr>
              <w:t>Act</w:t>
            </w:r>
          </w:p>
        </w:tc>
        <w:tc>
          <w:tcPr>
            <w:tcW w:w="5986" w:type="dxa"/>
          </w:tcPr>
          <w:p w14:paraId="7CB25B43" w14:textId="77777777" w:rsidR="008A4099" w:rsidRDefault="006A6EE2">
            <w:pPr>
              <w:pStyle w:val="TableParagraph"/>
              <w:spacing w:before="85"/>
              <w:ind w:left="279"/>
            </w:pPr>
            <w:r>
              <w:rPr>
                <w:i/>
              </w:rPr>
              <w:t>Human</w:t>
            </w:r>
            <w:r>
              <w:rPr>
                <w:i/>
                <w:spacing w:val="-5"/>
              </w:rPr>
              <w:t xml:space="preserve"> </w:t>
            </w:r>
            <w:r>
              <w:rPr>
                <w:i/>
              </w:rPr>
              <w:t>Rights</w:t>
            </w:r>
            <w:r>
              <w:rPr>
                <w:i/>
                <w:spacing w:val="-3"/>
              </w:rPr>
              <w:t xml:space="preserve"> </w:t>
            </w:r>
            <w:r>
              <w:rPr>
                <w:i/>
              </w:rPr>
              <w:t>Act</w:t>
            </w:r>
            <w:r>
              <w:rPr>
                <w:i/>
                <w:spacing w:val="-2"/>
              </w:rPr>
              <w:t xml:space="preserve"> </w:t>
            </w:r>
            <w:r>
              <w:rPr>
                <w:i/>
              </w:rPr>
              <w:t>2019</w:t>
            </w:r>
            <w:r>
              <w:rPr>
                <w:i/>
                <w:spacing w:val="-1"/>
              </w:rPr>
              <w:t xml:space="preserve"> </w:t>
            </w:r>
            <w:r>
              <w:rPr>
                <w:spacing w:val="-2"/>
              </w:rPr>
              <w:t>(Qld)</w:t>
            </w:r>
          </w:p>
        </w:tc>
      </w:tr>
      <w:tr w:rsidR="008A4099" w14:paraId="7CB25B47" w14:textId="77777777">
        <w:trPr>
          <w:trHeight w:val="433"/>
        </w:trPr>
        <w:tc>
          <w:tcPr>
            <w:tcW w:w="3085" w:type="dxa"/>
          </w:tcPr>
          <w:p w14:paraId="7CB25B45" w14:textId="77777777" w:rsidR="008A4099" w:rsidRDefault="006A6EE2">
            <w:pPr>
              <w:pStyle w:val="TableParagraph"/>
              <w:spacing w:before="86"/>
              <w:ind w:left="50"/>
            </w:pPr>
            <w:r>
              <w:t>Reproductive</w:t>
            </w:r>
            <w:r>
              <w:rPr>
                <w:spacing w:val="-5"/>
              </w:rPr>
              <w:t xml:space="preserve"> </w:t>
            </w:r>
            <w:r>
              <w:t>Health</w:t>
            </w:r>
            <w:r>
              <w:rPr>
                <w:spacing w:val="-5"/>
              </w:rPr>
              <w:t xml:space="preserve"> Act</w:t>
            </w:r>
          </w:p>
        </w:tc>
        <w:tc>
          <w:tcPr>
            <w:tcW w:w="5986" w:type="dxa"/>
          </w:tcPr>
          <w:p w14:paraId="7CB25B46" w14:textId="77777777" w:rsidR="008A4099" w:rsidRDefault="006A6EE2">
            <w:pPr>
              <w:pStyle w:val="TableParagraph"/>
              <w:spacing w:before="86"/>
              <w:ind w:left="279"/>
            </w:pPr>
            <w:r>
              <w:rPr>
                <w:i/>
              </w:rPr>
              <w:t>Reproductive</w:t>
            </w:r>
            <w:r>
              <w:rPr>
                <w:i/>
                <w:spacing w:val="-4"/>
              </w:rPr>
              <w:t xml:space="preserve"> </w:t>
            </w:r>
            <w:r>
              <w:rPr>
                <w:i/>
              </w:rPr>
              <w:t>Health</w:t>
            </w:r>
            <w:r>
              <w:rPr>
                <w:i/>
                <w:spacing w:val="-4"/>
              </w:rPr>
              <w:t xml:space="preserve"> </w:t>
            </w:r>
            <w:r>
              <w:rPr>
                <w:i/>
              </w:rPr>
              <w:t>(Access</w:t>
            </w:r>
            <w:r>
              <w:rPr>
                <w:i/>
                <w:spacing w:val="-3"/>
              </w:rPr>
              <w:t xml:space="preserve"> </w:t>
            </w:r>
            <w:r>
              <w:rPr>
                <w:i/>
              </w:rPr>
              <w:t>to</w:t>
            </w:r>
            <w:r>
              <w:rPr>
                <w:i/>
                <w:spacing w:val="-7"/>
              </w:rPr>
              <w:t xml:space="preserve"> </w:t>
            </w:r>
            <w:r>
              <w:rPr>
                <w:i/>
              </w:rPr>
              <w:t>Terminations)</w:t>
            </w:r>
            <w:r>
              <w:rPr>
                <w:i/>
                <w:spacing w:val="-3"/>
              </w:rPr>
              <w:t xml:space="preserve"> </w:t>
            </w:r>
            <w:r>
              <w:rPr>
                <w:i/>
              </w:rPr>
              <w:t>Act</w:t>
            </w:r>
            <w:r>
              <w:rPr>
                <w:i/>
                <w:spacing w:val="-3"/>
              </w:rPr>
              <w:t xml:space="preserve"> </w:t>
            </w:r>
            <w:r>
              <w:rPr>
                <w:i/>
              </w:rPr>
              <w:t>2013</w:t>
            </w:r>
            <w:r>
              <w:rPr>
                <w:i/>
                <w:spacing w:val="-1"/>
              </w:rPr>
              <w:t xml:space="preserve"> </w:t>
            </w:r>
            <w:r>
              <w:rPr>
                <w:spacing w:val="-2"/>
              </w:rPr>
              <w:t>(Tas)</w:t>
            </w:r>
          </w:p>
        </w:tc>
      </w:tr>
      <w:tr w:rsidR="008A4099" w14:paraId="7CB25B4A" w14:textId="77777777">
        <w:trPr>
          <w:trHeight w:val="430"/>
        </w:trPr>
        <w:tc>
          <w:tcPr>
            <w:tcW w:w="3085" w:type="dxa"/>
          </w:tcPr>
          <w:p w14:paraId="7CB25B48" w14:textId="77777777" w:rsidR="008A4099" w:rsidRDefault="006A6EE2">
            <w:pPr>
              <w:pStyle w:val="TableParagraph"/>
              <w:spacing w:before="85"/>
              <w:ind w:left="50"/>
            </w:pPr>
            <w:r>
              <w:rPr>
                <w:spacing w:val="-4"/>
              </w:rPr>
              <w:t>SARC</w:t>
            </w:r>
          </w:p>
        </w:tc>
        <w:tc>
          <w:tcPr>
            <w:tcW w:w="5986" w:type="dxa"/>
          </w:tcPr>
          <w:p w14:paraId="7CB25B49" w14:textId="77777777" w:rsidR="008A4099" w:rsidRDefault="006A6EE2">
            <w:pPr>
              <w:pStyle w:val="TableParagraph"/>
              <w:spacing w:before="85"/>
              <w:ind w:left="279"/>
            </w:pPr>
            <w:r>
              <w:t>Scrutiny</w:t>
            </w:r>
            <w:r>
              <w:rPr>
                <w:spacing w:val="-6"/>
              </w:rPr>
              <w:t xml:space="preserve"> </w:t>
            </w:r>
            <w:r>
              <w:t>of</w:t>
            </w:r>
            <w:r>
              <w:rPr>
                <w:spacing w:val="-3"/>
              </w:rPr>
              <w:t xml:space="preserve"> </w:t>
            </w:r>
            <w:r>
              <w:t>Acts</w:t>
            </w:r>
            <w:r>
              <w:rPr>
                <w:spacing w:val="-3"/>
              </w:rPr>
              <w:t xml:space="preserve"> </w:t>
            </w:r>
            <w:r>
              <w:t>and</w:t>
            </w:r>
            <w:r>
              <w:rPr>
                <w:spacing w:val="-3"/>
              </w:rPr>
              <w:t xml:space="preserve"> </w:t>
            </w:r>
            <w:r>
              <w:t>Regulations</w:t>
            </w:r>
            <w:r>
              <w:rPr>
                <w:spacing w:val="-2"/>
              </w:rPr>
              <w:t xml:space="preserve"> Committee</w:t>
            </w:r>
          </w:p>
        </w:tc>
      </w:tr>
      <w:tr w:rsidR="008A4099" w14:paraId="7CB25B4E" w14:textId="77777777">
        <w:trPr>
          <w:trHeight w:val="1604"/>
        </w:trPr>
        <w:tc>
          <w:tcPr>
            <w:tcW w:w="3085" w:type="dxa"/>
          </w:tcPr>
          <w:p w14:paraId="7CB25B4B" w14:textId="77777777" w:rsidR="008A4099" w:rsidRDefault="006A6EE2">
            <w:pPr>
              <w:pStyle w:val="TableParagraph"/>
              <w:spacing w:before="84"/>
              <w:ind w:left="50" w:right="276"/>
              <w:jc w:val="both"/>
            </w:pPr>
            <w:r>
              <w:t>Tasmanian</w:t>
            </w:r>
            <w:r>
              <w:rPr>
                <w:spacing w:val="-14"/>
              </w:rPr>
              <w:t xml:space="preserve"> </w:t>
            </w:r>
            <w:r>
              <w:t>Charter,</w:t>
            </w:r>
            <w:r>
              <w:rPr>
                <w:spacing w:val="-14"/>
              </w:rPr>
              <w:t xml:space="preserve"> </w:t>
            </w:r>
            <w:r>
              <w:t>Tasmanian Human</w:t>
            </w:r>
            <w:r>
              <w:rPr>
                <w:spacing w:val="-3"/>
              </w:rPr>
              <w:t xml:space="preserve"> </w:t>
            </w:r>
            <w:r>
              <w:t>Rights</w:t>
            </w:r>
            <w:r>
              <w:rPr>
                <w:spacing w:val="-3"/>
              </w:rPr>
              <w:t xml:space="preserve"> </w:t>
            </w:r>
            <w:r>
              <w:t>Act,</w:t>
            </w:r>
            <w:r>
              <w:rPr>
                <w:spacing w:val="-3"/>
              </w:rPr>
              <w:t xml:space="preserve"> </w:t>
            </w:r>
            <w:r>
              <w:t>Tasmanian human rights enactment</w:t>
            </w:r>
          </w:p>
        </w:tc>
        <w:tc>
          <w:tcPr>
            <w:tcW w:w="5986" w:type="dxa"/>
          </w:tcPr>
          <w:p w14:paraId="7CB25B4C" w14:textId="77777777" w:rsidR="008A4099" w:rsidRDefault="006A6EE2">
            <w:pPr>
              <w:pStyle w:val="TableParagraph"/>
              <w:spacing w:before="84"/>
              <w:ind w:left="279"/>
            </w:pPr>
            <w:r>
              <w:t>These</w:t>
            </w:r>
            <w:r>
              <w:rPr>
                <w:spacing w:val="-5"/>
              </w:rPr>
              <w:t xml:space="preserve"> </w:t>
            </w:r>
            <w:r>
              <w:t>terms</w:t>
            </w:r>
            <w:r>
              <w:rPr>
                <w:spacing w:val="-3"/>
              </w:rPr>
              <w:t xml:space="preserve"> </w:t>
            </w:r>
            <w:r>
              <w:t>are</w:t>
            </w:r>
            <w:r>
              <w:rPr>
                <w:spacing w:val="-3"/>
              </w:rPr>
              <w:t xml:space="preserve"> </w:t>
            </w:r>
            <w:r>
              <w:t>used</w:t>
            </w:r>
            <w:r>
              <w:rPr>
                <w:spacing w:val="-2"/>
              </w:rPr>
              <w:t xml:space="preserve"> </w:t>
            </w:r>
            <w:r>
              <w:t>interchangeably</w:t>
            </w:r>
            <w:r>
              <w:rPr>
                <w:spacing w:val="-6"/>
              </w:rPr>
              <w:t xml:space="preserve"> </w:t>
            </w:r>
            <w:r>
              <w:t>in</w:t>
            </w:r>
            <w:r>
              <w:rPr>
                <w:spacing w:val="-6"/>
              </w:rPr>
              <w:t xml:space="preserve"> </w:t>
            </w:r>
            <w:r>
              <w:t>this</w:t>
            </w:r>
            <w:r>
              <w:rPr>
                <w:spacing w:val="-3"/>
              </w:rPr>
              <w:t xml:space="preserve"> </w:t>
            </w:r>
            <w:r>
              <w:t>Report</w:t>
            </w:r>
            <w:r>
              <w:rPr>
                <w:spacing w:val="-5"/>
              </w:rPr>
              <w:t xml:space="preserve"> </w:t>
            </w:r>
            <w:r>
              <w:t>and</w:t>
            </w:r>
            <w:r>
              <w:rPr>
                <w:spacing w:val="-3"/>
              </w:rPr>
              <w:t xml:space="preserve"> </w:t>
            </w:r>
            <w:r>
              <w:t>so</w:t>
            </w:r>
            <w:r>
              <w:rPr>
                <w:spacing w:val="-3"/>
              </w:rPr>
              <w:t xml:space="preserve"> </w:t>
            </w:r>
            <w:r>
              <w:t>have the same meaning here. The TLRI 2007 Final Report used the term ‘Charter’ to cover all these terms. Because two Australian jurisdictions (the ACT and Queensland) now have Human</w:t>
            </w:r>
          </w:p>
          <w:p w14:paraId="7CB25B4D" w14:textId="77777777" w:rsidR="008A4099" w:rsidRDefault="006A6EE2">
            <w:pPr>
              <w:pStyle w:val="TableParagraph"/>
              <w:spacing w:line="254" w:lineRule="exact"/>
              <w:ind w:left="279"/>
            </w:pPr>
            <w:r>
              <w:t>Rights</w:t>
            </w:r>
            <w:r>
              <w:rPr>
                <w:spacing w:val="-4"/>
              </w:rPr>
              <w:t xml:space="preserve"> </w:t>
            </w:r>
            <w:r>
              <w:t>Acts,</w:t>
            </w:r>
            <w:r>
              <w:rPr>
                <w:spacing w:val="-4"/>
              </w:rPr>
              <w:t xml:space="preserve"> </w:t>
            </w:r>
            <w:r>
              <w:t>this</w:t>
            </w:r>
            <w:r>
              <w:rPr>
                <w:spacing w:val="-6"/>
              </w:rPr>
              <w:t xml:space="preserve"> </w:t>
            </w:r>
            <w:r>
              <w:t>nomenclature</w:t>
            </w:r>
            <w:r>
              <w:rPr>
                <w:spacing w:val="-4"/>
              </w:rPr>
              <w:t xml:space="preserve"> </w:t>
            </w:r>
            <w:r>
              <w:t>has</w:t>
            </w:r>
            <w:r>
              <w:rPr>
                <w:spacing w:val="-4"/>
              </w:rPr>
              <w:t xml:space="preserve"> </w:t>
            </w:r>
            <w:r>
              <w:t>been</w:t>
            </w:r>
            <w:r>
              <w:rPr>
                <w:spacing w:val="-4"/>
              </w:rPr>
              <w:t xml:space="preserve"> </w:t>
            </w:r>
            <w:r>
              <w:t>used</w:t>
            </w:r>
            <w:r>
              <w:rPr>
                <w:spacing w:val="-6"/>
              </w:rPr>
              <w:t xml:space="preserve"> </w:t>
            </w:r>
            <w:r>
              <w:t>more</w:t>
            </w:r>
            <w:r>
              <w:rPr>
                <w:spacing w:val="-4"/>
              </w:rPr>
              <w:t xml:space="preserve"> </w:t>
            </w:r>
            <w:r>
              <w:t>extensively here than in the 2007 Final Report</w:t>
            </w:r>
          </w:p>
        </w:tc>
      </w:tr>
    </w:tbl>
    <w:p w14:paraId="7CB25B4F" w14:textId="77777777" w:rsidR="008A4099" w:rsidRDefault="008A4099">
      <w:pPr>
        <w:spacing w:line="254" w:lineRule="exact"/>
        <w:sectPr w:rsidR="008A4099" w:rsidSect="00D43B2D">
          <w:pgSz w:w="11910" w:h="16840"/>
          <w:pgMar w:top="1800" w:right="760" w:bottom="940" w:left="1280" w:header="1454" w:footer="753" w:gutter="0"/>
          <w:cols w:space="720"/>
        </w:sectPr>
      </w:pPr>
    </w:p>
    <w:tbl>
      <w:tblPr>
        <w:tblW w:w="0" w:type="auto"/>
        <w:tblInd w:w="117" w:type="dxa"/>
        <w:tblLayout w:type="fixed"/>
        <w:tblCellMar>
          <w:left w:w="0" w:type="dxa"/>
          <w:right w:w="0" w:type="dxa"/>
        </w:tblCellMar>
        <w:tblLook w:val="01E0" w:firstRow="1" w:lastRow="1" w:firstColumn="1" w:lastColumn="1" w:noHBand="0" w:noVBand="0"/>
      </w:tblPr>
      <w:tblGrid>
        <w:gridCol w:w="2890"/>
        <w:gridCol w:w="6126"/>
      </w:tblGrid>
      <w:tr w:rsidR="008A4099" w14:paraId="7CB25B5A" w14:textId="77777777">
        <w:trPr>
          <w:trHeight w:val="338"/>
        </w:trPr>
        <w:tc>
          <w:tcPr>
            <w:tcW w:w="2890" w:type="dxa"/>
          </w:tcPr>
          <w:p w14:paraId="7CB25B50" w14:textId="77777777" w:rsidR="008A4099" w:rsidRDefault="006A6EE2">
            <w:pPr>
              <w:pStyle w:val="TableParagraph"/>
              <w:spacing w:line="244" w:lineRule="exact"/>
              <w:ind w:left="50"/>
            </w:pPr>
            <w:r>
              <w:rPr>
                <w:spacing w:val="-2"/>
              </w:rPr>
              <w:lastRenderedPageBreak/>
              <w:t>TasCOSS</w:t>
            </w:r>
          </w:p>
        </w:tc>
        <w:tc>
          <w:tcPr>
            <w:tcW w:w="6126" w:type="dxa"/>
            <w:vMerge w:val="restart"/>
          </w:tcPr>
          <w:p w14:paraId="7CB25B51" w14:textId="77777777" w:rsidR="008A4099" w:rsidRDefault="006A6EE2">
            <w:pPr>
              <w:pStyle w:val="TableParagraph"/>
              <w:spacing w:line="244" w:lineRule="exact"/>
              <w:ind w:left="474"/>
            </w:pPr>
            <w:r>
              <w:t>Tasmanian Council</w:t>
            </w:r>
            <w:r>
              <w:rPr>
                <w:spacing w:val="1"/>
              </w:rPr>
              <w:t xml:space="preserve"> </w:t>
            </w:r>
            <w:r>
              <w:t>of Social</w:t>
            </w:r>
            <w:r>
              <w:rPr>
                <w:spacing w:val="1"/>
              </w:rPr>
              <w:t xml:space="preserve"> </w:t>
            </w:r>
            <w:r>
              <w:rPr>
                <w:spacing w:val="-2"/>
              </w:rPr>
              <w:t>Service</w:t>
            </w:r>
          </w:p>
          <w:p w14:paraId="7CB25B52" w14:textId="77777777" w:rsidR="008A4099" w:rsidRDefault="006A6EE2">
            <w:pPr>
              <w:pStyle w:val="TableParagraph"/>
              <w:spacing w:before="176" w:line="244" w:lineRule="auto"/>
              <w:ind w:left="474"/>
            </w:pPr>
            <w:r>
              <w:rPr>
                <w:i/>
              </w:rPr>
              <w:t>COVID-19</w:t>
            </w:r>
            <w:r>
              <w:rPr>
                <w:i/>
                <w:spacing w:val="-8"/>
              </w:rPr>
              <w:t xml:space="preserve"> </w:t>
            </w:r>
            <w:r>
              <w:rPr>
                <w:i/>
              </w:rPr>
              <w:t>Disease</w:t>
            </w:r>
            <w:r>
              <w:rPr>
                <w:i/>
                <w:spacing w:val="-8"/>
              </w:rPr>
              <w:t xml:space="preserve"> </w:t>
            </w:r>
            <w:r>
              <w:rPr>
                <w:i/>
              </w:rPr>
              <w:t>Emergency</w:t>
            </w:r>
            <w:r>
              <w:rPr>
                <w:i/>
                <w:spacing w:val="-8"/>
              </w:rPr>
              <w:t xml:space="preserve"> </w:t>
            </w:r>
            <w:r>
              <w:rPr>
                <w:i/>
              </w:rPr>
              <w:t>(Miscellaneous</w:t>
            </w:r>
            <w:r>
              <w:rPr>
                <w:i/>
                <w:spacing w:val="-8"/>
              </w:rPr>
              <w:t xml:space="preserve"> </w:t>
            </w:r>
            <w:r>
              <w:rPr>
                <w:i/>
              </w:rPr>
              <w:t>Provisions)</w:t>
            </w:r>
            <w:r>
              <w:rPr>
                <w:i/>
                <w:spacing w:val="-7"/>
              </w:rPr>
              <w:t xml:space="preserve"> </w:t>
            </w:r>
            <w:r>
              <w:rPr>
                <w:i/>
              </w:rPr>
              <w:t xml:space="preserve">Act 2020 </w:t>
            </w:r>
            <w:r>
              <w:t>(Tas)</w:t>
            </w:r>
          </w:p>
          <w:p w14:paraId="7CB25B53" w14:textId="77777777" w:rsidR="008A4099" w:rsidRDefault="006A6EE2">
            <w:pPr>
              <w:pStyle w:val="TableParagraph"/>
              <w:spacing w:before="171" w:line="244" w:lineRule="auto"/>
              <w:ind w:left="474"/>
            </w:pPr>
            <w:r>
              <w:rPr>
                <w:i/>
              </w:rPr>
              <w:t>COVID-19</w:t>
            </w:r>
            <w:r>
              <w:rPr>
                <w:i/>
                <w:spacing w:val="-8"/>
              </w:rPr>
              <w:t xml:space="preserve"> </w:t>
            </w:r>
            <w:r>
              <w:rPr>
                <w:i/>
              </w:rPr>
              <w:t>Disease</w:t>
            </w:r>
            <w:r>
              <w:rPr>
                <w:i/>
                <w:spacing w:val="-8"/>
              </w:rPr>
              <w:t xml:space="preserve"> </w:t>
            </w:r>
            <w:r>
              <w:rPr>
                <w:i/>
              </w:rPr>
              <w:t>Emergency</w:t>
            </w:r>
            <w:r>
              <w:rPr>
                <w:i/>
                <w:spacing w:val="-8"/>
              </w:rPr>
              <w:t xml:space="preserve"> </w:t>
            </w:r>
            <w:r>
              <w:rPr>
                <w:i/>
              </w:rPr>
              <w:t>(Miscellaneous</w:t>
            </w:r>
            <w:r>
              <w:rPr>
                <w:i/>
                <w:spacing w:val="-8"/>
              </w:rPr>
              <w:t xml:space="preserve"> </w:t>
            </w:r>
            <w:r>
              <w:rPr>
                <w:i/>
              </w:rPr>
              <w:t>Provisions)</w:t>
            </w:r>
            <w:r>
              <w:rPr>
                <w:i/>
                <w:spacing w:val="-8"/>
              </w:rPr>
              <w:t xml:space="preserve"> </w:t>
            </w:r>
            <w:r>
              <w:rPr>
                <w:i/>
              </w:rPr>
              <w:t xml:space="preserve">Bill 2020 </w:t>
            </w:r>
            <w:r>
              <w:t>(Tas)</w:t>
            </w:r>
          </w:p>
          <w:p w14:paraId="7CB25B54" w14:textId="77777777" w:rsidR="008A4099" w:rsidRDefault="006A6EE2">
            <w:pPr>
              <w:pStyle w:val="TableParagraph"/>
              <w:spacing w:before="172" w:line="410" w:lineRule="auto"/>
              <w:ind w:left="474" w:right="686"/>
            </w:pPr>
            <w:r>
              <w:t>Tasmanian Civil and Administrative Tribunal Tasmanian</w:t>
            </w:r>
            <w:r>
              <w:rPr>
                <w:spacing w:val="-10"/>
              </w:rPr>
              <w:t xml:space="preserve"> </w:t>
            </w:r>
            <w:r>
              <w:t>Human</w:t>
            </w:r>
            <w:r>
              <w:rPr>
                <w:spacing w:val="-10"/>
              </w:rPr>
              <w:t xml:space="preserve"> </w:t>
            </w:r>
            <w:r>
              <w:t>Rights</w:t>
            </w:r>
            <w:r>
              <w:rPr>
                <w:spacing w:val="-11"/>
              </w:rPr>
              <w:t xml:space="preserve"> </w:t>
            </w:r>
            <w:r>
              <w:t>Campaign</w:t>
            </w:r>
            <w:r>
              <w:rPr>
                <w:spacing w:val="-10"/>
              </w:rPr>
              <w:t xml:space="preserve"> </w:t>
            </w:r>
            <w:r>
              <w:t>Committee Tasmania Law Reform Institute</w:t>
            </w:r>
          </w:p>
          <w:p w14:paraId="7CB25B55" w14:textId="77777777" w:rsidR="008A4099" w:rsidRDefault="006A6EE2">
            <w:pPr>
              <w:pStyle w:val="TableParagraph"/>
              <w:spacing w:line="244" w:lineRule="auto"/>
              <w:ind w:left="474"/>
            </w:pPr>
            <w:r>
              <w:t>Tasmania</w:t>
            </w:r>
            <w:r>
              <w:rPr>
                <w:spacing w:val="-5"/>
              </w:rPr>
              <w:t xml:space="preserve"> </w:t>
            </w:r>
            <w:r>
              <w:t>Law</w:t>
            </w:r>
            <w:r>
              <w:rPr>
                <w:spacing w:val="-6"/>
              </w:rPr>
              <w:t xml:space="preserve"> </w:t>
            </w:r>
            <w:r>
              <w:t>Reform</w:t>
            </w:r>
            <w:r>
              <w:rPr>
                <w:spacing w:val="-4"/>
              </w:rPr>
              <w:t xml:space="preserve"> </w:t>
            </w:r>
            <w:r>
              <w:t>Institute,</w:t>
            </w:r>
            <w:r>
              <w:rPr>
                <w:spacing w:val="-4"/>
              </w:rPr>
              <w:t xml:space="preserve"> </w:t>
            </w:r>
            <w:r>
              <w:rPr>
                <w:i/>
              </w:rPr>
              <w:t>A</w:t>
            </w:r>
            <w:r>
              <w:rPr>
                <w:i/>
                <w:spacing w:val="-5"/>
              </w:rPr>
              <w:t xml:space="preserve"> </w:t>
            </w:r>
            <w:r>
              <w:rPr>
                <w:i/>
              </w:rPr>
              <w:t>Charter</w:t>
            </w:r>
            <w:r>
              <w:rPr>
                <w:i/>
                <w:spacing w:val="-5"/>
              </w:rPr>
              <w:t xml:space="preserve"> </w:t>
            </w:r>
            <w:r>
              <w:rPr>
                <w:i/>
              </w:rPr>
              <w:t>of</w:t>
            </w:r>
            <w:r>
              <w:rPr>
                <w:i/>
                <w:spacing w:val="-4"/>
              </w:rPr>
              <w:t xml:space="preserve"> </w:t>
            </w:r>
            <w:r>
              <w:rPr>
                <w:i/>
              </w:rPr>
              <w:t>Rights</w:t>
            </w:r>
            <w:r>
              <w:rPr>
                <w:i/>
                <w:spacing w:val="-5"/>
              </w:rPr>
              <w:t xml:space="preserve"> </w:t>
            </w:r>
            <w:r>
              <w:rPr>
                <w:i/>
              </w:rPr>
              <w:t xml:space="preserve">for Tasmania: Final Report </w:t>
            </w:r>
            <w:r>
              <w:t>(Report No 10, 2007)</w:t>
            </w:r>
          </w:p>
          <w:p w14:paraId="7CB25B56" w14:textId="77777777" w:rsidR="008A4099" w:rsidRDefault="006A6EE2">
            <w:pPr>
              <w:pStyle w:val="TableParagraph"/>
              <w:spacing w:before="172"/>
              <w:ind w:left="474"/>
            </w:pPr>
            <w:r>
              <w:t>Victorian</w:t>
            </w:r>
            <w:r>
              <w:rPr>
                <w:spacing w:val="-6"/>
              </w:rPr>
              <w:t xml:space="preserve"> </w:t>
            </w:r>
            <w:r>
              <w:t>Civil</w:t>
            </w:r>
            <w:r>
              <w:rPr>
                <w:spacing w:val="-6"/>
              </w:rPr>
              <w:t xml:space="preserve"> </w:t>
            </w:r>
            <w:r>
              <w:t>and</w:t>
            </w:r>
            <w:r>
              <w:rPr>
                <w:spacing w:val="-5"/>
              </w:rPr>
              <w:t xml:space="preserve"> </w:t>
            </w:r>
            <w:r>
              <w:t>Administrative</w:t>
            </w:r>
            <w:r>
              <w:rPr>
                <w:spacing w:val="-5"/>
              </w:rPr>
              <w:t xml:space="preserve"> </w:t>
            </w:r>
            <w:r>
              <w:rPr>
                <w:spacing w:val="-2"/>
              </w:rPr>
              <w:t>Tribunal</w:t>
            </w:r>
          </w:p>
          <w:p w14:paraId="7CB25B57" w14:textId="77777777" w:rsidR="008A4099" w:rsidRDefault="006A6EE2">
            <w:pPr>
              <w:pStyle w:val="TableParagraph"/>
              <w:spacing w:before="179" w:line="410" w:lineRule="auto"/>
              <w:ind w:left="474" w:right="209"/>
            </w:pPr>
            <w:r>
              <w:t>Victorian Equal Opportunity and Human Rights</w:t>
            </w:r>
            <w:r>
              <w:rPr>
                <w:spacing w:val="-1"/>
              </w:rPr>
              <w:t xml:space="preserve"> </w:t>
            </w:r>
            <w:r>
              <w:t xml:space="preserve">Commission </w:t>
            </w:r>
            <w:r>
              <w:rPr>
                <w:i/>
              </w:rPr>
              <w:t xml:space="preserve">COVID-19 Omnibus (Emergency Measures) Act 2020 </w:t>
            </w:r>
            <w:r>
              <w:t xml:space="preserve">(Vic) </w:t>
            </w:r>
            <w:r>
              <w:rPr>
                <w:i/>
              </w:rPr>
              <w:t xml:space="preserve">COVID-19 Omnibus (Emergency Measures) Bill 2020 </w:t>
            </w:r>
            <w:r>
              <w:t xml:space="preserve">(Vic) </w:t>
            </w:r>
            <w:r>
              <w:rPr>
                <w:i/>
              </w:rPr>
              <w:t>Charter</w:t>
            </w:r>
            <w:r>
              <w:rPr>
                <w:i/>
                <w:spacing w:val="-5"/>
              </w:rPr>
              <w:t xml:space="preserve"> </w:t>
            </w:r>
            <w:r>
              <w:rPr>
                <w:i/>
              </w:rPr>
              <w:t>of</w:t>
            </w:r>
            <w:r>
              <w:rPr>
                <w:i/>
                <w:spacing w:val="-6"/>
              </w:rPr>
              <w:t xml:space="preserve"> </w:t>
            </w:r>
            <w:r>
              <w:rPr>
                <w:i/>
              </w:rPr>
              <w:t>Human</w:t>
            </w:r>
            <w:r>
              <w:rPr>
                <w:i/>
                <w:spacing w:val="-5"/>
              </w:rPr>
              <w:t xml:space="preserve"> </w:t>
            </w:r>
            <w:r>
              <w:rPr>
                <w:i/>
              </w:rPr>
              <w:t>Rights</w:t>
            </w:r>
            <w:r>
              <w:rPr>
                <w:i/>
                <w:spacing w:val="-7"/>
              </w:rPr>
              <w:t xml:space="preserve"> </w:t>
            </w:r>
            <w:r>
              <w:rPr>
                <w:i/>
              </w:rPr>
              <w:t>and</w:t>
            </w:r>
            <w:r>
              <w:rPr>
                <w:i/>
                <w:spacing w:val="-5"/>
              </w:rPr>
              <w:t xml:space="preserve"> </w:t>
            </w:r>
            <w:r>
              <w:rPr>
                <w:i/>
              </w:rPr>
              <w:t>Responsibilities</w:t>
            </w:r>
            <w:r>
              <w:rPr>
                <w:i/>
                <w:spacing w:val="-5"/>
              </w:rPr>
              <w:t xml:space="preserve"> </w:t>
            </w:r>
            <w:r>
              <w:rPr>
                <w:i/>
              </w:rPr>
              <w:t>Act</w:t>
            </w:r>
            <w:r>
              <w:rPr>
                <w:i/>
                <w:spacing w:val="-4"/>
              </w:rPr>
              <w:t xml:space="preserve"> </w:t>
            </w:r>
            <w:r>
              <w:rPr>
                <w:i/>
              </w:rPr>
              <w:t>2006</w:t>
            </w:r>
            <w:r>
              <w:rPr>
                <w:i/>
                <w:spacing w:val="-3"/>
              </w:rPr>
              <w:t xml:space="preserve"> </w:t>
            </w:r>
            <w:r>
              <w:t>(Vic)</w:t>
            </w:r>
          </w:p>
          <w:p w14:paraId="7CB25B58" w14:textId="77777777" w:rsidR="008A4099" w:rsidRDefault="006A6EE2">
            <w:pPr>
              <w:pStyle w:val="TableParagraph"/>
              <w:spacing w:line="244" w:lineRule="auto"/>
              <w:ind w:left="474"/>
            </w:pPr>
            <w:r>
              <w:rPr>
                <w:i/>
              </w:rPr>
              <w:t>Public</w:t>
            </w:r>
            <w:r>
              <w:rPr>
                <w:i/>
                <w:spacing w:val="-6"/>
              </w:rPr>
              <w:t xml:space="preserve"> </w:t>
            </w:r>
            <w:r>
              <w:rPr>
                <w:i/>
              </w:rPr>
              <w:t>Health</w:t>
            </w:r>
            <w:r>
              <w:rPr>
                <w:i/>
                <w:spacing w:val="-9"/>
              </w:rPr>
              <w:t xml:space="preserve"> </w:t>
            </w:r>
            <w:r>
              <w:rPr>
                <w:i/>
              </w:rPr>
              <w:t>and</w:t>
            </w:r>
            <w:r>
              <w:rPr>
                <w:i/>
                <w:spacing w:val="-9"/>
              </w:rPr>
              <w:t xml:space="preserve"> </w:t>
            </w:r>
            <w:r>
              <w:rPr>
                <w:i/>
              </w:rPr>
              <w:t>Wellbeing</w:t>
            </w:r>
            <w:r>
              <w:rPr>
                <w:i/>
                <w:spacing w:val="-6"/>
              </w:rPr>
              <w:t xml:space="preserve"> </w:t>
            </w:r>
            <w:r>
              <w:rPr>
                <w:i/>
              </w:rPr>
              <w:t>Amendment</w:t>
            </w:r>
            <w:r>
              <w:rPr>
                <w:i/>
                <w:spacing w:val="-8"/>
              </w:rPr>
              <w:t xml:space="preserve"> </w:t>
            </w:r>
            <w:r>
              <w:rPr>
                <w:i/>
              </w:rPr>
              <w:t xml:space="preserve">(Pandemic Management) Act 2021 </w:t>
            </w:r>
            <w:r>
              <w:t>(Vic)</w:t>
            </w:r>
          </w:p>
          <w:p w14:paraId="7CB25B59" w14:textId="77777777" w:rsidR="008A4099" w:rsidRDefault="006A6EE2">
            <w:pPr>
              <w:pStyle w:val="TableParagraph"/>
              <w:spacing w:before="152" w:line="250" w:lineRule="atLeast"/>
              <w:ind w:left="474"/>
            </w:pPr>
            <w:r>
              <w:rPr>
                <w:i/>
              </w:rPr>
              <w:t>Public</w:t>
            </w:r>
            <w:r>
              <w:rPr>
                <w:i/>
                <w:spacing w:val="-4"/>
              </w:rPr>
              <w:t xml:space="preserve"> </w:t>
            </w:r>
            <w:r>
              <w:rPr>
                <w:i/>
              </w:rPr>
              <w:t>Health</w:t>
            </w:r>
            <w:r>
              <w:rPr>
                <w:i/>
                <w:spacing w:val="-7"/>
              </w:rPr>
              <w:t xml:space="preserve"> </w:t>
            </w:r>
            <w:r>
              <w:rPr>
                <w:i/>
              </w:rPr>
              <w:t>and</w:t>
            </w:r>
            <w:r>
              <w:rPr>
                <w:i/>
                <w:spacing w:val="-7"/>
              </w:rPr>
              <w:t xml:space="preserve"> </w:t>
            </w:r>
            <w:r>
              <w:rPr>
                <w:i/>
              </w:rPr>
              <w:t>Wellbeing</w:t>
            </w:r>
            <w:r>
              <w:rPr>
                <w:i/>
                <w:spacing w:val="-4"/>
              </w:rPr>
              <w:t xml:space="preserve"> </w:t>
            </w:r>
            <w:r>
              <w:rPr>
                <w:i/>
              </w:rPr>
              <w:t>Amendment</w:t>
            </w:r>
            <w:r>
              <w:rPr>
                <w:i/>
                <w:spacing w:val="-7"/>
              </w:rPr>
              <w:t xml:space="preserve"> </w:t>
            </w:r>
            <w:r>
              <w:rPr>
                <w:i/>
              </w:rPr>
              <w:t xml:space="preserve">(Pandemic Management) Bill 2021 </w:t>
            </w:r>
            <w:r>
              <w:t>(Vic)</w:t>
            </w:r>
          </w:p>
        </w:tc>
      </w:tr>
      <w:tr w:rsidR="008A4099" w14:paraId="7CB25B5D" w14:textId="77777777">
        <w:trPr>
          <w:trHeight w:val="559"/>
        </w:trPr>
        <w:tc>
          <w:tcPr>
            <w:tcW w:w="2890" w:type="dxa"/>
          </w:tcPr>
          <w:p w14:paraId="7CB25B5B" w14:textId="77777777" w:rsidR="008A4099" w:rsidRDefault="006A6EE2">
            <w:pPr>
              <w:pStyle w:val="TableParagraph"/>
              <w:spacing w:before="85"/>
              <w:ind w:left="50"/>
            </w:pPr>
            <w:r>
              <w:t>Tas</w:t>
            </w:r>
            <w:r>
              <w:rPr>
                <w:spacing w:val="-3"/>
              </w:rPr>
              <w:t xml:space="preserve"> </w:t>
            </w:r>
            <w:r>
              <w:t>Covid</w:t>
            </w:r>
            <w:r>
              <w:rPr>
                <w:spacing w:val="-1"/>
              </w:rPr>
              <w:t xml:space="preserve"> </w:t>
            </w:r>
            <w:r>
              <w:rPr>
                <w:spacing w:val="-5"/>
              </w:rPr>
              <w:t>Act</w:t>
            </w:r>
          </w:p>
        </w:tc>
        <w:tc>
          <w:tcPr>
            <w:tcW w:w="6126" w:type="dxa"/>
            <w:vMerge/>
            <w:tcBorders>
              <w:top w:val="nil"/>
            </w:tcBorders>
          </w:tcPr>
          <w:p w14:paraId="7CB25B5C" w14:textId="77777777" w:rsidR="008A4099" w:rsidRDefault="008A4099">
            <w:pPr>
              <w:rPr>
                <w:sz w:val="2"/>
                <w:szCs w:val="2"/>
              </w:rPr>
            </w:pPr>
          </w:p>
        </w:tc>
      </w:tr>
      <w:tr w:rsidR="008A4099" w14:paraId="7CB25B60" w14:textId="77777777">
        <w:trPr>
          <w:trHeight w:val="686"/>
        </w:trPr>
        <w:tc>
          <w:tcPr>
            <w:tcW w:w="2890" w:type="dxa"/>
          </w:tcPr>
          <w:p w14:paraId="7CB25B5E" w14:textId="77777777" w:rsidR="008A4099" w:rsidRDefault="006A6EE2">
            <w:pPr>
              <w:pStyle w:val="TableParagraph"/>
              <w:spacing w:before="212"/>
              <w:ind w:left="50"/>
            </w:pPr>
            <w:r>
              <w:t>Tas</w:t>
            </w:r>
            <w:r>
              <w:rPr>
                <w:spacing w:val="-3"/>
              </w:rPr>
              <w:t xml:space="preserve"> </w:t>
            </w:r>
            <w:r>
              <w:t>Covid</w:t>
            </w:r>
            <w:r>
              <w:rPr>
                <w:spacing w:val="-1"/>
              </w:rPr>
              <w:t xml:space="preserve"> </w:t>
            </w:r>
            <w:r>
              <w:rPr>
                <w:spacing w:val="-4"/>
              </w:rPr>
              <w:t>Bill</w:t>
            </w:r>
          </w:p>
        </w:tc>
        <w:tc>
          <w:tcPr>
            <w:tcW w:w="6126" w:type="dxa"/>
            <w:vMerge/>
            <w:tcBorders>
              <w:top w:val="nil"/>
            </w:tcBorders>
          </w:tcPr>
          <w:p w14:paraId="7CB25B5F" w14:textId="77777777" w:rsidR="008A4099" w:rsidRDefault="008A4099">
            <w:pPr>
              <w:rPr>
                <w:sz w:val="2"/>
                <w:szCs w:val="2"/>
              </w:rPr>
            </w:pPr>
          </w:p>
        </w:tc>
      </w:tr>
      <w:tr w:rsidR="008A4099" w14:paraId="7CB25B63" w14:textId="77777777">
        <w:trPr>
          <w:trHeight w:val="559"/>
        </w:trPr>
        <w:tc>
          <w:tcPr>
            <w:tcW w:w="2890" w:type="dxa"/>
          </w:tcPr>
          <w:p w14:paraId="7CB25B61" w14:textId="77777777" w:rsidR="008A4099" w:rsidRDefault="006A6EE2">
            <w:pPr>
              <w:pStyle w:val="TableParagraph"/>
              <w:spacing w:before="212"/>
              <w:ind w:left="50"/>
            </w:pPr>
            <w:r>
              <w:rPr>
                <w:spacing w:val="-2"/>
              </w:rPr>
              <w:t>TasCAT</w:t>
            </w:r>
          </w:p>
        </w:tc>
        <w:tc>
          <w:tcPr>
            <w:tcW w:w="6126" w:type="dxa"/>
            <w:vMerge/>
            <w:tcBorders>
              <w:top w:val="nil"/>
            </w:tcBorders>
          </w:tcPr>
          <w:p w14:paraId="7CB25B62" w14:textId="77777777" w:rsidR="008A4099" w:rsidRDefault="008A4099">
            <w:pPr>
              <w:rPr>
                <w:sz w:val="2"/>
                <w:szCs w:val="2"/>
              </w:rPr>
            </w:pPr>
          </w:p>
        </w:tc>
      </w:tr>
      <w:tr w:rsidR="008A4099" w14:paraId="7CB25B66" w14:textId="77777777">
        <w:trPr>
          <w:trHeight w:val="433"/>
        </w:trPr>
        <w:tc>
          <w:tcPr>
            <w:tcW w:w="2890" w:type="dxa"/>
          </w:tcPr>
          <w:p w14:paraId="7CB25B64" w14:textId="77777777" w:rsidR="008A4099" w:rsidRDefault="006A6EE2">
            <w:pPr>
              <w:pStyle w:val="TableParagraph"/>
              <w:spacing w:before="85"/>
              <w:ind w:left="50"/>
            </w:pPr>
            <w:r>
              <w:rPr>
                <w:spacing w:val="-2"/>
              </w:rPr>
              <w:t>THRACC</w:t>
            </w:r>
          </w:p>
        </w:tc>
        <w:tc>
          <w:tcPr>
            <w:tcW w:w="6126" w:type="dxa"/>
            <w:vMerge/>
            <w:tcBorders>
              <w:top w:val="nil"/>
            </w:tcBorders>
          </w:tcPr>
          <w:p w14:paraId="7CB25B65" w14:textId="77777777" w:rsidR="008A4099" w:rsidRDefault="008A4099">
            <w:pPr>
              <w:rPr>
                <w:sz w:val="2"/>
                <w:szCs w:val="2"/>
              </w:rPr>
            </w:pPr>
          </w:p>
        </w:tc>
      </w:tr>
      <w:tr w:rsidR="008A4099" w14:paraId="7CB25B69" w14:textId="77777777">
        <w:trPr>
          <w:trHeight w:val="433"/>
        </w:trPr>
        <w:tc>
          <w:tcPr>
            <w:tcW w:w="2890" w:type="dxa"/>
          </w:tcPr>
          <w:p w14:paraId="7CB25B67" w14:textId="77777777" w:rsidR="008A4099" w:rsidRDefault="006A6EE2">
            <w:pPr>
              <w:pStyle w:val="TableParagraph"/>
              <w:spacing w:before="86"/>
              <w:ind w:left="50"/>
            </w:pPr>
            <w:r>
              <w:rPr>
                <w:spacing w:val="-4"/>
              </w:rPr>
              <w:t>TLRI</w:t>
            </w:r>
          </w:p>
        </w:tc>
        <w:tc>
          <w:tcPr>
            <w:tcW w:w="6126" w:type="dxa"/>
            <w:vMerge/>
            <w:tcBorders>
              <w:top w:val="nil"/>
            </w:tcBorders>
          </w:tcPr>
          <w:p w14:paraId="7CB25B68" w14:textId="77777777" w:rsidR="008A4099" w:rsidRDefault="008A4099">
            <w:pPr>
              <w:rPr>
                <w:sz w:val="2"/>
                <w:szCs w:val="2"/>
              </w:rPr>
            </w:pPr>
          </w:p>
        </w:tc>
      </w:tr>
      <w:tr w:rsidR="008A4099" w14:paraId="7CB25B6C" w14:textId="77777777">
        <w:trPr>
          <w:trHeight w:val="559"/>
        </w:trPr>
        <w:tc>
          <w:tcPr>
            <w:tcW w:w="2890" w:type="dxa"/>
          </w:tcPr>
          <w:p w14:paraId="7CB25B6A" w14:textId="77777777" w:rsidR="008A4099" w:rsidRDefault="006A6EE2">
            <w:pPr>
              <w:pStyle w:val="TableParagraph"/>
              <w:spacing w:before="85"/>
              <w:ind w:left="50"/>
            </w:pPr>
            <w:r>
              <w:t>TLRI</w:t>
            </w:r>
            <w:r>
              <w:rPr>
                <w:spacing w:val="-4"/>
              </w:rPr>
              <w:t xml:space="preserve"> </w:t>
            </w:r>
            <w:r>
              <w:t>2007</w:t>
            </w:r>
            <w:r>
              <w:rPr>
                <w:spacing w:val="-2"/>
              </w:rPr>
              <w:t xml:space="preserve"> </w:t>
            </w:r>
            <w:r>
              <w:t xml:space="preserve">Final </w:t>
            </w:r>
            <w:r>
              <w:rPr>
                <w:spacing w:val="-2"/>
              </w:rPr>
              <w:t>Report</w:t>
            </w:r>
          </w:p>
        </w:tc>
        <w:tc>
          <w:tcPr>
            <w:tcW w:w="6126" w:type="dxa"/>
            <w:vMerge/>
            <w:tcBorders>
              <w:top w:val="nil"/>
            </w:tcBorders>
          </w:tcPr>
          <w:p w14:paraId="7CB25B6B" w14:textId="77777777" w:rsidR="008A4099" w:rsidRDefault="008A4099">
            <w:pPr>
              <w:rPr>
                <w:sz w:val="2"/>
                <w:szCs w:val="2"/>
              </w:rPr>
            </w:pPr>
          </w:p>
        </w:tc>
      </w:tr>
      <w:tr w:rsidR="008A4099" w14:paraId="7CB25B6F" w14:textId="77777777">
        <w:trPr>
          <w:trHeight w:val="559"/>
        </w:trPr>
        <w:tc>
          <w:tcPr>
            <w:tcW w:w="2890" w:type="dxa"/>
          </w:tcPr>
          <w:p w14:paraId="7CB25B6D" w14:textId="77777777" w:rsidR="008A4099" w:rsidRDefault="006A6EE2">
            <w:pPr>
              <w:pStyle w:val="TableParagraph"/>
              <w:spacing w:before="212"/>
              <w:ind w:left="50"/>
            </w:pPr>
            <w:r>
              <w:rPr>
                <w:spacing w:val="-4"/>
              </w:rPr>
              <w:t>VCAT</w:t>
            </w:r>
          </w:p>
        </w:tc>
        <w:tc>
          <w:tcPr>
            <w:tcW w:w="6126" w:type="dxa"/>
            <w:vMerge/>
            <w:tcBorders>
              <w:top w:val="nil"/>
            </w:tcBorders>
          </w:tcPr>
          <w:p w14:paraId="7CB25B6E" w14:textId="77777777" w:rsidR="008A4099" w:rsidRDefault="008A4099">
            <w:pPr>
              <w:rPr>
                <w:sz w:val="2"/>
                <w:szCs w:val="2"/>
              </w:rPr>
            </w:pPr>
          </w:p>
        </w:tc>
      </w:tr>
      <w:tr w:rsidR="008A4099" w14:paraId="7CB25B72" w14:textId="77777777">
        <w:trPr>
          <w:trHeight w:val="433"/>
        </w:trPr>
        <w:tc>
          <w:tcPr>
            <w:tcW w:w="2890" w:type="dxa"/>
          </w:tcPr>
          <w:p w14:paraId="7CB25B70" w14:textId="77777777" w:rsidR="008A4099" w:rsidRDefault="006A6EE2">
            <w:pPr>
              <w:pStyle w:val="TableParagraph"/>
              <w:spacing w:before="85"/>
              <w:ind w:left="50"/>
            </w:pPr>
            <w:r>
              <w:rPr>
                <w:spacing w:val="-2"/>
              </w:rPr>
              <w:t>VEOHRC</w:t>
            </w:r>
          </w:p>
        </w:tc>
        <w:tc>
          <w:tcPr>
            <w:tcW w:w="6126" w:type="dxa"/>
            <w:vMerge/>
            <w:tcBorders>
              <w:top w:val="nil"/>
            </w:tcBorders>
          </w:tcPr>
          <w:p w14:paraId="7CB25B71" w14:textId="77777777" w:rsidR="008A4099" w:rsidRDefault="008A4099">
            <w:pPr>
              <w:rPr>
                <w:sz w:val="2"/>
                <w:szCs w:val="2"/>
              </w:rPr>
            </w:pPr>
          </w:p>
        </w:tc>
      </w:tr>
      <w:tr w:rsidR="008A4099" w14:paraId="7CB25B75" w14:textId="77777777">
        <w:trPr>
          <w:trHeight w:val="433"/>
        </w:trPr>
        <w:tc>
          <w:tcPr>
            <w:tcW w:w="2890" w:type="dxa"/>
          </w:tcPr>
          <w:p w14:paraId="7CB25B73" w14:textId="77777777" w:rsidR="008A4099" w:rsidRDefault="006A6EE2">
            <w:pPr>
              <w:pStyle w:val="TableParagraph"/>
              <w:spacing w:before="86"/>
              <w:ind w:left="50"/>
            </w:pPr>
            <w:r>
              <w:t>Vic</w:t>
            </w:r>
            <w:r>
              <w:rPr>
                <w:spacing w:val="-2"/>
              </w:rPr>
              <w:t xml:space="preserve"> </w:t>
            </w:r>
            <w:r>
              <w:t>Covid</w:t>
            </w:r>
            <w:r>
              <w:rPr>
                <w:spacing w:val="-2"/>
              </w:rPr>
              <w:t xml:space="preserve"> </w:t>
            </w:r>
            <w:r>
              <w:rPr>
                <w:spacing w:val="-5"/>
              </w:rPr>
              <w:t>Act</w:t>
            </w:r>
          </w:p>
        </w:tc>
        <w:tc>
          <w:tcPr>
            <w:tcW w:w="6126" w:type="dxa"/>
            <w:vMerge/>
            <w:tcBorders>
              <w:top w:val="nil"/>
            </w:tcBorders>
          </w:tcPr>
          <w:p w14:paraId="7CB25B74" w14:textId="77777777" w:rsidR="008A4099" w:rsidRDefault="008A4099">
            <w:pPr>
              <w:rPr>
                <w:sz w:val="2"/>
                <w:szCs w:val="2"/>
              </w:rPr>
            </w:pPr>
          </w:p>
        </w:tc>
      </w:tr>
      <w:tr w:rsidR="008A4099" w14:paraId="7CB25B78" w14:textId="77777777">
        <w:trPr>
          <w:trHeight w:val="433"/>
        </w:trPr>
        <w:tc>
          <w:tcPr>
            <w:tcW w:w="2890" w:type="dxa"/>
          </w:tcPr>
          <w:p w14:paraId="7CB25B76" w14:textId="77777777" w:rsidR="008A4099" w:rsidRDefault="006A6EE2">
            <w:pPr>
              <w:pStyle w:val="TableParagraph"/>
              <w:spacing w:before="85"/>
              <w:ind w:left="50"/>
            </w:pPr>
            <w:r>
              <w:t>Vic</w:t>
            </w:r>
            <w:r>
              <w:rPr>
                <w:spacing w:val="-4"/>
              </w:rPr>
              <w:t xml:space="preserve"> </w:t>
            </w:r>
            <w:r>
              <w:t>Covid</w:t>
            </w:r>
            <w:r>
              <w:rPr>
                <w:spacing w:val="-2"/>
              </w:rPr>
              <w:t xml:space="preserve"> </w:t>
            </w:r>
            <w:r>
              <w:rPr>
                <w:spacing w:val="-4"/>
              </w:rPr>
              <w:t>Bill</w:t>
            </w:r>
          </w:p>
        </w:tc>
        <w:tc>
          <w:tcPr>
            <w:tcW w:w="6126" w:type="dxa"/>
            <w:vMerge/>
            <w:tcBorders>
              <w:top w:val="nil"/>
            </w:tcBorders>
          </w:tcPr>
          <w:p w14:paraId="7CB25B77" w14:textId="77777777" w:rsidR="008A4099" w:rsidRDefault="008A4099">
            <w:pPr>
              <w:rPr>
                <w:sz w:val="2"/>
                <w:szCs w:val="2"/>
              </w:rPr>
            </w:pPr>
          </w:p>
        </w:tc>
      </w:tr>
      <w:tr w:rsidR="008A4099" w14:paraId="7CB25B7B" w14:textId="77777777">
        <w:trPr>
          <w:trHeight w:val="433"/>
        </w:trPr>
        <w:tc>
          <w:tcPr>
            <w:tcW w:w="2890" w:type="dxa"/>
          </w:tcPr>
          <w:p w14:paraId="7CB25B79" w14:textId="77777777" w:rsidR="008A4099" w:rsidRDefault="006A6EE2">
            <w:pPr>
              <w:pStyle w:val="TableParagraph"/>
              <w:spacing w:before="86"/>
              <w:ind w:left="50"/>
            </w:pPr>
            <w:r>
              <w:t>Vic</w:t>
            </w:r>
            <w:r>
              <w:rPr>
                <w:spacing w:val="-3"/>
              </w:rPr>
              <w:t xml:space="preserve"> </w:t>
            </w:r>
            <w:r>
              <w:t>Human</w:t>
            </w:r>
            <w:r>
              <w:rPr>
                <w:spacing w:val="-2"/>
              </w:rPr>
              <w:t xml:space="preserve"> </w:t>
            </w:r>
            <w:r>
              <w:t>Rights</w:t>
            </w:r>
            <w:r>
              <w:rPr>
                <w:spacing w:val="-3"/>
              </w:rPr>
              <w:t xml:space="preserve"> </w:t>
            </w:r>
            <w:r>
              <w:rPr>
                <w:spacing w:val="-2"/>
              </w:rPr>
              <w:t>Charter</w:t>
            </w:r>
          </w:p>
        </w:tc>
        <w:tc>
          <w:tcPr>
            <w:tcW w:w="6126" w:type="dxa"/>
            <w:vMerge/>
            <w:tcBorders>
              <w:top w:val="nil"/>
            </w:tcBorders>
          </w:tcPr>
          <w:p w14:paraId="7CB25B7A" w14:textId="77777777" w:rsidR="008A4099" w:rsidRDefault="008A4099">
            <w:pPr>
              <w:rPr>
                <w:sz w:val="2"/>
                <w:szCs w:val="2"/>
              </w:rPr>
            </w:pPr>
          </w:p>
        </w:tc>
      </w:tr>
      <w:tr w:rsidR="008A4099" w14:paraId="7CB25B7E" w14:textId="77777777">
        <w:trPr>
          <w:trHeight w:val="559"/>
        </w:trPr>
        <w:tc>
          <w:tcPr>
            <w:tcW w:w="2890" w:type="dxa"/>
          </w:tcPr>
          <w:p w14:paraId="7CB25B7C" w14:textId="77777777" w:rsidR="008A4099" w:rsidRDefault="006A6EE2">
            <w:pPr>
              <w:pStyle w:val="TableParagraph"/>
              <w:spacing w:before="85"/>
              <w:ind w:left="50"/>
            </w:pPr>
            <w:r>
              <w:t>Vic</w:t>
            </w:r>
            <w:r>
              <w:rPr>
                <w:spacing w:val="-5"/>
              </w:rPr>
              <w:t xml:space="preserve"> </w:t>
            </w:r>
            <w:r>
              <w:t>Pandemic</w:t>
            </w:r>
            <w:r>
              <w:rPr>
                <w:spacing w:val="-3"/>
              </w:rPr>
              <w:t xml:space="preserve"> </w:t>
            </w:r>
            <w:r>
              <w:rPr>
                <w:spacing w:val="-5"/>
              </w:rPr>
              <w:t>Act</w:t>
            </w:r>
          </w:p>
        </w:tc>
        <w:tc>
          <w:tcPr>
            <w:tcW w:w="6126" w:type="dxa"/>
            <w:vMerge/>
            <w:tcBorders>
              <w:top w:val="nil"/>
            </w:tcBorders>
          </w:tcPr>
          <w:p w14:paraId="7CB25B7D" w14:textId="77777777" w:rsidR="008A4099" w:rsidRDefault="008A4099">
            <w:pPr>
              <w:rPr>
                <w:sz w:val="2"/>
                <w:szCs w:val="2"/>
              </w:rPr>
            </w:pPr>
          </w:p>
        </w:tc>
      </w:tr>
      <w:tr w:rsidR="008A4099" w14:paraId="7CB25B81" w14:textId="77777777">
        <w:trPr>
          <w:trHeight w:val="717"/>
        </w:trPr>
        <w:tc>
          <w:tcPr>
            <w:tcW w:w="2890" w:type="dxa"/>
          </w:tcPr>
          <w:p w14:paraId="7CB25B7F" w14:textId="77777777" w:rsidR="008A4099" w:rsidRDefault="006A6EE2">
            <w:pPr>
              <w:pStyle w:val="TableParagraph"/>
              <w:spacing w:before="212"/>
              <w:ind w:left="50"/>
            </w:pPr>
            <w:r>
              <w:t>Vic</w:t>
            </w:r>
            <w:r>
              <w:rPr>
                <w:spacing w:val="-5"/>
              </w:rPr>
              <w:t xml:space="preserve"> </w:t>
            </w:r>
            <w:r>
              <w:t>Pandemic</w:t>
            </w:r>
            <w:r>
              <w:rPr>
                <w:spacing w:val="-3"/>
              </w:rPr>
              <w:t xml:space="preserve"> </w:t>
            </w:r>
            <w:r>
              <w:rPr>
                <w:spacing w:val="-4"/>
              </w:rPr>
              <w:t>Bill</w:t>
            </w:r>
          </w:p>
        </w:tc>
        <w:tc>
          <w:tcPr>
            <w:tcW w:w="6126" w:type="dxa"/>
            <w:vMerge/>
            <w:tcBorders>
              <w:top w:val="nil"/>
            </w:tcBorders>
          </w:tcPr>
          <w:p w14:paraId="7CB25B80" w14:textId="77777777" w:rsidR="008A4099" w:rsidRDefault="008A4099">
            <w:pPr>
              <w:rPr>
                <w:sz w:val="2"/>
                <w:szCs w:val="2"/>
              </w:rPr>
            </w:pPr>
          </w:p>
        </w:tc>
      </w:tr>
    </w:tbl>
    <w:p w14:paraId="7CB25B82" w14:textId="77777777" w:rsidR="008A4099" w:rsidRDefault="008A4099">
      <w:pPr>
        <w:rPr>
          <w:sz w:val="2"/>
          <w:szCs w:val="2"/>
        </w:rPr>
        <w:sectPr w:rsidR="008A4099" w:rsidSect="00D43B2D">
          <w:headerReference w:type="even" r:id="rId24"/>
          <w:footerReference w:type="even" r:id="rId25"/>
          <w:footerReference w:type="default" r:id="rId26"/>
          <w:pgSz w:w="11910" w:h="16840"/>
          <w:pgMar w:top="1480" w:right="760" w:bottom="940" w:left="1280" w:header="0" w:footer="753" w:gutter="0"/>
          <w:pgNumType w:start="8"/>
          <w:cols w:space="720"/>
        </w:sectPr>
      </w:pPr>
    </w:p>
    <w:p w14:paraId="7CB25B83" w14:textId="77777777" w:rsidR="008A4099" w:rsidRDefault="008A4099">
      <w:pPr>
        <w:pStyle w:val="BodyText"/>
      </w:pPr>
    </w:p>
    <w:p w14:paraId="7CB25B84" w14:textId="77777777" w:rsidR="008A4099" w:rsidRDefault="008A4099">
      <w:pPr>
        <w:pStyle w:val="BodyText"/>
        <w:spacing w:before="189"/>
      </w:pPr>
    </w:p>
    <w:p w14:paraId="7CB25B85" w14:textId="77777777" w:rsidR="008A4099" w:rsidRDefault="006A6EE2">
      <w:pPr>
        <w:pStyle w:val="Heading5"/>
        <w:jc w:val="both"/>
        <w:rPr>
          <w:b w:val="0"/>
        </w:rPr>
      </w:pPr>
      <w:r>
        <w:t>Recommendation</w:t>
      </w:r>
      <w:r>
        <w:rPr>
          <w:spacing w:val="-4"/>
        </w:rPr>
        <w:t xml:space="preserve"> </w:t>
      </w:r>
      <w:r>
        <w:t>1</w:t>
      </w:r>
      <w:r>
        <w:rPr>
          <w:spacing w:val="-3"/>
        </w:rPr>
        <w:t xml:space="preserve"> </w:t>
      </w:r>
      <w:r>
        <w:t>–</w:t>
      </w:r>
      <w:r>
        <w:rPr>
          <w:spacing w:val="-3"/>
        </w:rPr>
        <w:t xml:space="preserve"> </w:t>
      </w:r>
      <w:r>
        <w:t>Tasmanian</w:t>
      </w:r>
      <w:r>
        <w:rPr>
          <w:spacing w:val="-3"/>
        </w:rPr>
        <w:t xml:space="preserve"> </w:t>
      </w:r>
      <w:r>
        <w:t>Human</w:t>
      </w:r>
      <w:r>
        <w:rPr>
          <w:spacing w:val="-4"/>
        </w:rPr>
        <w:t xml:space="preserve"> </w:t>
      </w:r>
      <w:r>
        <w:t>Rights</w:t>
      </w:r>
      <w:r>
        <w:rPr>
          <w:spacing w:val="-3"/>
        </w:rPr>
        <w:t xml:space="preserve"> </w:t>
      </w:r>
      <w:r>
        <w:t>Enactment</w:t>
      </w:r>
      <w:r>
        <w:rPr>
          <w:spacing w:val="-3"/>
        </w:rPr>
        <w:t xml:space="preserve"> </w:t>
      </w:r>
      <w:r>
        <w:rPr>
          <w:b w:val="0"/>
        </w:rPr>
        <w:t>(p</w:t>
      </w:r>
      <w:r>
        <w:rPr>
          <w:b w:val="0"/>
          <w:spacing w:val="-3"/>
        </w:rPr>
        <w:t xml:space="preserve"> </w:t>
      </w:r>
      <w:r>
        <w:rPr>
          <w:b w:val="0"/>
          <w:spacing w:val="-5"/>
        </w:rPr>
        <w:t>48)</w:t>
      </w:r>
    </w:p>
    <w:p w14:paraId="7CB25B86" w14:textId="77777777" w:rsidR="008A4099" w:rsidRDefault="008A4099">
      <w:pPr>
        <w:pStyle w:val="BodyText"/>
        <w:spacing w:before="5"/>
      </w:pPr>
    </w:p>
    <w:p w14:paraId="7CB25B87" w14:textId="77777777" w:rsidR="008A4099" w:rsidRDefault="006A6EE2">
      <w:pPr>
        <w:pStyle w:val="BodyText"/>
        <w:spacing w:line="276" w:lineRule="auto"/>
        <w:ind w:left="726" w:right="675" w:hanging="567"/>
        <w:jc w:val="both"/>
      </w:pPr>
      <w:r>
        <w:t>That</w:t>
      </w:r>
      <w:r>
        <w:rPr>
          <w:spacing w:val="-14"/>
        </w:rPr>
        <w:t xml:space="preserve"> </w:t>
      </w:r>
      <w:r>
        <w:t>the</w:t>
      </w:r>
      <w:r>
        <w:rPr>
          <w:spacing w:val="-14"/>
        </w:rPr>
        <w:t xml:space="preserve"> </w:t>
      </w:r>
      <w:r>
        <w:t>laws</w:t>
      </w:r>
      <w:r>
        <w:rPr>
          <w:spacing w:val="-14"/>
        </w:rPr>
        <w:t xml:space="preserve"> </w:t>
      </w:r>
      <w:r>
        <w:t>in</w:t>
      </w:r>
      <w:r>
        <w:rPr>
          <w:spacing w:val="-13"/>
        </w:rPr>
        <w:t xml:space="preserve"> </w:t>
      </w:r>
      <w:r>
        <w:t>Tasmania</w:t>
      </w:r>
      <w:r>
        <w:rPr>
          <w:spacing w:val="-14"/>
        </w:rPr>
        <w:t xml:space="preserve"> </w:t>
      </w:r>
      <w:r>
        <w:t>be</w:t>
      </w:r>
      <w:r>
        <w:rPr>
          <w:spacing w:val="-14"/>
        </w:rPr>
        <w:t xml:space="preserve"> </w:t>
      </w:r>
      <w:r>
        <w:t>reformed</w:t>
      </w:r>
      <w:r>
        <w:rPr>
          <w:spacing w:val="-14"/>
        </w:rPr>
        <w:t xml:space="preserve"> </w:t>
      </w:r>
      <w:r>
        <w:t>to</w:t>
      </w:r>
      <w:r>
        <w:rPr>
          <w:spacing w:val="-13"/>
        </w:rPr>
        <w:t xml:space="preserve"> </w:t>
      </w:r>
      <w:r>
        <w:t>provide</w:t>
      </w:r>
      <w:r>
        <w:rPr>
          <w:spacing w:val="-14"/>
        </w:rPr>
        <w:t xml:space="preserve"> </w:t>
      </w:r>
      <w:r>
        <w:t>and</w:t>
      </w:r>
      <w:r>
        <w:rPr>
          <w:spacing w:val="-14"/>
        </w:rPr>
        <w:t xml:space="preserve"> </w:t>
      </w:r>
      <w:r>
        <w:t>promote</w:t>
      </w:r>
      <w:r>
        <w:rPr>
          <w:spacing w:val="-14"/>
        </w:rPr>
        <w:t xml:space="preserve"> </w:t>
      </w:r>
      <w:r>
        <w:t>specific,</w:t>
      </w:r>
      <w:r>
        <w:rPr>
          <w:spacing w:val="-13"/>
        </w:rPr>
        <w:t xml:space="preserve"> </w:t>
      </w:r>
      <w:r>
        <w:t>better,</w:t>
      </w:r>
      <w:r>
        <w:rPr>
          <w:spacing w:val="-14"/>
        </w:rPr>
        <w:t xml:space="preserve"> </w:t>
      </w:r>
      <w:r>
        <w:t>and</w:t>
      </w:r>
      <w:r>
        <w:rPr>
          <w:spacing w:val="-14"/>
        </w:rPr>
        <w:t xml:space="preserve"> </w:t>
      </w:r>
      <w:r>
        <w:t>accessible</w:t>
      </w:r>
      <w:r>
        <w:rPr>
          <w:spacing w:val="-14"/>
        </w:rPr>
        <w:t xml:space="preserve"> </w:t>
      </w:r>
      <w:r>
        <w:t>protection for human rights through the enactment of a Tasmanian Charter of Human Rights or a Human Rights Act.</w:t>
      </w:r>
    </w:p>
    <w:p w14:paraId="7CB25B88" w14:textId="77777777" w:rsidR="008A4099" w:rsidRDefault="006A6EE2">
      <w:pPr>
        <w:pStyle w:val="BodyText"/>
        <w:spacing w:before="121"/>
        <w:ind w:left="160"/>
        <w:jc w:val="both"/>
      </w:pPr>
      <w:r>
        <w:t>This</w:t>
      </w:r>
      <w:r>
        <w:rPr>
          <w:spacing w:val="-4"/>
        </w:rPr>
        <w:t xml:space="preserve"> </w:t>
      </w:r>
      <w:r>
        <w:t>adopts</w:t>
      </w:r>
      <w:r>
        <w:rPr>
          <w:spacing w:val="-3"/>
        </w:rPr>
        <w:t xml:space="preserve"> </w:t>
      </w:r>
      <w:r>
        <w:t>Recommendations</w:t>
      </w:r>
      <w:r>
        <w:rPr>
          <w:spacing w:val="-3"/>
        </w:rPr>
        <w:t xml:space="preserve"> </w:t>
      </w:r>
      <w:r>
        <w:t>1</w:t>
      </w:r>
      <w:r>
        <w:rPr>
          <w:spacing w:val="-3"/>
        </w:rPr>
        <w:t xml:space="preserve"> </w:t>
      </w:r>
      <w:r>
        <w:t>and</w:t>
      </w:r>
      <w:r>
        <w:rPr>
          <w:spacing w:val="-3"/>
        </w:rPr>
        <w:t xml:space="preserve"> </w:t>
      </w:r>
      <w:r>
        <w:t>2</w:t>
      </w:r>
      <w:r>
        <w:rPr>
          <w:spacing w:val="-3"/>
        </w:rPr>
        <w:t xml:space="preserve"> </w:t>
      </w:r>
      <w:r>
        <w:t>of</w:t>
      </w:r>
      <w:r>
        <w:rPr>
          <w:spacing w:val="-3"/>
        </w:rPr>
        <w:t xml:space="preserve"> </w:t>
      </w:r>
      <w:r>
        <w:t>the</w:t>
      </w:r>
      <w:r>
        <w:rPr>
          <w:spacing w:val="-3"/>
        </w:rPr>
        <w:t xml:space="preserve"> </w:t>
      </w:r>
      <w:r>
        <w:t>2007</w:t>
      </w:r>
      <w:r>
        <w:rPr>
          <w:spacing w:val="-3"/>
        </w:rPr>
        <w:t xml:space="preserve"> </w:t>
      </w:r>
      <w:r>
        <w:t>Final</w:t>
      </w:r>
      <w:r>
        <w:rPr>
          <w:spacing w:val="-2"/>
        </w:rPr>
        <w:t xml:space="preserve"> </w:t>
      </w:r>
      <w:r>
        <w:t>Report</w:t>
      </w:r>
      <w:r>
        <w:rPr>
          <w:spacing w:val="-5"/>
        </w:rPr>
        <w:t xml:space="preserve"> </w:t>
      </w:r>
      <w:r>
        <w:t>(see</w:t>
      </w:r>
      <w:r>
        <w:rPr>
          <w:spacing w:val="-3"/>
        </w:rPr>
        <w:t xml:space="preserve"> </w:t>
      </w:r>
      <w:r>
        <w:t>Appendix</w:t>
      </w:r>
      <w:r>
        <w:rPr>
          <w:spacing w:val="-1"/>
        </w:rPr>
        <w:t xml:space="preserve"> </w:t>
      </w:r>
      <w:r>
        <w:rPr>
          <w:spacing w:val="-5"/>
        </w:rPr>
        <w:t>A).</w:t>
      </w:r>
    </w:p>
    <w:p w14:paraId="7CB25B89" w14:textId="77777777" w:rsidR="008A4099" w:rsidRDefault="008A4099">
      <w:pPr>
        <w:pStyle w:val="BodyText"/>
      </w:pPr>
    </w:p>
    <w:p w14:paraId="7CB25B8A" w14:textId="77777777" w:rsidR="008A4099" w:rsidRDefault="008A4099">
      <w:pPr>
        <w:pStyle w:val="BodyText"/>
        <w:spacing w:before="62"/>
      </w:pPr>
    </w:p>
    <w:p w14:paraId="7CB25B8B" w14:textId="77777777" w:rsidR="008A4099" w:rsidRDefault="006A6EE2">
      <w:pPr>
        <w:spacing w:line="388" w:lineRule="auto"/>
        <w:ind w:left="160" w:right="2240"/>
        <w:jc w:val="both"/>
      </w:pPr>
      <w:r>
        <w:rPr>
          <w:b/>
        </w:rPr>
        <w:t xml:space="preserve">Recommendation 2 –– Human Rights Obligations of Public Authorities </w:t>
      </w:r>
      <w:r>
        <w:t>(p 53) That</w:t>
      </w:r>
      <w:r>
        <w:rPr>
          <w:spacing w:val="-4"/>
        </w:rPr>
        <w:t xml:space="preserve"> </w:t>
      </w:r>
      <w:r>
        <w:t>all</w:t>
      </w:r>
      <w:r>
        <w:rPr>
          <w:spacing w:val="-5"/>
        </w:rPr>
        <w:t xml:space="preserve"> </w:t>
      </w:r>
      <w:r>
        <w:t>public</w:t>
      </w:r>
      <w:r>
        <w:rPr>
          <w:spacing w:val="-5"/>
        </w:rPr>
        <w:t xml:space="preserve"> </w:t>
      </w:r>
      <w:r>
        <w:t>authorities</w:t>
      </w:r>
      <w:r>
        <w:rPr>
          <w:spacing w:val="-3"/>
        </w:rPr>
        <w:t xml:space="preserve"> </w:t>
      </w:r>
      <w:r>
        <w:t>be</w:t>
      </w:r>
      <w:r>
        <w:rPr>
          <w:spacing w:val="-3"/>
        </w:rPr>
        <w:t xml:space="preserve"> </w:t>
      </w:r>
      <w:r>
        <w:t>bound</w:t>
      </w:r>
      <w:r>
        <w:rPr>
          <w:spacing w:val="-3"/>
        </w:rPr>
        <w:t xml:space="preserve"> </w:t>
      </w:r>
      <w:r>
        <w:t>by</w:t>
      </w:r>
      <w:r>
        <w:rPr>
          <w:spacing w:val="-4"/>
        </w:rPr>
        <w:t xml:space="preserve"> </w:t>
      </w:r>
      <w:r>
        <w:t>the</w:t>
      </w:r>
      <w:r>
        <w:rPr>
          <w:spacing w:val="-3"/>
        </w:rPr>
        <w:t xml:space="preserve"> </w:t>
      </w:r>
      <w:r>
        <w:t>Tasmanian</w:t>
      </w:r>
      <w:r>
        <w:rPr>
          <w:spacing w:val="-6"/>
        </w:rPr>
        <w:t xml:space="preserve"> </w:t>
      </w:r>
      <w:r>
        <w:t>Human</w:t>
      </w:r>
      <w:r>
        <w:rPr>
          <w:spacing w:val="-3"/>
        </w:rPr>
        <w:t xml:space="preserve"> </w:t>
      </w:r>
      <w:r>
        <w:t>Rights</w:t>
      </w:r>
      <w:r>
        <w:rPr>
          <w:spacing w:val="-3"/>
        </w:rPr>
        <w:t xml:space="preserve"> </w:t>
      </w:r>
      <w:r>
        <w:t>Charter</w:t>
      </w:r>
      <w:r>
        <w:rPr>
          <w:spacing w:val="-3"/>
        </w:rPr>
        <w:t xml:space="preserve"> </w:t>
      </w:r>
      <w:r>
        <w:t>or</w:t>
      </w:r>
      <w:r>
        <w:rPr>
          <w:spacing w:val="-3"/>
        </w:rPr>
        <w:t xml:space="preserve"> </w:t>
      </w:r>
      <w:r>
        <w:rPr>
          <w:spacing w:val="-4"/>
        </w:rPr>
        <w:t>Act.</w:t>
      </w:r>
    </w:p>
    <w:p w14:paraId="7CB25B8C" w14:textId="77777777" w:rsidR="008A4099" w:rsidRDefault="006A6EE2">
      <w:pPr>
        <w:pStyle w:val="BodyText"/>
        <w:spacing w:before="2" w:line="276" w:lineRule="auto"/>
        <w:ind w:left="726" w:right="675" w:hanging="567"/>
        <w:jc w:val="both"/>
        <w:rPr>
          <w:b/>
        </w:rPr>
      </w:pPr>
      <w:r>
        <w:t>Public authorities should be required to act in a way that is compatible with human rights and, when making decisions, to give proper consideration to relevant human rights, unless otherwise required by particular legislation</w:t>
      </w:r>
      <w:r>
        <w:rPr>
          <w:b/>
        </w:rPr>
        <w:t>.</w:t>
      </w:r>
    </w:p>
    <w:p w14:paraId="7CB25B8D" w14:textId="77777777" w:rsidR="008A4099" w:rsidRDefault="006A6EE2">
      <w:pPr>
        <w:pStyle w:val="BodyText"/>
        <w:spacing w:before="120"/>
        <w:ind w:left="160"/>
        <w:jc w:val="both"/>
      </w:pPr>
      <w:r>
        <w:t>This</w:t>
      </w:r>
      <w:r>
        <w:rPr>
          <w:spacing w:val="-7"/>
        </w:rPr>
        <w:t xml:space="preserve"> </w:t>
      </w:r>
      <w:r>
        <w:t>is</w:t>
      </w:r>
      <w:r>
        <w:rPr>
          <w:spacing w:val="-2"/>
        </w:rPr>
        <w:t xml:space="preserve"> </w:t>
      </w:r>
      <w:r>
        <w:t>consistent</w:t>
      </w:r>
      <w:r>
        <w:rPr>
          <w:spacing w:val="-2"/>
        </w:rPr>
        <w:t xml:space="preserve"> </w:t>
      </w:r>
      <w:r>
        <w:t>with</w:t>
      </w:r>
      <w:r>
        <w:rPr>
          <w:spacing w:val="-4"/>
        </w:rPr>
        <w:t xml:space="preserve"> </w:t>
      </w:r>
      <w:r>
        <w:t>Recommendations</w:t>
      </w:r>
      <w:r>
        <w:rPr>
          <w:spacing w:val="-3"/>
        </w:rPr>
        <w:t xml:space="preserve"> </w:t>
      </w:r>
      <w:r>
        <w:t>7,</w:t>
      </w:r>
      <w:r>
        <w:rPr>
          <w:spacing w:val="-1"/>
        </w:rPr>
        <w:t xml:space="preserve"> </w:t>
      </w:r>
      <w:r>
        <w:t>9,</w:t>
      </w:r>
      <w:r>
        <w:rPr>
          <w:spacing w:val="-3"/>
        </w:rPr>
        <w:t xml:space="preserve"> </w:t>
      </w:r>
      <w:r>
        <w:t>10,</w:t>
      </w:r>
      <w:r>
        <w:rPr>
          <w:spacing w:val="-5"/>
        </w:rPr>
        <w:t xml:space="preserve"> </w:t>
      </w:r>
      <w:r>
        <w:t>14</w:t>
      </w:r>
      <w:r>
        <w:rPr>
          <w:spacing w:val="-6"/>
        </w:rPr>
        <w:t xml:space="preserve"> </w:t>
      </w:r>
      <w:r>
        <w:t>in</w:t>
      </w:r>
      <w:r>
        <w:rPr>
          <w:spacing w:val="-2"/>
        </w:rPr>
        <w:t xml:space="preserve"> </w:t>
      </w:r>
      <w:r>
        <w:t>the</w:t>
      </w:r>
      <w:r>
        <w:rPr>
          <w:spacing w:val="-3"/>
        </w:rPr>
        <w:t xml:space="preserve"> </w:t>
      </w:r>
      <w:r>
        <w:t>2007</w:t>
      </w:r>
      <w:r>
        <w:rPr>
          <w:spacing w:val="-2"/>
        </w:rPr>
        <w:t xml:space="preserve"> </w:t>
      </w:r>
      <w:r>
        <w:t>Final</w:t>
      </w:r>
      <w:r>
        <w:rPr>
          <w:spacing w:val="-2"/>
        </w:rPr>
        <w:t xml:space="preserve"> </w:t>
      </w:r>
      <w:r>
        <w:t>Report</w:t>
      </w:r>
      <w:r>
        <w:rPr>
          <w:spacing w:val="-1"/>
        </w:rPr>
        <w:t xml:space="preserve"> </w:t>
      </w:r>
      <w:r>
        <w:t>(see</w:t>
      </w:r>
      <w:r>
        <w:rPr>
          <w:spacing w:val="-3"/>
        </w:rPr>
        <w:t xml:space="preserve"> </w:t>
      </w:r>
      <w:r>
        <w:t xml:space="preserve">Appendix </w:t>
      </w:r>
      <w:r>
        <w:rPr>
          <w:spacing w:val="-5"/>
        </w:rPr>
        <w:t>A).</w:t>
      </w:r>
    </w:p>
    <w:p w14:paraId="7CB25B8E" w14:textId="77777777" w:rsidR="008A4099" w:rsidRDefault="008A4099">
      <w:pPr>
        <w:pStyle w:val="BodyText"/>
      </w:pPr>
    </w:p>
    <w:p w14:paraId="7CB25B8F" w14:textId="77777777" w:rsidR="008A4099" w:rsidRDefault="008A4099">
      <w:pPr>
        <w:pStyle w:val="BodyText"/>
        <w:spacing w:before="64"/>
      </w:pPr>
    </w:p>
    <w:p w14:paraId="7CB25B90" w14:textId="77777777" w:rsidR="008A4099" w:rsidRDefault="006A6EE2">
      <w:pPr>
        <w:pStyle w:val="Heading5"/>
        <w:spacing w:before="1"/>
        <w:jc w:val="both"/>
        <w:rPr>
          <w:b w:val="0"/>
        </w:rPr>
      </w:pPr>
      <w:r>
        <w:t>Recommendation</w:t>
      </w:r>
      <w:r>
        <w:rPr>
          <w:spacing w:val="-5"/>
        </w:rPr>
        <w:t xml:space="preserve"> </w:t>
      </w:r>
      <w:r>
        <w:t>3</w:t>
      </w:r>
      <w:r>
        <w:rPr>
          <w:spacing w:val="-5"/>
        </w:rPr>
        <w:t xml:space="preserve"> </w:t>
      </w:r>
      <w:r>
        <w:t>–</w:t>
      </w:r>
      <w:r>
        <w:rPr>
          <w:spacing w:val="-5"/>
        </w:rPr>
        <w:t xml:space="preserve"> </w:t>
      </w:r>
      <w:r>
        <w:t>Public</w:t>
      </w:r>
      <w:r>
        <w:rPr>
          <w:spacing w:val="-4"/>
        </w:rPr>
        <w:t xml:space="preserve"> </w:t>
      </w:r>
      <w:r>
        <w:t>Authorities:</w:t>
      </w:r>
      <w:r>
        <w:rPr>
          <w:spacing w:val="-5"/>
        </w:rPr>
        <w:t xml:space="preserve"> </w:t>
      </w:r>
      <w:r>
        <w:t>Definition</w:t>
      </w:r>
      <w:r>
        <w:rPr>
          <w:spacing w:val="-5"/>
        </w:rPr>
        <w:t xml:space="preserve"> </w:t>
      </w:r>
      <w:r>
        <w:rPr>
          <w:b w:val="0"/>
        </w:rPr>
        <w:t>(p</w:t>
      </w:r>
      <w:r>
        <w:rPr>
          <w:b w:val="0"/>
          <w:spacing w:val="-4"/>
        </w:rPr>
        <w:t xml:space="preserve"> </w:t>
      </w:r>
      <w:r>
        <w:rPr>
          <w:b w:val="0"/>
          <w:spacing w:val="-5"/>
        </w:rPr>
        <w:t>53)</w:t>
      </w:r>
    </w:p>
    <w:p w14:paraId="7CB25B91" w14:textId="77777777" w:rsidR="008A4099" w:rsidRDefault="006A6EE2">
      <w:pPr>
        <w:pStyle w:val="BodyText"/>
        <w:spacing w:before="157" w:line="276" w:lineRule="auto"/>
        <w:ind w:left="726" w:right="676" w:hanging="567"/>
        <w:jc w:val="both"/>
      </w:pPr>
      <w:r>
        <w:t xml:space="preserve">That the Tasmanian human rights enactment adopt a broad definition of public authority, including organisations performing public functions and organisations that opt-in to public authority </w:t>
      </w:r>
      <w:r>
        <w:rPr>
          <w:spacing w:val="-2"/>
        </w:rPr>
        <w:t>obligations.</w:t>
      </w:r>
    </w:p>
    <w:p w14:paraId="7CB25B92" w14:textId="77777777" w:rsidR="008A4099" w:rsidRDefault="006A6EE2">
      <w:pPr>
        <w:pStyle w:val="BodyText"/>
        <w:spacing w:before="119" w:line="276" w:lineRule="auto"/>
        <w:ind w:left="726" w:right="679" w:hanging="567"/>
        <w:jc w:val="both"/>
      </w:pPr>
      <w:r>
        <w:t>The Tasmanian human rights enactment should explicitly list the sorts of functions that are to be characterised as public functions, including the delivery of emergency, utility, public housing, education, health, disability, and transport services, and the operation of correctional and detention facilities.</w:t>
      </w:r>
    </w:p>
    <w:p w14:paraId="7CB25B93" w14:textId="77777777" w:rsidR="008A4099" w:rsidRDefault="006A6EE2">
      <w:pPr>
        <w:pStyle w:val="BodyText"/>
        <w:spacing w:before="120"/>
        <w:ind w:left="160"/>
        <w:jc w:val="both"/>
      </w:pPr>
      <w:r>
        <w:t>This</w:t>
      </w:r>
      <w:r>
        <w:rPr>
          <w:spacing w:val="-5"/>
        </w:rPr>
        <w:t xml:space="preserve"> </w:t>
      </w:r>
      <w:r>
        <w:t>is</w:t>
      </w:r>
      <w:r>
        <w:rPr>
          <w:spacing w:val="-3"/>
        </w:rPr>
        <w:t xml:space="preserve"> </w:t>
      </w:r>
      <w:r>
        <w:t>consistent</w:t>
      </w:r>
      <w:r>
        <w:rPr>
          <w:spacing w:val="-2"/>
        </w:rPr>
        <w:t xml:space="preserve"> </w:t>
      </w:r>
      <w:r>
        <w:t>with</w:t>
      </w:r>
      <w:r>
        <w:rPr>
          <w:spacing w:val="-6"/>
        </w:rPr>
        <w:t xml:space="preserve"> </w:t>
      </w:r>
      <w:r>
        <w:t>Recommendation</w:t>
      </w:r>
      <w:r>
        <w:rPr>
          <w:spacing w:val="-3"/>
        </w:rPr>
        <w:t xml:space="preserve"> </w:t>
      </w:r>
      <w:r>
        <w:t>8</w:t>
      </w:r>
      <w:r>
        <w:rPr>
          <w:spacing w:val="-2"/>
        </w:rPr>
        <w:t xml:space="preserve"> </w:t>
      </w:r>
      <w:r>
        <w:t>of</w:t>
      </w:r>
      <w:r>
        <w:rPr>
          <w:spacing w:val="-3"/>
        </w:rPr>
        <w:t xml:space="preserve"> </w:t>
      </w:r>
      <w:r>
        <w:t>the</w:t>
      </w:r>
      <w:r>
        <w:rPr>
          <w:spacing w:val="-3"/>
        </w:rPr>
        <w:t xml:space="preserve"> </w:t>
      </w:r>
      <w:r>
        <w:t>2007</w:t>
      </w:r>
      <w:r>
        <w:rPr>
          <w:spacing w:val="-6"/>
        </w:rPr>
        <w:t xml:space="preserve"> </w:t>
      </w:r>
      <w:r>
        <w:t>Final</w:t>
      </w:r>
      <w:r>
        <w:rPr>
          <w:spacing w:val="-2"/>
        </w:rPr>
        <w:t xml:space="preserve"> </w:t>
      </w:r>
      <w:r>
        <w:t>Report</w:t>
      </w:r>
      <w:r>
        <w:rPr>
          <w:spacing w:val="-5"/>
        </w:rPr>
        <w:t xml:space="preserve"> </w:t>
      </w:r>
      <w:r>
        <w:t>(see</w:t>
      </w:r>
      <w:r>
        <w:rPr>
          <w:spacing w:val="-2"/>
        </w:rPr>
        <w:t xml:space="preserve"> </w:t>
      </w:r>
      <w:r>
        <w:t>Appendix</w:t>
      </w:r>
      <w:r>
        <w:rPr>
          <w:spacing w:val="1"/>
        </w:rPr>
        <w:t xml:space="preserve"> </w:t>
      </w:r>
      <w:r>
        <w:rPr>
          <w:spacing w:val="-5"/>
        </w:rPr>
        <w:t>A).</w:t>
      </w:r>
    </w:p>
    <w:p w14:paraId="7CB25B94" w14:textId="77777777" w:rsidR="008A4099" w:rsidRDefault="006A6EE2">
      <w:pPr>
        <w:pStyle w:val="BodyText"/>
        <w:spacing w:before="160" w:line="276" w:lineRule="auto"/>
        <w:ind w:left="726" w:right="675" w:hanging="567"/>
        <w:jc w:val="both"/>
      </w:pPr>
      <w:r>
        <w:t>The treatment of religious bodies within a human rights enactment and anti-discrimination framework (and</w:t>
      </w:r>
      <w:r>
        <w:rPr>
          <w:spacing w:val="-2"/>
        </w:rPr>
        <w:t xml:space="preserve"> </w:t>
      </w:r>
      <w:r>
        <w:t>the</w:t>
      </w:r>
      <w:r>
        <w:rPr>
          <w:spacing w:val="-2"/>
        </w:rPr>
        <w:t xml:space="preserve"> </w:t>
      </w:r>
      <w:r>
        <w:t>interaction between the</w:t>
      </w:r>
      <w:r>
        <w:rPr>
          <w:spacing w:val="-2"/>
        </w:rPr>
        <w:t xml:space="preserve"> </w:t>
      </w:r>
      <w:r>
        <w:t>two</w:t>
      </w:r>
      <w:r>
        <w:rPr>
          <w:spacing w:val="-2"/>
        </w:rPr>
        <w:t xml:space="preserve"> </w:t>
      </w:r>
      <w:r>
        <w:t>frameworks)</w:t>
      </w:r>
      <w:r>
        <w:rPr>
          <w:spacing w:val="-1"/>
        </w:rPr>
        <w:t xml:space="preserve"> </w:t>
      </w:r>
      <w:r>
        <w:t>should be a</w:t>
      </w:r>
      <w:r>
        <w:rPr>
          <w:spacing w:val="-2"/>
        </w:rPr>
        <w:t xml:space="preserve"> </w:t>
      </w:r>
      <w:r>
        <w:t>matter</w:t>
      </w:r>
      <w:r>
        <w:rPr>
          <w:spacing w:val="-1"/>
        </w:rPr>
        <w:t xml:space="preserve"> </w:t>
      </w:r>
      <w:r>
        <w:t>for further review.</w:t>
      </w:r>
      <w:r>
        <w:rPr>
          <w:spacing w:val="-1"/>
        </w:rPr>
        <w:t xml:space="preserve"> </w:t>
      </w:r>
      <w:r>
        <w:t>As part of</w:t>
      </w:r>
      <w:r>
        <w:rPr>
          <w:spacing w:val="37"/>
        </w:rPr>
        <w:t xml:space="preserve"> </w:t>
      </w:r>
      <w:r>
        <w:t>this review, consideration should be given to the human rights enactment providing that</w:t>
      </w:r>
      <w:r>
        <w:rPr>
          <w:spacing w:val="80"/>
        </w:rPr>
        <w:t xml:space="preserve"> </w:t>
      </w:r>
      <w:r>
        <w:t>non-government</w:t>
      </w:r>
      <w:r>
        <w:rPr>
          <w:spacing w:val="-9"/>
        </w:rPr>
        <w:t xml:space="preserve"> </w:t>
      </w:r>
      <w:r>
        <w:t>schools</w:t>
      </w:r>
      <w:r>
        <w:rPr>
          <w:spacing w:val="-9"/>
        </w:rPr>
        <w:t xml:space="preserve"> </w:t>
      </w:r>
      <w:r>
        <w:t>and</w:t>
      </w:r>
      <w:r>
        <w:rPr>
          <w:spacing w:val="-7"/>
        </w:rPr>
        <w:t xml:space="preserve"> </w:t>
      </w:r>
      <w:r>
        <w:t>health</w:t>
      </w:r>
      <w:r>
        <w:rPr>
          <w:spacing w:val="-10"/>
        </w:rPr>
        <w:t xml:space="preserve"> </w:t>
      </w:r>
      <w:r>
        <w:t>services</w:t>
      </w:r>
      <w:r>
        <w:rPr>
          <w:spacing w:val="-6"/>
        </w:rPr>
        <w:t xml:space="preserve"> </w:t>
      </w:r>
      <w:r>
        <w:t>be</w:t>
      </w:r>
      <w:r>
        <w:rPr>
          <w:spacing w:val="-7"/>
        </w:rPr>
        <w:t xml:space="preserve"> </w:t>
      </w:r>
      <w:r>
        <w:t>subject</w:t>
      </w:r>
      <w:r>
        <w:rPr>
          <w:spacing w:val="-8"/>
        </w:rPr>
        <w:t xml:space="preserve"> </w:t>
      </w:r>
      <w:r>
        <w:t>to</w:t>
      </w:r>
      <w:r>
        <w:rPr>
          <w:spacing w:val="-7"/>
        </w:rPr>
        <w:t xml:space="preserve"> </w:t>
      </w:r>
      <w:r>
        <w:t>any</w:t>
      </w:r>
      <w:r>
        <w:rPr>
          <w:spacing w:val="-9"/>
        </w:rPr>
        <w:t xml:space="preserve"> </w:t>
      </w:r>
      <w:r>
        <w:t>Tasmanian</w:t>
      </w:r>
      <w:r>
        <w:rPr>
          <w:spacing w:val="-9"/>
        </w:rPr>
        <w:t xml:space="preserve"> </w:t>
      </w:r>
      <w:r>
        <w:t>Charter</w:t>
      </w:r>
      <w:r>
        <w:rPr>
          <w:spacing w:val="-6"/>
        </w:rPr>
        <w:t xml:space="preserve"> </w:t>
      </w:r>
      <w:r>
        <w:t>of</w:t>
      </w:r>
      <w:r>
        <w:rPr>
          <w:spacing w:val="-6"/>
        </w:rPr>
        <w:t xml:space="preserve"> </w:t>
      </w:r>
      <w:r>
        <w:t>Rights</w:t>
      </w:r>
      <w:r>
        <w:rPr>
          <w:spacing w:val="-9"/>
        </w:rPr>
        <w:t xml:space="preserve"> </w:t>
      </w:r>
      <w:r>
        <w:t>from the outset, rather than deferring decisions about their inclusion to future reviews.</w:t>
      </w:r>
    </w:p>
    <w:p w14:paraId="7CB25B95" w14:textId="77777777" w:rsidR="008A4099" w:rsidRDefault="006A6EE2">
      <w:pPr>
        <w:pStyle w:val="BodyText"/>
        <w:spacing w:before="120" w:line="276" w:lineRule="auto"/>
        <w:ind w:left="160" w:right="677"/>
        <w:jc w:val="both"/>
      </w:pPr>
      <w:r>
        <w:t>This</w:t>
      </w:r>
      <w:r>
        <w:rPr>
          <w:spacing w:val="-10"/>
        </w:rPr>
        <w:t xml:space="preserve"> </w:t>
      </w:r>
      <w:r>
        <w:t>reflects</w:t>
      </w:r>
      <w:r>
        <w:rPr>
          <w:spacing w:val="-11"/>
        </w:rPr>
        <w:t xml:space="preserve"> </w:t>
      </w:r>
      <w:r>
        <w:t>the</w:t>
      </w:r>
      <w:r>
        <w:rPr>
          <w:spacing w:val="-11"/>
        </w:rPr>
        <w:t xml:space="preserve"> </w:t>
      </w:r>
      <w:r>
        <w:t>definition</w:t>
      </w:r>
      <w:r>
        <w:rPr>
          <w:spacing w:val="-11"/>
        </w:rPr>
        <w:t xml:space="preserve"> </w:t>
      </w:r>
      <w:r>
        <w:t>of</w:t>
      </w:r>
      <w:r>
        <w:rPr>
          <w:spacing w:val="-9"/>
        </w:rPr>
        <w:t xml:space="preserve"> </w:t>
      </w:r>
      <w:r>
        <w:t>public</w:t>
      </w:r>
      <w:r>
        <w:rPr>
          <w:spacing w:val="-9"/>
        </w:rPr>
        <w:t xml:space="preserve"> </w:t>
      </w:r>
      <w:r>
        <w:t>authority</w:t>
      </w:r>
      <w:r>
        <w:rPr>
          <w:spacing w:val="-10"/>
        </w:rPr>
        <w:t xml:space="preserve"> </w:t>
      </w:r>
      <w:r>
        <w:t>contained</w:t>
      </w:r>
      <w:r>
        <w:rPr>
          <w:spacing w:val="-10"/>
        </w:rPr>
        <w:t xml:space="preserve"> </w:t>
      </w:r>
      <w:r>
        <w:t>in</w:t>
      </w:r>
      <w:r>
        <w:rPr>
          <w:spacing w:val="-10"/>
        </w:rPr>
        <w:t xml:space="preserve"> </w:t>
      </w:r>
      <w:r>
        <w:t>Recommendation</w:t>
      </w:r>
      <w:r>
        <w:rPr>
          <w:spacing w:val="-11"/>
        </w:rPr>
        <w:t xml:space="preserve"> </w:t>
      </w:r>
      <w:r>
        <w:t>8</w:t>
      </w:r>
      <w:r>
        <w:rPr>
          <w:spacing w:val="-10"/>
        </w:rPr>
        <w:t xml:space="preserve"> </w:t>
      </w:r>
      <w:r>
        <w:t>in</w:t>
      </w:r>
      <w:r>
        <w:rPr>
          <w:spacing w:val="-11"/>
        </w:rPr>
        <w:t xml:space="preserve"> </w:t>
      </w:r>
      <w:r>
        <w:t>the</w:t>
      </w:r>
      <w:r>
        <w:rPr>
          <w:spacing w:val="-9"/>
        </w:rPr>
        <w:t xml:space="preserve"> </w:t>
      </w:r>
      <w:r>
        <w:t>2007</w:t>
      </w:r>
      <w:r>
        <w:rPr>
          <w:spacing w:val="-10"/>
        </w:rPr>
        <w:t xml:space="preserve"> </w:t>
      </w:r>
      <w:r>
        <w:t>Final</w:t>
      </w:r>
      <w:r>
        <w:rPr>
          <w:spacing w:val="-9"/>
        </w:rPr>
        <w:t xml:space="preserve"> </w:t>
      </w:r>
      <w:r>
        <w:t>Report (see Appendix A).</w:t>
      </w:r>
    </w:p>
    <w:p w14:paraId="7CB25B96" w14:textId="77777777" w:rsidR="008A4099" w:rsidRDefault="008A4099">
      <w:pPr>
        <w:pStyle w:val="BodyText"/>
      </w:pPr>
    </w:p>
    <w:p w14:paraId="7CB25B97" w14:textId="77777777" w:rsidR="008A4099" w:rsidRDefault="008A4099">
      <w:pPr>
        <w:pStyle w:val="BodyText"/>
        <w:spacing w:before="24"/>
      </w:pPr>
    </w:p>
    <w:p w14:paraId="7CB25B98" w14:textId="77777777" w:rsidR="008A4099" w:rsidRDefault="006A6EE2">
      <w:pPr>
        <w:pStyle w:val="Heading5"/>
        <w:spacing w:line="391" w:lineRule="auto"/>
        <w:ind w:right="6499"/>
        <w:jc w:val="both"/>
        <w:rPr>
          <w:b w:val="0"/>
        </w:rPr>
      </w:pPr>
      <w:r>
        <w:t>Inclusion</w:t>
      </w:r>
      <w:r>
        <w:rPr>
          <w:spacing w:val="-9"/>
        </w:rPr>
        <w:t xml:space="preserve"> </w:t>
      </w:r>
      <w:r>
        <w:t>of</w:t>
      </w:r>
      <w:r>
        <w:rPr>
          <w:spacing w:val="-9"/>
        </w:rPr>
        <w:t xml:space="preserve"> </w:t>
      </w:r>
      <w:r>
        <w:t>Courts</w:t>
      </w:r>
      <w:r>
        <w:rPr>
          <w:spacing w:val="-9"/>
        </w:rPr>
        <w:t xml:space="preserve"> </w:t>
      </w:r>
      <w:r>
        <w:t>and</w:t>
      </w:r>
      <w:r>
        <w:rPr>
          <w:spacing w:val="-9"/>
        </w:rPr>
        <w:t xml:space="preserve"> </w:t>
      </w:r>
      <w:r>
        <w:t xml:space="preserve">Tribunals Recommendation 4 </w:t>
      </w:r>
      <w:r>
        <w:rPr>
          <w:b w:val="0"/>
        </w:rPr>
        <w:t>(p 58)</w:t>
      </w:r>
    </w:p>
    <w:p w14:paraId="7CB25B99" w14:textId="77777777" w:rsidR="008A4099" w:rsidRDefault="006A6EE2">
      <w:pPr>
        <w:pStyle w:val="BodyText"/>
        <w:spacing w:line="276" w:lineRule="auto"/>
        <w:ind w:left="726" w:right="673" w:hanging="567"/>
        <w:jc w:val="both"/>
      </w:pPr>
      <w:r>
        <w:t>That a Tasmanian human rights enactment apply to the interpretation of the common law, as well as statutory law, and should include an explicit provision to the effect that all non-statutory law, including</w:t>
      </w:r>
      <w:r>
        <w:rPr>
          <w:spacing w:val="20"/>
        </w:rPr>
        <w:t xml:space="preserve"> </w:t>
      </w:r>
      <w:r>
        <w:t>the</w:t>
      </w:r>
      <w:r>
        <w:rPr>
          <w:spacing w:val="20"/>
        </w:rPr>
        <w:t xml:space="preserve"> </w:t>
      </w:r>
      <w:r>
        <w:t>substantive</w:t>
      </w:r>
      <w:r>
        <w:rPr>
          <w:spacing w:val="20"/>
        </w:rPr>
        <w:t xml:space="preserve"> </w:t>
      </w:r>
      <w:r>
        <w:t>and</w:t>
      </w:r>
      <w:r>
        <w:rPr>
          <w:spacing w:val="23"/>
        </w:rPr>
        <w:t xml:space="preserve"> </w:t>
      </w:r>
      <w:r>
        <w:t>adjectival</w:t>
      </w:r>
      <w:r>
        <w:rPr>
          <w:spacing w:val="21"/>
        </w:rPr>
        <w:t xml:space="preserve"> </w:t>
      </w:r>
      <w:r>
        <w:t>(procedural)</w:t>
      </w:r>
      <w:r>
        <w:rPr>
          <w:spacing w:val="21"/>
        </w:rPr>
        <w:t xml:space="preserve"> </w:t>
      </w:r>
      <w:r>
        <w:t>law,</w:t>
      </w:r>
      <w:r>
        <w:rPr>
          <w:spacing w:val="19"/>
        </w:rPr>
        <w:t xml:space="preserve"> </w:t>
      </w:r>
      <w:r>
        <w:t>is</w:t>
      </w:r>
      <w:r>
        <w:rPr>
          <w:spacing w:val="21"/>
        </w:rPr>
        <w:t xml:space="preserve"> </w:t>
      </w:r>
      <w:r>
        <w:t>amended</w:t>
      </w:r>
      <w:r>
        <w:rPr>
          <w:spacing w:val="20"/>
        </w:rPr>
        <w:t xml:space="preserve"> </w:t>
      </w:r>
      <w:r>
        <w:t>by</w:t>
      </w:r>
      <w:r>
        <w:rPr>
          <w:spacing w:val="20"/>
        </w:rPr>
        <w:t xml:space="preserve"> </w:t>
      </w:r>
      <w:r>
        <w:t>the</w:t>
      </w:r>
      <w:r>
        <w:rPr>
          <w:spacing w:val="21"/>
        </w:rPr>
        <w:t xml:space="preserve"> </w:t>
      </w:r>
      <w:r>
        <w:t>Charter</w:t>
      </w:r>
      <w:r>
        <w:rPr>
          <w:spacing w:val="21"/>
        </w:rPr>
        <w:t xml:space="preserve"> </w:t>
      </w:r>
      <w:r>
        <w:t>so</w:t>
      </w:r>
      <w:r>
        <w:rPr>
          <w:spacing w:val="21"/>
        </w:rPr>
        <w:t xml:space="preserve"> </w:t>
      </w:r>
      <w:r>
        <w:t>as</w:t>
      </w:r>
      <w:r>
        <w:rPr>
          <w:spacing w:val="21"/>
        </w:rPr>
        <w:t xml:space="preserve"> </w:t>
      </w:r>
      <w:r>
        <w:t>to</w:t>
      </w:r>
    </w:p>
    <w:p w14:paraId="7CB25B9A" w14:textId="77777777" w:rsidR="008A4099" w:rsidRDefault="008A4099">
      <w:pPr>
        <w:spacing w:line="276" w:lineRule="auto"/>
        <w:jc w:val="both"/>
        <w:sectPr w:rsidR="008A4099" w:rsidSect="00D43B2D">
          <w:headerReference w:type="default" r:id="rId27"/>
          <w:pgSz w:w="11910" w:h="16840"/>
          <w:pgMar w:top="1800" w:right="760" w:bottom="940" w:left="1280" w:header="1454" w:footer="0" w:gutter="0"/>
          <w:cols w:space="720"/>
        </w:sectPr>
      </w:pPr>
    </w:p>
    <w:p w14:paraId="7CB25B9B" w14:textId="77777777" w:rsidR="008A4099" w:rsidRDefault="006A6EE2">
      <w:pPr>
        <w:pStyle w:val="BodyText"/>
        <w:spacing w:before="62" w:line="276" w:lineRule="auto"/>
        <w:ind w:left="726" w:right="680"/>
      </w:pPr>
      <w:r>
        <w:lastRenderedPageBreak/>
        <w:t>conform</w:t>
      </w:r>
      <w:r>
        <w:rPr>
          <w:spacing w:val="-8"/>
        </w:rPr>
        <w:t xml:space="preserve"> </w:t>
      </w:r>
      <w:r>
        <w:t>to</w:t>
      </w:r>
      <w:r>
        <w:rPr>
          <w:spacing w:val="-6"/>
        </w:rPr>
        <w:t xml:space="preserve"> </w:t>
      </w:r>
      <w:r>
        <w:t>human</w:t>
      </w:r>
      <w:r>
        <w:rPr>
          <w:spacing w:val="-6"/>
        </w:rPr>
        <w:t xml:space="preserve"> </w:t>
      </w:r>
      <w:r>
        <w:t>rights</w:t>
      </w:r>
      <w:r>
        <w:rPr>
          <w:spacing w:val="-5"/>
        </w:rPr>
        <w:t xml:space="preserve"> </w:t>
      </w:r>
      <w:r>
        <w:t>as</w:t>
      </w:r>
      <w:r>
        <w:rPr>
          <w:spacing w:val="-8"/>
        </w:rPr>
        <w:t xml:space="preserve"> </w:t>
      </w:r>
      <w:r>
        <w:t>defined</w:t>
      </w:r>
      <w:r>
        <w:rPr>
          <w:spacing w:val="-6"/>
        </w:rPr>
        <w:t xml:space="preserve"> </w:t>
      </w:r>
      <w:r>
        <w:t>and</w:t>
      </w:r>
      <w:r>
        <w:rPr>
          <w:spacing w:val="-8"/>
        </w:rPr>
        <w:t xml:space="preserve"> </w:t>
      </w:r>
      <w:r>
        <w:t>limited</w:t>
      </w:r>
      <w:r>
        <w:rPr>
          <w:spacing w:val="-6"/>
        </w:rPr>
        <w:t xml:space="preserve"> </w:t>
      </w:r>
      <w:r>
        <w:t>in</w:t>
      </w:r>
      <w:r>
        <w:rPr>
          <w:spacing w:val="-6"/>
        </w:rPr>
        <w:t xml:space="preserve"> </w:t>
      </w:r>
      <w:r>
        <w:t>the</w:t>
      </w:r>
      <w:r>
        <w:rPr>
          <w:spacing w:val="-6"/>
        </w:rPr>
        <w:t xml:space="preserve"> </w:t>
      </w:r>
      <w:r>
        <w:t>Charter,</w:t>
      </w:r>
      <w:r>
        <w:rPr>
          <w:spacing w:val="-6"/>
        </w:rPr>
        <w:t xml:space="preserve"> </w:t>
      </w:r>
      <w:r>
        <w:t>and</w:t>
      </w:r>
      <w:r>
        <w:rPr>
          <w:spacing w:val="-6"/>
        </w:rPr>
        <w:t xml:space="preserve"> </w:t>
      </w:r>
      <w:r>
        <w:t>that</w:t>
      </w:r>
      <w:r>
        <w:rPr>
          <w:spacing w:val="-5"/>
        </w:rPr>
        <w:t xml:space="preserve"> </w:t>
      </w:r>
      <w:r>
        <w:t>any</w:t>
      </w:r>
      <w:r>
        <w:rPr>
          <w:spacing w:val="-6"/>
        </w:rPr>
        <w:t xml:space="preserve"> </w:t>
      </w:r>
      <w:r>
        <w:t>conflict</w:t>
      </w:r>
      <w:r>
        <w:rPr>
          <w:spacing w:val="-7"/>
        </w:rPr>
        <w:t xml:space="preserve"> </w:t>
      </w:r>
      <w:r>
        <w:t>with</w:t>
      </w:r>
      <w:r>
        <w:rPr>
          <w:spacing w:val="-6"/>
        </w:rPr>
        <w:t xml:space="preserve"> </w:t>
      </w:r>
      <w:r>
        <w:t>Charter rights is to be resolved in favour of the Charter.</w:t>
      </w:r>
    </w:p>
    <w:p w14:paraId="7CB25B9C" w14:textId="77777777" w:rsidR="008A4099" w:rsidRDefault="006A6EE2">
      <w:pPr>
        <w:pStyle w:val="BodyText"/>
        <w:spacing w:before="120"/>
        <w:ind w:left="160"/>
        <w:jc w:val="both"/>
      </w:pPr>
      <w:r>
        <w:t>This</w:t>
      </w:r>
      <w:r>
        <w:rPr>
          <w:spacing w:val="-7"/>
        </w:rPr>
        <w:t xml:space="preserve"> </w:t>
      </w:r>
      <w:r>
        <w:t>is</w:t>
      </w:r>
      <w:r>
        <w:rPr>
          <w:spacing w:val="-2"/>
        </w:rPr>
        <w:t xml:space="preserve"> </w:t>
      </w:r>
      <w:r>
        <w:t>consistent</w:t>
      </w:r>
      <w:r>
        <w:rPr>
          <w:spacing w:val="-1"/>
        </w:rPr>
        <w:t xml:space="preserve"> </w:t>
      </w:r>
      <w:r>
        <w:t>with</w:t>
      </w:r>
      <w:r>
        <w:rPr>
          <w:spacing w:val="-5"/>
        </w:rPr>
        <w:t xml:space="preserve"> </w:t>
      </w:r>
      <w:r>
        <w:t>Recommendations</w:t>
      </w:r>
      <w:r>
        <w:rPr>
          <w:spacing w:val="-2"/>
        </w:rPr>
        <w:t xml:space="preserve"> </w:t>
      </w:r>
      <w:r>
        <w:t>8</w:t>
      </w:r>
      <w:r>
        <w:rPr>
          <w:spacing w:val="-5"/>
        </w:rPr>
        <w:t xml:space="preserve"> </w:t>
      </w:r>
      <w:r>
        <w:t>and</w:t>
      </w:r>
      <w:r>
        <w:rPr>
          <w:spacing w:val="-2"/>
        </w:rPr>
        <w:t xml:space="preserve"> </w:t>
      </w:r>
      <w:r>
        <w:t>11</w:t>
      </w:r>
      <w:r>
        <w:rPr>
          <w:spacing w:val="-2"/>
        </w:rPr>
        <w:t xml:space="preserve"> </w:t>
      </w:r>
      <w:r>
        <w:t>in</w:t>
      </w:r>
      <w:r>
        <w:rPr>
          <w:spacing w:val="-5"/>
        </w:rPr>
        <w:t xml:space="preserve"> </w:t>
      </w:r>
      <w:r>
        <w:t>the</w:t>
      </w:r>
      <w:r>
        <w:rPr>
          <w:spacing w:val="-2"/>
        </w:rPr>
        <w:t xml:space="preserve"> </w:t>
      </w:r>
      <w:r>
        <w:t>2007</w:t>
      </w:r>
      <w:r>
        <w:rPr>
          <w:spacing w:val="-3"/>
        </w:rPr>
        <w:t xml:space="preserve"> </w:t>
      </w:r>
      <w:r>
        <w:t>Final</w:t>
      </w:r>
      <w:r>
        <w:rPr>
          <w:spacing w:val="-1"/>
        </w:rPr>
        <w:t xml:space="preserve"> </w:t>
      </w:r>
      <w:r>
        <w:t>Report</w:t>
      </w:r>
      <w:r>
        <w:rPr>
          <w:spacing w:val="-4"/>
        </w:rPr>
        <w:t xml:space="preserve"> </w:t>
      </w:r>
      <w:r>
        <w:t>(see</w:t>
      </w:r>
      <w:r>
        <w:rPr>
          <w:spacing w:val="-4"/>
        </w:rPr>
        <w:t xml:space="preserve"> </w:t>
      </w:r>
      <w:r>
        <w:t>Appendix</w:t>
      </w:r>
      <w:r>
        <w:rPr>
          <w:spacing w:val="1"/>
        </w:rPr>
        <w:t xml:space="preserve"> </w:t>
      </w:r>
      <w:r>
        <w:rPr>
          <w:spacing w:val="-5"/>
        </w:rPr>
        <w:t>A).</w:t>
      </w:r>
    </w:p>
    <w:p w14:paraId="7CB25B9D" w14:textId="77777777" w:rsidR="008A4099" w:rsidRDefault="008A4099">
      <w:pPr>
        <w:pStyle w:val="BodyText"/>
      </w:pPr>
    </w:p>
    <w:p w14:paraId="7CB25B9E" w14:textId="77777777" w:rsidR="008A4099" w:rsidRDefault="008A4099">
      <w:pPr>
        <w:pStyle w:val="BodyText"/>
        <w:spacing w:before="64"/>
      </w:pPr>
    </w:p>
    <w:p w14:paraId="7CB25B9F" w14:textId="77777777" w:rsidR="008A4099" w:rsidRDefault="006A6EE2">
      <w:pPr>
        <w:ind w:left="160"/>
        <w:jc w:val="both"/>
      </w:pPr>
      <w:r>
        <w:rPr>
          <w:b/>
        </w:rPr>
        <w:t>Recommendation</w:t>
      </w:r>
      <w:r>
        <w:rPr>
          <w:b/>
          <w:spacing w:val="-4"/>
        </w:rPr>
        <w:t xml:space="preserve"> </w:t>
      </w:r>
      <w:r>
        <w:rPr>
          <w:b/>
        </w:rPr>
        <w:t>5</w:t>
      </w:r>
      <w:r>
        <w:rPr>
          <w:b/>
          <w:spacing w:val="-3"/>
        </w:rPr>
        <w:t xml:space="preserve"> </w:t>
      </w:r>
      <w:r>
        <w:t>(p</w:t>
      </w:r>
      <w:r>
        <w:rPr>
          <w:spacing w:val="-4"/>
        </w:rPr>
        <w:t xml:space="preserve"> </w:t>
      </w:r>
      <w:r>
        <w:rPr>
          <w:spacing w:val="-5"/>
        </w:rPr>
        <w:t>58)</w:t>
      </w:r>
    </w:p>
    <w:p w14:paraId="7CB25BA0" w14:textId="77777777" w:rsidR="008A4099" w:rsidRDefault="006A6EE2">
      <w:pPr>
        <w:pStyle w:val="BodyText"/>
        <w:spacing w:before="157" w:line="276" w:lineRule="auto"/>
        <w:ind w:left="726" w:right="674" w:hanging="567"/>
        <w:jc w:val="both"/>
      </w:pPr>
      <w:r>
        <w:t>That courts and tribunals be included in the definition of public authority when acting in an administrative capacity or in the exercise of procedure. However, this inclusion needs to be reconciled with the enforcement provisions adopted in the human rights enactment, particularly the avenues of redress.</w:t>
      </w:r>
    </w:p>
    <w:p w14:paraId="7CB25BA1" w14:textId="77777777" w:rsidR="008A4099" w:rsidRDefault="006A6EE2">
      <w:pPr>
        <w:pStyle w:val="BodyText"/>
        <w:spacing w:before="121"/>
        <w:ind w:left="160"/>
        <w:jc w:val="both"/>
      </w:pPr>
      <w:r>
        <w:t>This</w:t>
      </w:r>
      <w:r>
        <w:rPr>
          <w:spacing w:val="-7"/>
        </w:rPr>
        <w:t xml:space="preserve"> </w:t>
      </w:r>
      <w:r>
        <w:t>is</w:t>
      </w:r>
      <w:r>
        <w:rPr>
          <w:spacing w:val="-2"/>
        </w:rPr>
        <w:t xml:space="preserve"> </w:t>
      </w:r>
      <w:r>
        <w:t>consistent</w:t>
      </w:r>
      <w:r>
        <w:rPr>
          <w:spacing w:val="-1"/>
        </w:rPr>
        <w:t xml:space="preserve"> </w:t>
      </w:r>
      <w:r>
        <w:t>with</w:t>
      </w:r>
      <w:r>
        <w:rPr>
          <w:spacing w:val="-5"/>
        </w:rPr>
        <w:t xml:space="preserve"> </w:t>
      </w:r>
      <w:r>
        <w:t>Recommendations</w:t>
      </w:r>
      <w:r>
        <w:rPr>
          <w:spacing w:val="-3"/>
        </w:rPr>
        <w:t xml:space="preserve"> </w:t>
      </w:r>
      <w:r>
        <w:t>8</w:t>
      </w:r>
      <w:r>
        <w:rPr>
          <w:spacing w:val="-4"/>
        </w:rPr>
        <w:t xml:space="preserve"> </w:t>
      </w:r>
      <w:r>
        <w:t>and</w:t>
      </w:r>
      <w:r>
        <w:rPr>
          <w:spacing w:val="-2"/>
        </w:rPr>
        <w:t xml:space="preserve"> </w:t>
      </w:r>
      <w:r>
        <w:t>11</w:t>
      </w:r>
      <w:r>
        <w:rPr>
          <w:spacing w:val="-2"/>
        </w:rPr>
        <w:t xml:space="preserve"> </w:t>
      </w:r>
      <w:r>
        <w:t>in</w:t>
      </w:r>
      <w:r>
        <w:rPr>
          <w:spacing w:val="-5"/>
        </w:rPr>
        <w:t xml:space="preserve"> </w:t>
      </w:r>
      <w:r>
        <w:t>the</w:t>
      </w:r>
      <w:r>
        <w:rPr>
          <w:spacing w:val="-3"/>
        </w:rPr>
        <w:t xml:space="preserve"> </w:t>
      </w:r>
      <w:r>
        <w:t>2007</w:t>
      </w:r>
      <w:r>
        <w:rPr>
          <w:spacing w:val="-2"/>
        </w:rPr>
        <w:t xml:space="preserve"> </w:t>
      </w:r>
      <w:r>
        <w:t>Final</w:t>
      </w:r>
      <w:r>
        <w:rPr>
          <w:spacing w:val="-1"/>
        </w:rPr>
        <w:t xml:space="preserve"> </w:t>
      </w:r>
      <w:r>
        <w:t>Report</w:t>
      </w:r>
      <w:r>
        <w:rPr>
          <w:spacing w:val="-4"/>
        </w:rPr>
        <w:t xml:space="preserve"> </w:t>
      </w:r>
      <w:r>
        <w:t>(see</w:t>
      </w:r>
      <w:r>
        <w:rPr>
          <w:spacing w:val="-4"/>
        </w:rPr>
        <w:t xml:space="preserve"> </w:t>
      </w:r>
      <w:r>
        <w:t>Appendix</w:t>
      </w:r>
      <w:r>
        <w:rPr>
          <w:spacing w:val="-5"/>
        </w:rPr>
        <w:t xml:space="preserve"> A).</w:t>
      </w:r>
    </w:p>
    <w:p w14:paraId="7CB25BA2" w14:textId="77777777" w:rsidR="008A4099" w:rsidRDefault="008A4099">
      <w:pPr>
        <w:pStyle w:val="BodyText"/>
      </w:pPr>
    </w:p>
    <w:p w14:paraId="7CB25BA3" w14:textId="77777777" w:rsidR="008A4099" w:rsidRDefault="008A4099">
      <w:pPr>
        <w:pStyle w:val="BodyText"/>
        <w:spacing w:before="163"/>
      </w:pPr>
    </w:p>
    <w:p w14:paraId="7CB25BA4" w14:textId="77777777" w:rsidR="008A4099" w:rsidRDefault="006A6EE2">
      <w:pPr>
        <w:pStyle w:val="Heading5"/>
        <w:jc w:val="both"/>
        <w:rPr>
          <w:b w:val="0"/>
        </w:rPr>
      </w:pPr>
      <w:r>
        <w:t>Recommendation</w:t>
      </w:r>
      <w:r>
        <w:rPr>
          <w:spacing w:val="-4"/>
        </w:rPr>
        <w:t xml:space="preserve"> </w:t>
      </w:r>
      <w:r>
        <w:t>6</w:t>
      </w:r>
      <w:r>
        <w:rPr>
          <w:spacing w:val="-3"/>
        </w:rPr>
        <w:t xml:space="preserve"> </w:t>
      </w:r>
      <w:r>
        <w:t>–</w:t>
      </w:r>
      <w:r>
        <w:rPr>
          <w:spacing w:val="-3"/>
        </w:rPr>
        <w:t xml:space="preserve"> </w:t>
      </w:r>
      <w:r>
        <w:t>Exempt</w:t>
      </w:r>
      <w:r>
        <w:rPr>
          <w:spacing w:val="-4"/>
        </w:rPr>
        <w:t xml:space="preserve"> </w:t>
      </w:r>
      <w:r>
        <w:t>Organisations</w:t>
      </w:r>
      <w:r>
        <w:rPr>
          <w:spacing w:val="-4"/>
        </w:rPr>
        <w:t xml:space="preserve"> </w:t>
      </w:r>
      <w:r>
        <w:rPr>
          <w:b w:val="0"/>
        </w:rPr>
        <w:t>(p</w:t>
      </w:r>
      <w:r>
        <w:rPr>
          <w:b w:val="0"/>
          <w:spacing w:val="-3"/>
        </w:rPr>
        <w:t xml:space="preserve"> </w:t>
      </w:r>
      <w:r>
        <w:rPr>
          <w:b w:val="0"/>
          <w:spacing w:val="-5"/>
        </w:rPr>
        <w:t>59)</w:t>
      </w:r>
    </w:p>
    <w:p w14:paraId="7CB25BA5" w14:textId="77777777" w:rsidR="008A4099" w:rsidRDefault="008A4099">
      <w:pPr>
        <w:pStyle w:val="BodyText"/>
        <w:spacing w:before="5"/>
      </w:pPr>
    </w:p>
    <w:p w14:paraId="7CB25BA6" w14:textId="77777777" w:rsidR="008A4099" w:rsidRDefault="006A6EE2">
      <w:pPr>
        <w:pStyle w:val="BodyText"/>
        <w:spacing w:line="276" w:lineRule="auto"/>
        <w:ind w:left="726" w:right="679" w:hanging="567"/>
        <w:jc w:val="both"/>
      </w:pPr>
      <w:r>
        <w:t>That, if provision is made in a Tasmanian human rights enactment for exempting or excluding organisations from human rights obligations, any instrument containing such exemptions or exclusions</w:t>
      </w:r>
      <w:r>
        <w:rPr>
          <w:spacing w:val="-6"/>
        </w:rPr>
        <w:t xml:space="preserve"> </w:t>
      </w:r>
      <w:r>
        <w:t>be</w:t>
      </w:r>
      <w:r>
        <w:rPr>
          <w:spacing w:val="-7"/>
        </w:rPr>
        <w:t xml:space="preserve"> </w:t>
      </w:r>
      <w:r>
        <w:t>subject</w:t>
      </w:r>
      <w:r>
        <w:rPr>
          <w:spacing w:val="-6"/>
        </w:rPr>
        <w:t xml:space="preserve"> </w:t>
      </w:r>
      <w:r>
        <w:t>to</w:t>
      </w:r>
      <w:r>
        <w:rPr>
          <w:spacing w:val="-7"/>
        </w:rPr>
        <w:t xml:space="preserve"> </w:t>
      </w:r>
      <w:r>
        <w:t>disallowance</w:t>
      </w:r>
      <w:r>
        <w:rPr>
          <w:spacing w:val="-9"/>
        </w:rPr>
        <w:t xml:space="preserve"> </w:t>
      </w:r>
      <w:r>
        <w:t>to</w:t>
      </w:r>
      <w:r>
        <w:rPr>
          <w:spacing w:val="-7"/>
        </w:rPr>
        <w:t xml:space="preserve"> </w:t>
      </w:r>
      <w:r>
        <w:t>enable</w:t>
      </w:r>
      <w:r>
        <w:rPr>
          <w:spacing w:val="-7"/>
        </w:rPr>
        <w:t xml:space="preserve"> </w:t>
      </w:r>
      <w:r>
        <w:t>parliamentary</w:t>
      </w:r>
      <w:r>
        <w:rPr>
          <w:spacing w:val="-7"/>
        </w:rPr>
        <w:t xml:space="preserve"> </w:t>
      </w:r>
      <w:r>
        <w:t>scrutiny</w:t>
      </w:r>
      <w:r>
        <w:rPr>
          <w:spacing w:val="-7"/>
        </w:rPr>
        <w:t xml:space="preserve"> </w:t>
      </w:r>
      <w:r>
        <w:t>of</w:t>
      </w:r>
      <w:r>
        <w:rPr>
          <w:spacing w:val="-6"/>
        </w:rPr>
        <w:t xml:space="preserve"> </w:t>
      </w:r>
      <w:r>
        <w:t>whether</w:t>
      </w:r>
      <w:r>
        <w:rPr>
          <w:spacing w:val="-6"/>
        </w:rPr>
        <w:t xml:space="preserve"> </w:t>
      </w:r>
      <w:r>
        <w:t>the</w:t>
      </w:r>
      <w:r>
        <w:rPr>
          <w:spacing w:val="-7"/>
        </w:rPr>
        <w:t xml:space="preserve"> </w:t>
      </w:r>
      <w:r>
        <w:t>exemption or exclusion is justifiable.</w:t>
      </w:r>
    </w:p>
    <w:p w14:paraId="7CB25BA7" w14:textId="77777777" w:rsidR="008A4099" w:rsidRDefault="006A6EE2">
      <w:pPr>
        <w:pStyle w:val="BodyText"/>
        <w:spacing w:before="221"/>
        <w:ind w:left="160"/>
        <w:jc w:val="both"/>
      </w:pPr>
      <w:r>
        <w:t>This</w:t>
      </w:r>
      <w:r>
        <w:rPr>
          <w:spacing w:val="-1"/>
        </w:rPr>
        <w:t xml:space="preserve"> </w:t>
      </w:r>
      <w:r>
        <w:t>was</w:t>
      </w:r>
      <w:r>
        <w:rPr>
          <w:spacing w:val="-2"/>
        </w:rPr>
        <w:t xml:space="preserve"> </w:t>
      </w:r>
      <w:r>
        <w:t>not</w:t>
      </w:r>
      <w:r>
        <w:rPr>
          <w:spacing w:val="-3"/>
        </w:rPr>
        <w:t xml:space="preserve"> </w:t>
      </w:r>
      <w:r>
        <w:t>addressed</w:t>
      </w:r>
      <w:r>
        <w:rPr>
          <w:spacing w:val="-5"/>
        </w:rPr>
        <w:t xml:space="preserve"> </w:t>
      </w:r>
      <w:r>
        <w:t>in</w:t>
      </w:r>
      <w:r>
        <w:rPr>
          <w:spacing w:val="-2"/>
        </w:rPr>
        <w:t xml:space="preserve"> </w:t>
      </w:r>
      <w:r>
        <w:t>the</w:t>
      </w:r>
      <w:r>
        <w:rPr>
          <w:spacing w:val="-2"/>
        </w:rPr>
        <w:t xml:space="preserve"> </w:t>
      </w:r>
      <w:r>
        <w:t>2007</w:t>
      </w:r>
      <w:r>
        <w:rPr>
          <w:spacing w:val="-2"/>
        </w:rPr>
        <w:t xml:space="preserve"> </w:t>
      </w:r>
      <w:r>
        <w:t xml:space="preserve">Final </w:t>
      </w:r>
      <w:r>
        <w:rPr>
          <w:spacing w:val="-2"/>
        </w:rPr>
        <w:t>Report.</w:t>
      </w:r>
    </w:p>
    <w:p w14:paraId="7CB25BA8" w14:textId="77777777" w:rsidR="008A4099" w:rsidRDefault="008A4099">
      <w:pPr>
        <w:pStyle w:val="BodyText"/>
      </w:pPr>
    </w:p>
    <w:p w14:paraId="7CB25BA9" w14:textId="77777777" w:rsidR="008A4099" w:rsidRDefault="008A4099">
      <w:pPr>
        <w:pStyle w:val="BodyText"/>
        <w:spacing w:before="163"/>
      </w:pPr>
    </w:p>
    <w:p w14:paraId="7CB25BAA" w14:textId="77777777" w:rsidR="008A4099" w:rsidRDefault="006A6EE2">
      <w:pPr>
        <w:pStyle w:val="Heading5"/>
        <w:jc w:val="both"/>
        <w:rPr>
          <w:b w:val="0"/>
        </w:rPr>
      </w:pPr>
      <w:r>
        <w:t>Recommendation</w:t>
      </w:r>
      <w:r>
        <w:rPr>
          <w:spacing w:val="-4"/>
        </w:rPr>
        <w:t xml:space="preserve"> </w:t>
      </w:r>
      <w:r>
        <w:t>7</w:t>
      </w:r>
      <w:r>
        <w:rPr>
          <w:spacing w:val="-3"/>
        </w:rPr>
        <w:t xml:space="preserve"> </w:t>
      </w:r>
      <w:r>
        <w:t>–</w:t>
      </w:r>
      <w:r>
        <w:rPr>
          <w:spacing w:val="-3"/>
        </w:rPr>
        <w:t xml:space="preserve"> </w:t>
      </w:r>
      <w:r>
        <w:t>Inclusion</w:t>
      </w:r>
      <w:r>
        <w:rPr>
          <w:spacing w:val="-3"/>
        </w:rPr>
        <w:t xml:space="preserve"> </w:t>
      </w:r>
      <w:r>
        <w:t>of</w:t>
      </w:r>
      <w:r>
        <w:rPr>
          <w:spacing w:val="-4"/>
        </w:rPr>
        <w:t xml:space="preserve"> </w:t>
      </w:r>
      <w:r>
        <w:t>Economic,</w:t>
      </w:r>
      <w:r>
        <w:rPr>
          <w:spacing w:val="-3"/>
        </w:rPr>
        <w:t xml:space="preserve"> </w:t>
      </w:r>
      <w:r>
        <w:t>Social,</w:t>
      </w:r>
      <w:r>
        <w:rPr>
          <w:spacing w:val="-6"/>
        </w:rPr>
        <w:t xml:space="preserve"> </w:t>
      </w:r>
      <w:r>
        <w:t>and</w:t>
      </w:r>
      <w:r>
        <w:rPr>
          <w:spacing w:val="-4"/>
        </w:rPr>
        <w:t xml:space="preserve"> </w:t>
      </w:r>
      <w:r>
        <w:t>Cultural</w:t>
      </w:r>
      <w:r>
        <w:rPr>
          <w:spacing w:val="-2"/>
        </w:rPr>
        <w:t xml:space="preserve"> </w:t>
      </w:r>
      <w:r>
        <w:t>Rights</w:t>
      </w:r>
      <w:r>
        <w:rPr>
          <w:spacing w:val="-2"/>
        </w:rPr>
        <w:t xml:space="preserve"> </w:t>
      </w:r>
      <w:r>
        <w:rPr>
          <w:b w:val="0"/>
        </w:rPr>
        <w:t>(p</w:t>
      </w:r>
      <w:r>
        <w:rPr>
          <w:b w:val="0"/>
          <w:spacing w:val="-5"/>
        </w:rPr>
        <w:t xml:space="preserve"> 66)</w:t>
      </w:r>
    </w:p>
    <w:p w14:paraId="7CB25BAB" w14:textId="77777777" w:rsidR="008A4099" w:rsidRDefault="006A6EE2">
      <w:pPr>
        <w:pStyle w:val="BodyText"/>
        <w:spacing w:before="158" w:line="276" w:lineRule="auto"/>
        <w:ind w:left="726" w:right="680" w:hanging="567"/>
        <w:jc w:val="both"/>
      </w:pPr>
      <w:r>
        <w:t>That the rights protected in the Tasmanian Human Rights Act or Charter extend beyond civil and political rights.</w:t>
      </w:r>
    </w:p>
    <w:p w14:paraId="7CB25BAC" w14:textId="77777777" w:rsidR="008A4099" w:rsidRDefault="006A6EE2">
      <w:pPr>
        <w:pStyle w:val="BodyText"/>
        <w:spacing w:before="119"/>
        <w:ind w:left="160"/>
        <w:jc w:val="both"/>
      </w:pPr>
      <w:r>
        <w:t>This</w:t>
      </w:r>
      <w:r>
        <w:rPr>
          <w:spacing w:val="-5"/>
        </w:rPr>
        <w:t xml:space="preserve"> </w:t>
      </w:r>
      <w:r>
        <w:t>is</w:t>
      </w:r>
      <w:r>
        <w:rPr>
          <w:spacing w:val="-3"/>
        </w:rPr>
        <w:t xml:space="preserve"> </w:t>
      </w:r>
      <w:r>
        <w:t>consistent</w:t>
      </w:r>
      <w:r>
        <w:rPr>
          <w:spacing w:val="-2"/>
        </w:rPr>
        <w:t xml:space="preserve"> </w:t>
      </w:r>
      <w:r>
        <w:t>with</w:t>
      </w:r>
      <w:r>
        <w:rPr>
          <w:spacing w:val="-5"/>
        </w:rPr>
        <w:t xml:space="preserve"> </w:t>
      </w:r>
      <w:r>
        <w:t>Recommendations</w:t>
      </w:r>
      <w:r>
        <w:rPr>
          <w:spacing w:val="-2"/>
        </w:rPr>
        <w:t xml:space="preserve"> </w:t>
      </w:r>
      <w:r>
        <w:t>15</w:t>
      </w:r>
      <w:r>
        <w:rPr>
          <w:spacing w:val="-3"/>
        </w:rPr>
        <w:t xml:space="preserve"> </w:t>
      </w:r>
      <w:r>
        <w:t>and</w:t>
      </w:r>
      <w:r>
        <w:rPr>
          <w:spacing w:val="-4"/>
        </w:rPr>
        <w:t xml:space="preserve"> </w:t>
      </w:r>
      <w:r>
        <w:t>16</w:t>
      </w:r>
      <w:r>
        <w:rPr>
          <w:spacing w:val="-3"/>
        </w:rPr>
        <w:t xml:space="preserve"> </w:t>
      </w:r>
      <w:r>
        <w:t>of</w:t>
      </w:r>
      <w:r>
        <w:rPr>
          <w:spacing w:val="-3"/>
        </w:rPr>
        <w:t xml:space="preserve"> </w:t>
      </w:r>
      <w:r>
        <w:t>the</w:t>
      </w:r>
      <w:r>
        <w:rPr>
          <w:spacing w:val="-2"/>
        </w:rPr>
        <w:t xml:space="preserve"> </w:t>
      </w:r>
      <w:r>
        <w:t>2007</w:t>
      </w:r>
      <w:r>
        <w:rPr>
          <w:spacing w:val="-3"/>
        </w:rPr>
        <w:t xml:space="preserve"> </w:t>
      </w:r>
      <w:r>
        <w:t>Final</w:t>
      </w:r>
      <w:r>
        <w:rPr>
          <w:spacing w:val="-2"/>
        </w:rPr>
        <w:t xml:space="preserve"> </w:t>
      </w:r>
      <w:r>
        <w:t>Report</w:t>
      </w:r>
      <w:r>
        <w:rPr>
          <w:spacing w:val="-5"/>
        </w:rPr>
        <w:t xml:space="preserve"> </w:t>
      </w:r>
      <w:r>
        <w:t>(see</w:t>
      </w:r>
      <w:r>
        <w:rPr>
          <w:spacing w:val="-1"/>
        </w:rPr>
        <w:t xml:space="preserve"> </w:t>
      </w:r>
      <w:r>
        <w:t>Appendix</w:t>
      </w:r>
      <w:r>
        <w:rPr>
          <w:spacing w:val="-2"/>
        </w:rPr>
        <w:t xml:space="preserve"> </w:t>
      </w:r>
      <w:r>
        <w:rPr>
          <w:spacing w:val="-5"/>
        </w:rPr>
        <w:t>A).</w:t>
      </w:r>
    </w:p>
    <w:p w14:paraId="7CB25BAD" w14:textId="77777777" w:rsidR="008A4099" w:rsidRDefault="006A6EE2">
      <w:pPr>
        <w:pStyle w:val="BodyText"/>
        <w:spacing w:before="160" w:line="276" w:lineRule="auto"/>
        <w:ind w:left="726" w:right="682" w:hanging="567"/>
        <w:jc w:val="both"/>
      </w:pPr>
      <w:r>
        <w:t>Specifically, the</w:t>
      </w:r>
      <w:r>
        <w:rPr>
          <w:spacing w:val="40"/>
        </w:rPr>
        <w:t xml:space="preserve"> </w:t>
      </w:r>
      <w:r>
        <w:t>specific rights outlined in the</w:t>
      </w:r>
      <w:r>
        <w:rPr>
          <w:spacing w:val="40"/>
        </w:rPr>
        <w:t xml:space="preserve"> </w:t>
      </w:r>
      <w:r>
        <w:t>2007</w:t>
      </w:r>
      <w:r>
        <w:rPr>
          <w:spacing w:val="40"/>
        </w:rPr>
        <w:t xml:space="preserve"> </w:t>
      </w:r>
      <w:r>
        <w:t>Final Report (Recommendation</w:t>
      </w:r>
      <w:r>
        <w:rPr>
          <w:spacing w:val="40"/>
        </w:rPr>
        <w:t xml:space="preserve"> </w:t>
      </w:r>
      <w:r>
        <w:t>16, see Appendix A) should be adopted in a Tasmanian human rights enactment.</w:t>
      </w:r>
    </w:p>
    <w:p w14:paraId="7CB25BAE" w14:textId="77777777" w:rsidR="008A4099" w:rsidRDefault="006A6EE2">
      <w:pPr>
        <w:pStyle w:val="BodyText"/>
        <w:spacing w:before="118" w:line="276" w:lineRule="auto"/>
        <w:ind w:left="726" w:right="678" w:hanging="567"/>
        <w:jc w:val="both"/>
      </w:pPr>
      <w:r>
        <w:t>If all of the economic, social, and cultural rights that the TLRI 2007 Final Report recommended be included in a Tasmanian human rights enactment are not initially included, then the economic, social,</w:t>
      </w:r>
      <w:r>
        <w:rPr>
          <w:spacing w:val="-10"/>
        </w:rPr>
        <w:t xml:space="preserve"> </w:t>
      </w:r>
      <w:r>
        <w:t>and</w:t>
      </w:r>
      <w:r>
        <w:rPr>
          <w:spacing w:val="-9"/>
        </w:rPr>
        <w:t xml:space="preserve"> </w:t>
      </w:r>
      <w:r>
        <w:t>cultural</w:t>
      </w:r>
      <w:r>
        <w:rPr>
          <w:spacing w:val="-8"/>
        </w:rPr>
        <w:t xml:space="preserve"> </w:t>
      </w:r>
      <w:r>
        <w:t>rights</w:t>
      </w:r>
      <w:r>
        <w:rPr>
          <w:spacing w:val="-9"/>
        </w:rPr>
        <w:t xml:space="preserve"> </w:t>
      </w:r>
      <w:r>
        <w:t>currently</w:t>
      </w:r>
      <w:r>
        <w:rPr>
          <w:spacing w:val="-7"/>
        </w:rPr>
        <w:t xml:space="preserve"> </w:t>
      </w:r>
      <w:r>
        <w:t>protected</w:t>
      </w:r>
      <w:r>
        <w:rPr>
          <w:spacing w:val="-9"/>
        </w:rPr>
        <w:t xml:space="preserve"> </w:t>
      </w:r>
      <w:r>
        <w:t>in</w:t>
      </w:r>
      <w:r>
        <w:rPr>
          <w:spacing w:val="-10"/>
        </w:rPr>
        <w:t xml:space="preserve"> </w:t>
      </w:r>
      <w:r>
        <w:t>other</w:t>
      </w:r>
      <w:r>
        <w:rPr>
          <w:spacing w:val="-8"/>
        </w:rPr>
        <w:t xml:space="preserve"> </w:t>
      </w:r>
      <w:r>
        <w:t>jurisdictions</w:t>
      </w:r>
      <w:r>
        <w:rPr>
          <w:spacing w:val="-9"/>
        </w:rPr>
        <w:t xml:space="preserve"> </w:t>
      </w:r>
      <w:r>
        <w:t>with</w:t>
      </w:r>
      <w:r>
        <w:rPr>
          <w:spacing w:val="-7"/>
        </w:rPr>
        <w:t xml:space="preserve"> </w:t>
      </w:r>
      <w:r>
        <w:t>human</w:t>
      </w:r>
      <w:r>
        <w:rPr>
          <w:spacing w:val="-9"/>
        </w:rPr>
        <w:t xml:space="preserve"> </w:t>
      </w:r>
      <w:r>
        <w:t>rights</w:t>
      </w:r>
      <w:r>
        <w:rPr>
          <w:spacing w:val="-9"/>
        </w:rPr>
        <w:t xml:space="preserve"> </w:t>
      </w:r>
      <w:r>
        <w:t>enactments (cultural</w:t>
      </w:r>
      <w:r>
        <w:rPr>
          <w:spacing w:val="-4"/>
        </w:rPr>
        <w:t xml:space="preserve"> </w:t>
      </w:r>
      <w:r>
        <w:t>rights</w:t>
      </w:r>
      <w:r>
        <w:rPr>
          <w:spacing w:val="-2"/>
        </w:rPr>
        <w:t xml:space="preserve"> </w:t>
      </w:r>
      <w:r>
        <w:t>of</w:t>
      </w:r>
      <w:r>
        <w:rPr>
          <w:spacing w:val="-2"/>
        </w:rPr>
        <w:t xml:space="preserve"> </w:t>
      </w:r>
      <w:r>
        <w:t>Aboriginal</w:t>
      </w:r>
      <w:r>
        <w:rPr>
          <w:spacing w:val="-1"/>
        </w:rPr>
        <w:t xml:space="preserve"> </w:t>
      </w:r>
      <w:r>
        <w:t>and</w:t>
      </w:r>
      <w:r>
        <w:rPr>
          <w:spacing w:val="-2"/>
        </w:rPr>
        <w:t xml:space="preserve"> </w:t>
      </w:r>
      <w:r>
        <w:t>Torres</w:t>
      </w:r>
      <w:r>
        <w:rPr>
          <w:spacing w:val="-2"/>
        </w:rPr>
        <w:t xml:space="preserve"> </w:t>
      </w:r>
      <w:r>
        <w:t>Strait</w:t>
      </w:r>
      <w:r>
        <w:rPr>
          <w:spacing w:val="-1"/>
        </w:rPr>
        <w:t xml:space="preserve"> </w:t>
      </w:r>
      <w:r>
        <w:t>Islander</w:t>
      </w:r>
      <w:r>
        <w:rPr>
          <w:spacing w:val="-2"/>
        </w:rPr>
        <w:t xml:space="preserve"> </w:t>
      </w:r>
      <w:r>
        <w:t>people,</w:t>
      </w:r>
      <w:r>
        <w:rPr>
          <w:spacing w:val="-2"/>
        </w:rPr>
        <w:t xml:space="preserve"> </w:t>
      </w:r>
      <w:r>
        <w:t>the</w:t>
      </w:r>
      <w:r>
        <w:rPr>
          <w:spacing w:val="-2"/>
        </w:rPr>
        <w:t xml:space="preserve"> </w:t>
      </w:r>
      <w:r>
        <w:t>right</w:t>
      </w:r>
      <w:r>
        <w:rPr>
          <w:spacing w:val="-1"/>
        </w:rPr>
        <w:t xml:space="preserve"> </w:t>
      </w:r>
      <w:r>
        <w:t>to</w:t>
      </w:r>
      <w:r>
        <w:rPr>
          <w:spacing w:val="-2"/>
        </w:rPr>
        <w:t xml:space="preserve"> </w:t>
      </w:r>
      <w:r>
        <w:t>education,</w:t>
      </w:r>
      <w:r>
        <w:rPr>
          <w:spacing w:val="-2"/>
        </w:rPr>
        <w:t xml:space="preserve"> </w:t>
      </w:r>
      <w:r>
        <w:t>the</w:t>
      </w:r>
      <w:r>
        <w:rPr>
          <w:spacing w:val="-2"/>
        </w:rPr>
        <w:t xml:space="preserve"> </w:t>
      </w:r>
      <w:r>
        <w:t>health rights, and the right to work) should be included.</w:t>
      </w:r>
    </w:p>
    <w:p w14:paraId="7CB25BAF" w14:textId="77777777" w:rsidR="008A4099" w:rsidRDefault="006A6EE2">
      <w:pPr>
        <w:pStyle w:val="BodyText"/>
        <w:spacing w:before="121"/>
        <w:ind w:left="160"/>
        <w:jc w:val="both"/>
      </w:pPr>
      <w:r>
        <w:t>These</w:t>
      </w:r>
      <w:r>
        <w:rPr>
          <w:spacing w:val="-5"/>
        </w:rPr>
        <w:t xml:space="preserve"> </w:t>
      </w:r>
      <w:r>
        <w:t>rights</w:t>
      </w:r>
      <w:r>
        <w:rPr>
          <w:spacing w:val="-3"/>
        </w:rPr>
        <w:t xml:space="preserve"> </w:t>
      </w:r>
      <w:r>
        <w:t>were</w:t>
      </w:r>
      <w:r>
        <w:rPr>
          <w:spacing w:val="-5"/>
        </w:rPr>
        <w:t xml:space="preserve"> </w:t>
      </w:r>
      <w:r>
        <w:t>included</w:t>
      </w:r>
      <w:r>
        <w:rPr>
          <w:spacing w:val="-4"/>
        </w:rPr>
        <w:t xml:space="preserve"> </w:t>
      </w:r>
      <w:r>
        <w:t>in</w:t>
      </w:r>
      <w:r>
        <w:rPr>
          <w:spacing w:val="-3"/>
        </w:rPr>
        <w:t xml:space="preserve"> </w:t>
      </w:r>
      <w:r>
        <w:t>the</w:t>
      </w:r>
      <w:r>
        <w:rPr>
          <w:spacing w:val="-3"/>
        </w:rPr>
        <w:t xml:space="preserve"> </w:t>
      </w:r>
      <w:r>
        <w:t>2007</w:t>
      </w:r>
      <w:r>
        <w:rPr>
          <w:spacing w:val="-3"/>
        </w:rPr>
        <w:t xml:space="preserve"> </w:t>
      </w:r>
      <w:r>
        <w:t>Final</w:t>
      </w:r>
      <w:r>
        <w:rPr>
          <w:spacing w:val="-2"/>
        </w:rPr>
        <w:t xml:space="preserve"> </w:t>
      </w:r>
      <w:r>
        <w:t>Report</w:t>
      </w:r>
      <w:r>
        <w:rPr>
          <w:spacing w:val="-2"/>
        </w:rPr>
        <w:t xml:space="preserve"> </w:t>
      </w:r>
      <w:r>
        <w:t>Recommendations</w:t>
      </w:r>
      <w:r>
        <w:rPr>
          <w:spacing w:val="-2"/>
        </w:rPr>
        <w:t xml:space="preserve"> </w:t>
      </w:r>
      <w:r>
        <w:t>16</w:t>
      </w:r>
      <w:r>
        <w:rPr>
          <w:spacing w:val="-3"/>
        </w:rPr>
        <w:t xml:space="preserve"> </w:t>
      </w:r>
      <w:r>
        <w:t>and</w:t>
      </w:r>
      <w:r>
        <w:rPr>
          <w:spacing w:val="-3"/>
        </w:rPr>
        <w:t xml:space="preserve"> </w:t>
      </w:r>
      <w:r>
        <w:t>17</w:t>
      </w:r>
      <w:r>
        <w:rPr>
          <w:spacing w:val="-6"/>
        </w:rPr>
        <w:t xml:space="preserve"> </w:t>
      </w:r>
      <w:r>
        <w:t>(see</w:t>
      </w:r>
      <w:r>
        <w:rPr>
          <w:spacing w:val="-3"/>
        </w:rPr>
        <w:t xml:space="preserve"> </w:t>
      </w:r>
      <w:r>
        <w:t xml:space="preserve">Appendix </w:t>
      </w:r>
      <w:r>
        <w:rPr>
          <w:spacing w:val="-5"/>
        </w:rPr>
        <w:t>A).</w:t>
      </w:r>
    </w:p>
    <w:p w14:paraId="7CB25BB0" w14:textId="77777777" w:rsidR="008A4099" w:rsidRDefault="006A6EE2">
      <w:pPr>
        <w:pStyle w:val="BodyText"/>
        <w:spacing w:before="157" w:line="276" w:lineRule="auto"/>
        <w:ind w:left="726" w:right="674" w:hanging="567"/>
        <w:jc w:val="both"/>
      </w:pPr>
      <w:r>
        <w:t>Further, if economic, social, and cultural rights are not initially included in a Tasmanian human rights enactment,</w:t>
      </w:r>
      <w:r>
        <w:rPr>
          <w:spacing w:val="-11"/>
        </w:rPr>
        <w:t xml:space="preserve"> </w:t>
      </w:r>
      <w:r>
        <w:t>then</w:t>
      </w:r>
      <w:r>
        <w:rPr>
          <w:spacing w:val="-11"/>
        </w:rPr>
        <w:t xml:space="preserve"> </w:t>
      </w:r>
      <w:r>
        <w:t>it</w:t>
      </w:r>
      <w:r>
        <w:rPr>
          <w:spacing w:val="-8"/>
        </w:rPr>
        <w:t xml:space="preserve"> </w:t>
      </w:r>
      <w:r>
        <w:t>should</w:t>
      </w:r>
      <w:r>
        <w:rPr>
          <w:spacing w:val="-9"/>
        </w:rPr>
        <w:t xml:space="preserve"> </w:t>
      </w:r>
      <w:r>
        <w:t>explicitly</w:t>
      </w:r>
      <w:r>
        <w:rPr>
          <w:spacing w:val="-9"/>
        </w:rPr>
        <w:t xml:space="preserve"> </w:t>
      </w:r>
      <w:r>
        <w:t>require</w:t>
      </w:r>
      <w:r>
        <w:rPr>
          <w:spacing w:val="-11"/>
        </w:rPr>
        <w:t xml:space="preserve"> </w:t>
      </w:r>
      <w:r>
        <w:t>the</w:t>
      </w:r>
      <w:r>
        <w:rPr>
          <w:spacing w:val="-8"/>
        </w:rPr>
        <w:t xml:space="preserve"> </w:t>
      </w:r>
      <w:r>
        <w:t>first</w:t>
      </w:r>
      <w:r>
        <w:rPr>
          <w:spacing w:val="-7"/>
        </w:rPr>
        <w:t xml:space="preserve"> </w:t>
      </w:r>
      <w:r>
        <w:t>review</w:t>
      </w:r>
      <w:r>
        <w:rPr>
          <w:spacing w:val="-9"/>
        </w:rPr>
        <w:t xml:space="preserve"> </w:t>
      </w:r>
      <w:r>
        <w:t>to</w:t>
      </w:r>
      <w:r>
        <w:rPr>
          <w:spacing w:val="-9"/>
        </w:rPr>
        <w:t xml:space="preserve"> </w:t>
      </w:r>
      <w:r>
        <w:t>consider</w:t>
      </w:r>
      <w:r>
        <w:rPr>
          <w:spacing w:val="-8"/>
        </w:rPr>
        <w:t xml:space="preserve"> </w:t>
      </w:r>
      <w:r>
        <w:t>the</w:t>
      </w:r>
      <w:r>
        <w:rPr>
          <w:spacing w:val="-11"/>
        </w:rPr>
        <w:t xml:space="preserve"> </w:t>
      </w:r>
      <w:r>
        <w:t>inclusion</w:t>
      </w:r>
      <w:r>
        <w:rPr>
          <w:spacing w:val="-11"/>
        </w:rPr>
        <w:t xml:space="preserve"> </w:t>
      </w:r>
      <w:r>
        <w:t>of</w:t>
      </w:r>
      <w:r>
        <w:rPr>
          <w:spacing w:val="-8"/>
        </w:rPr>
        <w:t xml:space="preserve"> </w:t>
      </w:r>
      <w:r>
        <w:t>additional human</w:t>
      </w:r>
      <w:r>
        <w:rPr>
          <w:spacing w:val="-11"/>
        </w:rPr>
        <w:t xml:space="preserve"> </w:t>
      </w:r>
      <w:r>
        <w:t>rights,</w:t>
      </w:r>
      <w:r>
        <w:rPr>
          <w:spacing w:val="-9"/>
        </w:rPr>
        <w:t xml:space="preserve"> </w:t>
      </w:r>
      <w:r>
        <w:t>including</w:t>
      </w:r>
      <w:r>
        <w:rPr>
          <w:spacing w:val="-7"/>
        </w:rPr>
        <w:t xml:space="preserve"> </w:t>
      </w:r>
      <w:r>
        <w:t>all</w:t>
      </w:r>
      <w:r>
        <w:rPr>
          <w:spacing w:val="-11"/>
        </w:rPr>
        <w:t xml:space="preserve"> </w:t>
      </w:r>
      <w:r>
        <w:t>the</w:t>
      </w:r>
      <w:r>
        <w:rPr>
          <w:spacing w:val="-9"/>
        </w:rPr>
        <w:t xml:space="preserve"> </w:t>
      </w:r>
      <w:r>
        <w:t>rights</w:t>
      </w:r>
      <w:r>
        <w:rPr>
          <w:spacing w:val="-9"/>
        </w:rPr>
        <w:t xml:space="preserve"> </w:t>
      </w:r>
      <w:r>
        <w:t>recommended</w:t>
      </w:r>
      <w:r>
        <w:rPr>
          <w:spacing w:val="-10"/>
        </w:rPr>
        <w:t xml:space="preserve"> </w:t>
      </w:r>
      <w:r>
        <w:t>for</w:t>
      </w:r>
      <w:r>
        <w:rPr>
          <w:spacing w:val="-9"/>
        </w:rPr>
        <w:t xml:space="preserve"> </w:t>
      </w:r>
      <w:r>
        <w:t>inclusion</w:t>
      </w:r>
      <w:r>
        <w:rPr>
          <w:spacing w:val="-10"/>
        </w:rPr>
        <w:t xml:space="preserve"> </w:t>
      </w:r>
      <w:r>
        <w:t>in</w:t>
      </w:r>
      <w:r>
        <w:rPr>
          <w:spacing w:val="-10"/>
        </w:rPr>
        <w:t xml:space="preserve"> </w:t>
      </w:r>
      <w:r>
        <w:t>the</w:t>
      </w:r>
      <w:r>
        <w:rPr>
          <w:spacing w:val="-7"/>
        </w:rPr>
        <w:t xml:space="preserve"> </w:t>
      </w:r>
      <w:r>
        <w:t>TLRI</w:t>
      </w:r>
      <w:r>
        <w:rPr>
          <w:spacing w:val="-9"/>
        </w:rPr>
        <w:t xml:space="preserve"> </w:t>
      </w:r>
      <w:r>
        <w:t>2007</w:t>
      </w:r>
      <w:r>
        <w:rPr>
          <w:spacing w:val="-9"/>
        </w:rPr>
        <w:t xml:space="preserve"> </w:t>
      </w:r>
      <w:r>
        <w:t>Final</w:t>
      </w:r>
      <w:r>
        <w:rPr>
          <w:spacing w:val="-6"/>
        </w:rPr>
        <w:t xml:space="preserve"> </w:t>
      </w:r>
      <w:r>
        <w:rPr>
          <w:spacing w:val="-2"/>
        </w:rPr>
        <w:t>Report.</w:t>
      </w:r>
    </w:p>
    <w:p w14:paraId="7CB25BB1" w14:textId="77777777" w:rsidR="008A4099" w:rsidRDefault="006A6EE2">
      <w:pPr>
        <w:pStyle w:val="BodyText"/>
        <w:spacing w:before="121" w:line="276" w:lineRule="auto"/>
        <w:ind w:left="160" w:right="681"/>
        <w:jc w:val="both"/>
      </w:pPr>
      <w:r>
        <w:t>This</w:t>
      </w:r>
      <w:r>
        <w:rPr>
          <w:spacing w:val="-11"/>
        </w:rPr>
        <w:t xml:space="preserve"> </w:t>
      </w:r>
      <w:r>
        <w:t>is</w:t>
      </w:r>
      <w:r>
        <w:rPr>
          <w:spacing w:val="-11"/>
        </w:rPr>
        <w:t xml:space="preserve"> </w:t>
      </w:r>
      <w:r>
        <w:t>a</w:t>
      </w:r>
      <w:r>
        <w:rPr>
          <w:spacing w:val="-11"/>
        </w:rPr>
        <w:t xml:space="preserve"> </w:t>
      </w:r>
      <w:r>
        <w:t>new</w:t>
      </w:r>
      <w:r>
        <w:rPr>
          <w:spacing w:val="-12"/>
        </w:rPr>
        <w:t xml:space="preserve"> </w:t>
      </w:r>
      <w:r>
        <w:t>aspect</w:t>
      </w:r>
      <w:r>
        <w:rPr>
          <w:spacing w:val="-11"/>
        </w:rPr>
        <w:t xml:space="preserve"> </w:t>
      </w:r>
      <w:r>
        <w:t>in</w:t>
      </w:r>
      <w:r>
        <w:rPr>
          <w:spacing w:val="-13"/>
        </w:rPr>
        <w:t xml:space="preserve"> </w:t>
      </w:r>
      <w:r>
        <w:t>the</w:t>
      </w:r>
      <w:r>
        <w:rPr>
          <w:spacing w:val="-13"/>
        </w:rPr>
        <w:t xml:space="preserve"> </w:t>
      </w:r>
      <w:r>
        <w:t>recommendation</w:t>
      </w:r>
      <w:r>
        <w:rPr>
          <w:spacing w:val="-11"/>
        </w:rPr>
        <w:t xml:space="preserve"> </w:t>
      </w:r>
      <w:r>
        <w:t>about</w:t>
      </w:r>
      <w:r>
        <w:rPr>
          <w:spacing w:val="-11"/>
        </w:rPr>
        <w:t xml:space="preserve"> </w:t>
      </w:r>
      <w:r>
        <w:t>the</w:t>
      </w:r>
      <w:r>
        <w:rPr>
          <w:spacing w:val="-11"/>
        </w:rPr>
        <w:t xml:space="preserve"> </w:t>
      </w:r>
      <w:r>
        <w:t>scope</w:t>
      </w:r>
      <w:r>
        <w:rPr>
          <w:spacing w:val="-11"/>
        </w:rPr>
        <w:t xml:space="preserve"> </w:t>
      </w:r>
      <w:r>
        <w:t>of</w:t>
      </w:r>
      <w:r>
        <w:rPr>
          <w:spacing w:val="-13"/>
        </w:rPr>
        <w:t xml:space="preserve"> </w:t>
      </w:r>
      <w:r>
        <w:t>rights</w:t>
      </w:r>
      <w:r>
        <w:rPr>
          <w:spacing w:val="-13"/>
        </w:rPr>
        <w:t xml:space="preserve"> </w:t>
      </w:r>
      <w:r>
        <w:t>contained</w:t>
      </w:r>
      <w:r>
        <w:rPr>
          <w:spacing w:val="-11"/>
        </w:rPr>
        <w:t xml:space="preserve"> </w:t>
      </w:r>
      <w:r>
        <w:t>in</w:t>
      </w:r>
      <w:r>
        <w:rPr>
          <w:spacing w:val="-12"/>
        </w:rPr>
        <w:t xml:space="preserve"> </w:t>
      </w:r>
      <w:r>
        <w:t>the</w:t>
      </w:r>
      <w:r>
        <w:rPr>
          <w:spacing w:val="-11"/>
        </w:rPr>
        <w:t xml:space="preserve"> </w:t>
      </w:r>
      <w:r>
        <w:t>2007</w:t>
      </w:r>
      <w:r>
        <w:rPr>
          <w:spacing w:val="-12"/>
        </w:rPr>
        <w:t xml:space="preserve"> </w:t>
      </w:r>
      <w:r>
        <w:t>Final</w:t>
      </w:r>
      <w:r>
        <w:rPr>
          <w:spacing w:val="-11"/>
        </w:rPr>
        <w:t xml:space="preserve"> </w:t>
      </w:r>
      <w:r>
        <w:t>Report (see Recommendation 16 and 17 in Appendix A).</w:t>
      </w:r>
    </w:p>
    <w:p w14:paraId="7CB25BB2" w14:textId="77777777" w:rsidR="008A4099" w:rsidRDefault="006A6EE2">
      <w:pPr>
        <w:pStyle w:val="BodyText"/>
        <w:spacing w:before="119" w:line="278" w:lineRule="auto"/>
        <w:ind w:left="160" w:right="680"/>
        <w:jc w:val="both"/>
      </w:pPr>
      <w:r>
        <w:t>Recommendation 20 of the 2007 Final Report contains the TLRI’s recommendations for the review process of the Human Rights enactment (see Appendix A).</w:t>
      </w:r>
    </w:p>
    <w:p w14:paraId="7CB25BB3" w14:textId="77777777" w:rsidR="008A4099" w:rsidRDefault="008A4099">
      <w:pPr>
        <w:spacing w:line="278" w:lineRule="auto"/>
        <w:jc w:val="both"/>
        <w:sectPr w:rsidR="008A4099" w:rsidSect="00D43B2D">
          <w:headerReference w:type="even" r:id="rId28"/>
          <w:pgSz w:w="11910" w:h="16840"/>
          <w:pgMar w:top="1360" w:right="760" w:bottom="940" w:left="1280" w:header="0" w:footer="0" w:gutter="0"/>
          <w:cols w:space="720"/>
        </w:sectPr>
      </w:pPr>
    </w:p>
    <w:p w14:paraId="7CB25BB4" w14:textId="77777777" w:rsidR="008A4099" w:rsidRDefault="006A6EE2">
      <w:pPr>
        <w:pStyle w:val="Heading5"/>
        <w:spacing w:before="62"/>
        <w:rPr>
          <w:b w:val="0"/>
        </w:rPr>
      </w:pPr>
      <w:r>
        <w:lastRenderedPageBreak/>
        <w:t>Recommendation</w:t>
      </w:r>
      <w:r>
        <w:rPr>
          <w:spacing w:val="-5"/>
        </w:rPr>
        <w:t xml:space="preserve"> </w:t>
      </w:r>
      <w:r>
        <w:t>8</w:t>
      </w:r>
      <w:r>
        <w:rPr>
          <w:spacing w:val="-4"/>
        </w:rPr>
        <w:t xml:space="preserve"> </w:t>
      </w:r>
      <w:r>
        <w:t>–</w:t>
      </w:r>
      <w:r>
        <w:rPr>
          <w:spacing w:val="-5"/>
        </w:rPr>
        <w:t xml:space="preserve"> </w:t>
      </w:r>
      <w:r>
        <w:t>Statements</w:t>
      </w:r>
      <w:r>
        <w:rPr>
          <w:spacing w:val="-4"/>
        </w:rPr>
        <w:t xml:space="preserve"> </w:t>
      </w:r>
      <w:r>
        <w:t>of</w:t>
      </w:r>
      <w:r>
        <w:rPr>
          <w:spacing w:val="-5"/>
        </w:rPr>
        <w:t xml:space="preserve"> </w:t>
      </w:r>
      <w:r>
        <w:t>Compatibility</w:t>
      </w:r>
      <w:r>
        <w:rPr>
          <w:spacing w:val="-2"/>
        </w:rPr>
        <w:t xml:space="preserve"> </w:t>
      </w:r>
      <w:r>
        <w:rPr>
          <w:b w:val="0"/>
        </w:rPr>
        <w:t>(p</w:t>
      </w:r>
      <w:r>
        <w:rPr>
          <w:b w:val="0"/>
          <w:spacing w:val="-4"/>
        </w:rPr>
        <w:t xml:space="preserve"> </w:t>
      </w:r>
      <w:r>
        <w:rPr>
          <w:b w:val="0"/>
          <w:spacing w:val="-5"/>
        </w:rPr>
        <w:t>68)</w:t>
      </w:r>
    </w:p>
    <w:p w14:paraId="7CB25BB5" w14:textId="77777777" w:rsidR="008A4099" w:rsidRDefault="006A6EE2">
      <w:pPr>
        <w:pStyle w:val="BodyText"/>
        <w:spacing w:before="158" w:line="276" w:lineRule="auto"/>
        <w:ind w:left="726" w:right="672" w:hanging="567"/>
        <w:jc w:val="both"/>
      </w:pPr>
      <w:r>
        <w:t xml:space="preserve">That statements of compatibility accompany all Bills and amendments to Bills introduced into </w:t>
      </w:r>
      <w:r>
        <w:rPr>
          <w:spacing w:val="-2"/>
        </w:rPr>
        <w:t>Parliament.</w:t>
      </w:r>
    </w:p>
    <w:p w14:paraId="7CB25BB6" w14:textId="77777777" w:rsidR="008A4099" w:rsidRDefault="006A6EE2">
      <w:pPr>
        <w:pStyle w:val="BodyText"/>
        <w:spacing w:before="121"/>
        <w:ind w:left="160"/>
      </w:pPr>
      <w:r>
        <w:t>This</w:t>
      </w:r>
      <w:r>
        <w:rPr>
          <w:spacing w:val="-5"/>
        </w:rPr>
        <w:t xml:space="preserve"> </w:t>
      </w:r>
      <w:r>
        <w:t>is</w:t>
      </w:r>
      <w:r>
        <w:rPr>
          <w:spacing w:val="-4"/>
        </w:rPr>
        <w:t xml:space="preserve"> </w:t>
      </w:r>
      <w:r>
        <w:t>in</w:t>
      </w:r>
      <w:r>
        <w:rPr>
          <w:spacing w:val="-3"/>
        </w:rPr>
        <w:t xml:space="preserve"> </w:t>
      </w:r>
      <w:r>
        <w:t>accordance</w:t>
      </w:r>
      <w:r>
        <w:rPr>
          <w:spacing w:val="-2"/>
        </w:rPr>
        <w:t xml:space="preserve"> </w:t>
      </w:r>
      <w:r>
        <w:t>with</w:t>
      </w:r>
      <w:r>
        <w:rPr>
          <w:spacing w:val="-5"/>
        </w:rPr>
        <w:t xml:space="preserve"> </w:t>
      </w:r>
      <w:r>
        <w:t>Recommendation</w:t>
      </w:r>
      <w:r>
        <w:rPr>
          <w:spacing w:val="-6"/>
        </w:rPr>
        <w:t xml:space="preserve"> </w:t>
      </w:r>
      <w:r>
        <w:t>10</w:t>
      </w:r>
      <w:r>
        <w:rPr>
          <w:spacing w:val="-2"/>
        </w:rPr>
        <w:t xml:space="preserve"> </w:t>
      </w:r>
      <w:r>
        <w:t>of</w:t>
      </w:r>
      <w:r>
        <w:rPr>
          <w:spacing w:val="-5"/>
        </w:rPr>
        <w:t xml:space="preserve"> </w:t>
      </w:r>
      <w:r>
        <w:t>the</w:t>
      </w:r>
      <w:r>
        <w:rPr>
          <w:spacing w:val="-4"/>
        </w:rPr>
        <w:t xml:space="preserve"> </w:t>
      </w:r>
      <w:r>
        <w:t>2007</w:t>
      </w:r>
      <w:r>
        <w:rPr>
          <w:spacing w:val="-2"/>
        </w:rPr>
        <w:t xml:space="preserve"> </w:t>
      </w:r>
      <w:r>
        <w:t>Final</w:t>
      </w:r>
      <w:r>
        <w:rPr>
          <w:spacing w:val="-2"/>
        </w:rPr>
        <w:t xml:space="preserve"> </w:t>
      </w:r>
      <w:r>
        <w:t>Report</w:t>
      </w:r>
      <w:r>
        <w:rPr>
          <w:spacing w:val="-1"/>
        </w:rPr>
        <w:t xml:space="preserve"> </w:t>
      </w:r>
      <w:r>
        <w:t>(see</w:t>
      </w:r>
      <w:r>
        <w:rPr>
          <w:spacing w:val="-3"/>
        </w:rPr>
        <w:t xml:space="preserve"> </w:t>
      </w:r>
      <w:r>
        <w:t>Appendix</w:t>
      </w:r>
      <w:r>
        <w:rPr>
          <w:spacing w:val="3"/>
        </w:rPr>
        <w:t xml:space="preserve"> </w:t>
      </w:r>
      <w:r>
        <w:rPr>
          <w:spacing w:val="-5"/>
        </w:rPr>
        <w:t>A).</w:t>
      </w:r>
    </w:p>
    <w:p w14:paraId="7CB25BB7" w14:textId="77777777" w:rsidR="008A4099" w:rsidRDefault="006A6EE2">
      <w:pPr>
        <w:pStyle w:val="BodyText"/>
        <w:spacing w:before="158" w:line="276" w:lineRule="auto"/>
        <w:ind w:left="726" w:right="682" w:hanging="567"/>
        <w:jc w:val="both"/>
      </w:pPr>
      <w:r>
        <w:t>In addition, any amendments to Bills made during Parliamentary debate should also be accompanied by further statements of human rights compatibility.</w:t>
      </w:r>
    </w:p>
    <w:p w14:paraId="7CB25BB8" w14:textId="77777777" w:rsidR="008A4099" w:rsidRDefault="006A6EE2">
      <w:pPr>
        <w:pStyle w:val="BodyText"/>
        <w:spacing w:before="119" w:line="278" w:lineRule="auto"/>
        <w:ind w:left="160" w:right="683"/>
        <w:jc w:val="both"/>
      </w:pPr>
      <w:r>
        <w:t>This is an addition to the recommendations contained in the 2007 Final Report about the Role of Parliament (Recommendation 10, see Appendix A).</w:t>
      </w:r>
    </w:p>
    <w:p w14:paraId="7CB25BB9" w14:textId="77777777" w:rsidR="008A4099" w:rsidRDefault="006A6EE2">
      <w:pPr>
        <w:pStyle w:val="BodyText"/>
        <w:spacing w:before="116" w:line="276" w:lineRule="auto"/>
        <w:ind w:left="726" w:right="682" w:hanging="567"/>
        <w:jc w:val="both"/>
      </w:pPr>
      <w:r>
        <w:t>Further, where amendments are introduced and passed in the House of Assembly, the amendments should be referred to the Parliamentary Human Rights Scrutiny Committee for review prior to the amended Bill being introduced in the Legislative Council.</w:t>
      </w:r>
    </w:p>
    <w:p w14:paraId="7CB25BBA" w14:textId="77777777" w:rsidR="008A4099" w:rsidRDefault="006A6EE2">
      <w:pPr>
        <w:pStyle w:val="BodyText"/>
        <w:spacing w:before="119" w:line="278" w:lineRule="auto"/>
        <w:ind w:left="160" w:right="683"/>
        <w:jc w:val="both"/>
      </w:pPr>
      <w:r>
        <w:t>This is an addition to the recommendations contained in the 2007 Final Report about the Role of Parliament (Recommendation 10, see Appendix A).</w:t>
      </w:r>
    </w:p>
    <w:p w14:paraId="7CB25BBB" w14:textId="77777777" w:rsidR="008A4099" w:rsidRDefault="008A4099">
      <w:pPr>
        <w:pStyle w:val="BodyText"/>
      </w:pPr>
    </w:p>
    <w:p w14:paraId="7CB25BBC" w14:textId="77777777" w:rsidR="008A4099" w:rsidRDefault="008A4099">
      <w:pPr>
        <w:pStyle w:val="BodyText"/>
        <w:spacing w:before="21"/>
      </w:pPr>
    </w:p>
    <w:p w14:paraId="7CB25BBD" w14:textId="77777777" w:rsidR="008A4099" w:rsidRDefault="006A6EE2">
      <w:pPr>
        <w:pStyle w:val="Heading5"/>
        <w:rPr>
          <w:b w:val="0"/>
        </w:rPr>
      </w:pPr>
      <w:r>
        <w:t>Recommendation</w:t>
      </w:r>
      <w:r>
        <w:rPr>
          <w:spacing w:val="-4"/>
        </w:rPr>
        <w:t xml:space="preserve"> </w:t>
      </w:r>
      <w:r>
        <w:t>9</w:t>
      </w:r>
      <w:r>
        <w:rPr>
          <w:spacing w:val="-3"/>
        </w:rPr>
        <w:t xml:space="preserve"> </w:t>
      </w:r>
      <w:r>
        <w:t>–</w:t>
      </w:r>
      <w:r>
        <w:rPr>
          <w:spacing w:val="-5"/>
        </w:rPr>
        <w:t xml:space="preserve"> </w:t>
      </w:r>
      <w:r>
        <w:t>Human</w:t>
      </w:r>
      <w:r>
        <w:rPr>
          <w:spacing w:val="-3"/>
        </w:rPr>
        <w:t xml:space="preserve"> </w:t>
      </w:r>
      <w:r>
        <w:t>Rights</w:t>
      </w:r>
      <w:r>
        <w:rPr>
          <w:spacing w:val="-3"/>
        </w:rPr>
        <w:t xml:space="preserve"> </w:t>
      </w:r>
      <w:r>
        <w:t>Unit</w:t>
      </w:r>
      <w:r>
        <w:rPr>
          <w:spacing w:val="-3"/>
        </w:rPr>
        <w:t xml:space="preserve"> </w:t>
      </w:r>
      <w:r>
        <w:rPr>
          <w:b w:val="0"/>
        </w:rPr>
        <w:t>(p</w:t>
      </w:r>
      <w:r>
        <w:rPr>
          <w:b w:val="0"/>
          <w:spacing w:val="-3"/>
        </w:rPr>
        <w:t xml:space="preserve"> </w:t>
      </w:r>
      <w:r>
        <w:rPr>
          <w:b w:val="0"/>
          <w:spacing w:val="-5"/>
        </w:rPr>
        <w:t>69)</w:t>
      </w:r>
    </w:p>
    <w:p w14:paraId="7CB25BBE" w14:textId="77777777" w:rsidR="008A4099" w:rsidRDefault="006A6EE2">
      <w:pPr>
        <w:pStyle w:val="BodyText"/>
        <w:spacing w:before="157" w:line="278" w:lineRule="auto"/>
        <w:ind w:left="726" w:hanging="567"/>
      </w:pPr>
      <w:r>
        <w:t>That a Human Rights Unit be established to prepare statements of compatibility in consultation with responsible agencies.</w:t>
      </w:r>
    </w:p>
    <w:p w14:paraId="7CB25BBF" w14:textId="77777777" w:rsidR="008A4099" w:rsidRDefault="006A6EE2">
      <w:pPr>
        <w:pStyle w:val="BodyText"/>
        <w:spacing w:before="117" w:line="276" w:lineRule="auto"/>
        <w:ind w:left="726" w:right="680" w:hanging="567"/>
      </w:pPr>
      <w:r>
        <w:t>Such</w:t>
      </w:r>
      <w:r>
        <w:rPr>
          <w:spacing w:val="-6"/>
        </w:rPr>
        <w:t xml:space="preserve"> </w:t>
      </w:r>
      <w:r>
        <w:t>dialogue</w:t>
      </w:r>
      <w:r>
        <w:rPr>
          <w:spacing w:val="-8"/>
        </w:rPr>
        <w:t xml:space="preserve"> </w:t>
      </w:r>
      <w:r>
        <w:t>will</w:t>
      </w:r>
      <w:r>
        <w:rPr>
          <w:spacing w:val="-7"/>
        </w:rPr>
        <w:t xml:space="preserve"> </w:t>
      </w:r>
      <w:r>
        <w:t>foster</w:t>
      </w:r>
      <w:r>
        <w:rPr>
          <w:spacing w:val="-5"/>
        </w:rPr>
        <w:t xml:space="preserve"> </w:t>
      </w:r>
      <w:r>
        <w:t>human</w:t>
      </w:r>
      <w:r>
        <w:rPr>
          <w:spacing w:val="-8"/>
        </w:rPr>
        <w:t xml:space="preserve"> </w:t>
      </w:r>
      <w:r>
        <w:t>rights</w:t>
      </w:r>
      <w:r>
        <w:rPr>
          <w:spacing w:val="-5"/>
        </w:rPr>
        <w:t xml:space="preserve"> </w:t>
      </w:r>
      <w:r>
        <w:t>discourse</w:t>
      </w:r>
      <w:r>
        <w:rPr>
          <w:spacing w:val="-5"/>
        </w:rPr>
        <w:t xml:space="preserve"> </w:t>
      </w:r>
      <w:r>
        <w:t>across</w:t>
      </w:r>
      <w:r>
        <w:rPr>
          <w:spacing w:val="-5"/>
        </w:rPr>
        <w:t xml:space="preserve"> </w:t>
      </w:r>
      <w:r>
        <w:t>government,</w:t>
      </w:r>
      <w:r>
        <w:rPr>
          <w:spacing w:val="-6"/>
        </w:rPr>
        <w:t xml:space="preserve"> </w:t>
      </w:r>
      <w:r>
        <w:t>while</w:t>
      </w:r>
      <w:r>
        <w:rPr>
          <w:spacing w:val="-8"/>
        </w:rPr>
        <w:t xml:space="preserve"> </w:t>
      </w:r>
      <w:r>
        <w:t>maintaining</w:t>
      </w:r>
      <w:r>
        <w:rPr>
          <w:spacing w:val="-6"/>
        </w:rPr>
        <w:t xml:space="preserve"> </w:t>
      </w:r>
      <w:r>
        <w:t>quality</w:t>
      </w:r>
      <w:r>
        <w:rPr>
          <w:spacing w:val="-8"/>
        </w:rPr>
        <w:t xml:space="preserve"> </w:t>
      </w:r>
      <w:r>
        <w:t>control over these statements.</w:t>
      </w:r>
    </w:p>
    <w:p w14:paraId="7CB25BC0" w14:textId="77777777" w:rsidR="008A4099" w:rsidRDefault="006A6EE2">
      <w:pPr>
        <w:pStyle w:val="BodyText"/>
        <w:spacing w:before="119"/>
        <w:ind w:left="160"/>
      </w:pPr>
      <w:r>
        <w:t>This</w:t>
      </w:r>
      <w:r>
        <w:rPr>
          <w:spacing w:val="-7"/>
        </w:rPr>
        <w:t xml:space="preserve"> </w:t>
      </w:r>
      <w:r>
        <w:t>is</w:t>
      </w:r>
      <w:r>
        <w:rPr>
          <w:spacing w:val="-3"/>
        </w:rPr>
        <w:t xml:space="preserve"> </w:t>
      </w:r>
      <w:r>
        <w:t>consistent</w:t>
      </w:r>
      <w:r>
        <w:rPr>
          <w:spacing w:val="-2"/>
        </w:rPr>
        <w:t xml:space="preserve"> </w:t>
      </w:r>
      <w:r>
        <w:t>with</w:t>
      </w:r>
      <w:r>
        <w:rPr>
          <w:spacing w:val="-6"/>
        </w:rPr>
        <w:t xml:space="preserve"> </w:t>
      </w:r>
      <w:r>
        <w:t>Recommendation</w:t>
      </w:r>
      <w:r>
        <w:rPr>
          <w:spacing w:val="-3"/>
        </w:rPr>
        <w:t xml:space="preserve"> </w:t>
      </w:r>
      <w:r>
        <w:t>22</w:t>
      </w:r>
      <w:r>
        <w:rPr>
          <w:spacing w:val="-5"/>
        </w:rPr>
        <w:t xml:space="preserve"> </w:t>
      </w:r>
      <w:r>
        <w:t>of</w:t>
      </w:r>
      <w:r>
        <w:rPr>
          <w:spacing w:val="-5"/>
        </w:rPr>
        <w:t xml:space="preserve"> </w:t>
      </w:r>
      <w:r>
        <w:t>the</w:t>
      </w:r>
      <w:r>
        <w:rPr>
          <w:spacing w:val="-3"/>
        </w:rPr>
        <w:t xml:space="preserve"> </w:t>
      </w:r>
      <w:r>
        <w:t>2007</w:t>
      </w:r>
      <w:r>
        <w:rPr>
          <w:spacing w:val="-3"/>
        </w:rPr>
        <w:t xml:space="preserve"> </w:t>
      </w:r>
      <w:r>
        <w:t>Final</w:t>
      </w:r>
      <w:r>
        <w:rPr>
          <w:spacing w:val="-2"/>
        </w:rPr>
        <w:t xml:space="preserve"> </w:t>
      </w:r>
      <w:r>
        <w:t>Report</w:t>
      </w:r>
      <w:r>
        <w:rPr>
          <w:spacing w:val="-4"/>
        </w:rPr>
        <w:t xml:space="preserve"> </w:t>
      </w:r>
      <w:r>
        <w:t>(see</w:t>
      </w:r>
      <w:r>
        <w:rPr>
          <w:spacing w:val="-3"/>
        </w:rPr>
        <w:t xml:space="preserve"> </w:t>
      </w:r>
      <w:r>
        <w:t>Appendix</w:t>
      </w:r>
      <w:r>
        <w:rPr>
          <w:spacing w:val="2"/>
        </w:rPr>
        <w:t xml:space="preserve"> </w:t>
      </w:r>
      <w:r>
        <w:rPr>
          <w:spacing w:val="-5"/>
        </w:rPr>
        <w:t>A).</w:t>
      </w:r>
    </w:p>
    <w:p w14:paraId="7CB25BC1" w14:textId="77777777" w:rsidR="008A4099" w:rsidRDefault="006A6EE2">
      <w:pPr>
        <w:pStyle w:val="BodyText"/>
        <w:spacing w:before="157" w:line="276" w:lineRule="auto"/>
        <w:ind w:left="726" w:right="681" w:hanging="567"/>
        <w:jc w:val="both"/>
      </w:pPr>
      <w:r>
        <w:t>Further, guidelines should be developed for identifying and assessing human rights implications of proposed legislation to assist responsible agencies and departments in developing human rights compatible policies and proposals for legislation.</w:t>
      </w:r>
    </w:p>
    <w:p w14:paraId="7CB25BC2" w14:textId="77777777" w:rsidR="008A4099" w:rsidRDefault="006A6EE2">
      <w:pPr>
        <w:pStyle w:val="BodyText"/>
        <w:spacing w:before="121"/>
        <w:ind w:left="160"/>
        <w:jc w:val="both"/>
      </w:pPr>
      <w:r>
        <w:t>This</w:t>
      </w:r>
      <w:r>
        <w:rPr>
          <w:spacing w:val="-7"/>
        </w:rPr>
        <w:t xml:space="preserve"> </w:t>
      </w:r>
      <w:r>
        <w:t>is</w:t>
      </w:r>
      <w:r>
        <w:rPr>
          <w:spacing w:val="-3"/>
        </w:rPr>
        <w:t xml:space="preserve"> </w:t>
      </w:r>
      <w:r>
        <w:t>consistent</w:t>
      </w:r>
      <w:r>
        <w:rPr>
          <w:spacing w:val="-2"/>
        </w:rPr>
        <w:t xml:space="preserve"> </w:t>
      </w:r>
      <w:r>
        <w:t>with</w:t>
      </w:r>
      <w:r>
        <w:rPr>
          <w:spacing w:val="-6"/>
        </w:rPr>
        <w:t xml:space="preserve"> </w:t>
      </w:r>
      <w:r>
        <w:t>Recommendation</w:t>
      </w:r>
      <w:r>
        <w:rPr>
          <w:spacing w:val="-3"/>
        </w:rPr>
        <w:t xml:space="preserve"> </w:t>
      </w:r>
      <w:r>
        <w:t>22</w:t>
      </w:r>
      <w:r>
        <w:rPr>
          <w:spacing w:val="-5"/>
        </w:rPr>
        <w:t xml:space="preserve"> </w:t>
      </w:r>
      <w:r>
        <w:t>of</w:t>
      </w:r>
      <w:r>
        <w:rPr>
          <w:spacing w:val="-5"/>
        </w:rPr>
        <w:t xml:space="preserve"> </w:t>
      </w:r>
      <w:r>
        <w:t>the</w:t>
      </w:r>
      <w:r>
        <w:rPr>
          <w:spacing w:val="-3"/>
        </w:rPr>
        <w:t xml:space="preserve"> </w:t>
      </w:r>
      <w:r>
        <w:t>2007</w:t>
      </w:r>
      <w:r>
        <w:rPr>
          <w:spacing w:val="-3"/>
        </w:rPr>
        <w:t xml:space="preserve"> </w:t>
      </w:r>
      <w:r>
        <w:t>Final</w:t>
      </w:r>
      <w:r>
        <w:rPr>
          <w:spacing w:val="-2"/>
        </w:rPr>
        <w:t xml:space="preserve"> </w:t>
      </w:r>
      <w:r>
        <w:t>Report</w:t>
      </w:r>
      <w:r>
        <w:rPr>
          <w:spacing w:val="-4"/>
        </w:rPr>
        <w:t xml:space="preserve"> </w:t>
      </w:r>
      <w:r>
        <w:t>(see</w:t>
      </w:r>
      <w:r>
        <w:rPr>
          <w:spacing w:val="-3"/>
        </w:rPr>
        <w:t xml:space="preserve"> </w:t>
      </w:r>
      <w:r>
        <w:t>Appendix</w:t>
      </w:r>
      <w:r>
        <w:rPr>
          <w:spacing w:val="2"/>
        </w:rPr>
        <w:t xml:space="preserve"> </w:t>
      </w:r>
      <w:r>
        <w:rPr>
          <w:spacing w:val="-5"/>
        </w:rPr>
        <w:t>A).</w:t>
      </w:r>
    </w:p>
    <w:p w14:paraId="7CB25BC3" w14:textId="77777777" w:rsidR="008A4099" w:rsidRDefault="008A4099">
      <w:pPr>
        <w:pStyle w:val="BodyText"/>
      </w:pPr>
    </w:p>
    <w:p w14:paraId="7CB25BC4" w14:textId="77777777" w:rsidR="008A4099" w:rsidRDefault="008A4099">
      <w:pPr>
        <w:pStyle w:val="BodyText"/>
        <w:spacing w:before="62"/>
      </w:pPr>
    </w:p>
    <w:p w14:paraId="7CB25BC5" w14:textId="77777777" w:rsidR="008A4099" w:rsidRDefault="006A6EE2">
      <w:pPr>
        <w:pStyle w:val="Heading5"/>
        <w:jc w:val="both"/>
        <w:rPr>
          <w:b w:val="0"/>
        </w:rPr>
      </w:pPr>
      <w:r>
        <w:t>Recommendation</w:t>
      </w:r>
      <w:r>
        <w:rPr>
          <w:spacing w:val="-4"/>
        </w:rPr>
        <w:t xml:space="preserve"> </w:t>
      </w:r>
      <w:r>
        <w:t>10</w:t>
      </w:r>
      <w:r>
        <w:rPr>
          <w:spacing w:val="-4"/>
        </w:rPr>
        <w:t xml:space="preserve"> </w:t>
      </w:r>
      <w:r>
        <w:t>–</w:t>
      </w:r>
      <w:r>
        <w:rPr>
          <w:spacing w:val="-4"/>
        </w:rPr>
        <w:t xml:space="preserve"> </w:t>
      </w:r>
      <w:r>
        <w:t>Subordinate</w:t>
      </w:r>
      <w:r>
        <w:rPr>
          <w:spacing w:val="-4"/>
        </w:rPr>
        <w:t xml:space="preserve"> </w:t>
      </w:r>
      <w:r>
        <w:t>Legislation</w:t>
      </w:r>
      <w:r>
        <w:rPr>
          <w:spacing w:val="-6"/>
        </w:rPr>
        <w:t xml:space="preserve"> </w:t>
      </w:r>
      <w:r>
        <w:rPr>
          <w:b w:val="0"/>
        </w:rPr>
        <w:t>(p</w:t>
      </w:r>
      <w:r>
        <w:rPr>
          <w:b w:val="0"/>
          <w:spacing w:val="-3"/>
        </w:rPr>
        <w:t xml:space="preserve"> </w:t>
      </w:r>
      <w:r>
        <w:rPr>
          <w:b w:val="0"/>
          <w:spacing w:val="-5"/>
        </w:rPr>
        <w:t>70)</w:t>
      </w:r>
    </w:p>
    <w:p w14:paraId="7CB25BC6" w14:textId="77777777" w:rsidR="008A4099" w:rsidRDefault="006A6EE2">
      <w:pPr>
        <w:pStyle w:val="BodyText"/>
        <w:spacing w:before="160" w:line="276" w:lineRule="auto"/>
        <w:ind w:left="726" w:right="680" w:hanging="567"/>
      </w:pPr>
      <w:r>
        <w:t>That subordinate legislation be accompanied by statements of human rights compatibility and subject to the usual disallowance procedures, where non-compliance with human rights is identified.</w:t>
      </w:r>
    </w:p>
    <w:p w14:paraId="7CB25BC7" w14:textId="77777777" w:rsidR="008A4099" w:rsidRDefault="006A6EE2">
      <w:pPr>
        <w:pStyle w:val="BodyText"/>
        <w:spacing w:before="119"/>
        <w:ind w:left="160"/>
        <w:jc w:val="both"/>
      </w:pPr>
      <w:r>
        <w:t>This</w:t>
      </w:r>
      <w:r>
        <w:rPr>
          <w:spacing w:val="-7"/>
        </w:rPr>
        <w:t xml:space="preserve"> </w:t>
      </w:r>
      <w:r>
        <w:t>is</w:t>
      </w:r>
      <w:r>
        <w:rPr>
          <w:spacing w:val="-3"/>
        </w:rPr>
        <w:t xml:space="preserve"> </w:t>
      </w:r>
      <w:r>
        <w:t>consistent</w:t>
      </w:r>
      <w:r>
        <w:rPr>
          <w:spacing w:val="-2"/>
        </w:rPr>
        <w:t xml:space="preserve"> </w:t>
      </w:r>
      <w:r>
        <w:t>with</w:t>
      </w:r>
      <w:r>
        <w:rPr>
          <w:spacing w:val="-6"/>
        </w:rPr>
        <w:t xml:space="preserve"> </w:t>
      </w:r>
      <w:r>
        <w:t>Recommendation</w:t>
      </w:r>
      <w:r>
        <w:rPr>
          <w:spacing w:val="-3"/>
        </w:rPr>
        <w:t xml:space="preserve"> </w:t>
      </w:r>
      <w:r>
        <w:t>10</w:t>
      </w:r>
      <w:r>
        <w:rPr>
          <w:spacing w:val="-5"/>
        </w:rPr>
        <w:t xml:space="preserve"> </w:t>
      </w:r>
      <w:r>
        <w:t>of</w:t>
      </w:r>
      <w:r>
        <w:rPr>
          <w:spacing w:val="-5"/>
        </w:rPr>
        <w:t xml:space="preserve"> </w:t>
      </w:r>
      <w:r>
        <w:t>the</w:t>
      </w:r>
      <w:r>
        <w:rPr>
          <w:spacing w:val="-3"/>
        </w:rPr>
        <w:t xml:space="preserve"> </w:t>
      </w:r>
      <w:r>
        <w:t>2007</w:t>
      </w:r>
      <w:r>
        <w:rPr>
          <w:spacing w:val="-3"/>
        </w:rPr>
        <w:t xml:space="preserve"> </w:t>
      </w:r>
      <w:r>
        <w:t>Final</w:t>
      </w:r>
      <w:r>
        <w:rPr>
          <w:spacing w:val="-2"/>
        </w:rPr>
        <w:t xml:space="preserve"> </w:t>
      </w:r>
      <w:r>
        <w:t>Report</w:t>
      </w:r>
      <w:r>
        <w:rPr>
          <w:spacing w:val="-4"/>
        </w:rPr>
        <w:t xml:space="preserve"> </w:t>
      </w:r>
      <w:r>
        <w:t>(see</w:t>
      </w:r>
      <w:r>
        <w:rPr>
          <w:spacing w:val="-3"/>
        </w:rPr>
        <w:t xml:space="preserve"> </w:t>
      </w:r>
      <w:r>
        <w:t>Appendix</w:t>
      </w:r>
      <w:r>
        <w:rPr>
          <w:spacing w:val="2"/>
        </w:rPr>
        <w:t xml:space="preserve"> </w:t>
      </w:r>
      <w:r>
        <w:rPr>
          <w:spacing w:val="-5"/>
        </w:rPr>
        <w:t>A).</w:t>
      </w:r>
    </w:p>
    <w:p w14:paraId="7CB25BC8" w14:textId="77777777" w:rsidR="008A4099" w:rsidRDefault="008A4099">
      <w:pPr>
        <w:pStyle w:val="BodyText"/>
      </w:pPr>
    </w:p>
    <w:p w14:paraId="7CB25BC9" w14:textId="77777777" w:rsidR="008A4099" w:rsidRDefault="008A4099">
      <w:pPr>
        <w:pStyle w:val="BodyText"/>
        <w:spacing w:before="65"/>
      </w:pPr>
    </w:p>
    <w:p w14:paraId="7CB25BCA" w14:textId="77777777" w:rsidR="008A4099" w:rsidRDefault="006A6EE2">
      <w:pPr>
        <w:pStyle w:val="Heading5"/>
        <w:jc w:val="both"/>
        <w:rPr>
          <w:b w:val="0"/>
        </w:rPr>
      </w:pPr>
      <w:r>
        <w:t>Recommendation</w:t>
      </w:r>
      <w:r>
        <w:rPr>
          <w:spacing w:val="-7"/>
        </w:rPr>
        <w:t xml:space="preserve"> </w:t>
      </w:r>
      <w:r>
        <w:t>11</w:t>
      </w:r>
      <w:r>
        <w:rPr>
          <w:spacing w:val="-4"/>
        </w:rPr>
        <w:t xml:space="preserve"> </w:t>
      </w:r>
      <w:r>
        <w:t>–</w:t>
      </w:r>
      <w:r>
        <w:rPr>
          <w:spacing w:val="-5"/>
        </w:rPr>
        <w:t xml:space="preserve"> </w:t>
      </w:r>
      <w:r>
        <w:t>Parliamentary</w:t>
      </w:r>
      <w:r>
        <w:rPr>
          <w:spacing w:val="-4"/>
        </w:rPr>
        <w:t xml:space="preserve"> </w:t>
      </w:r>
      <w:r>
        <w:t>Human</w:t>
      </w:r>
      <w:r>
        <w:rPr>
          <w:spacing w:val="-5"/>
        </w:rPr>
        <w:t xml:space="preserve"> </w:t>
      </w:r>
      <w:r>
        <w:t>Rights</w:t>
      </w:r>
      <w:r>
        <w:rPr>
          <w:spacing w:val="-4"/>
        </w:rPr>
        <w:t xml:space="preserve"> </w:t>
      </w:r>
      <w:r>
        <w:t>Scrutiny</w:t>
      </w:r>
      <w:r>
        <w:rPr>
          <w:spacing w:val="-5"/>
        </w:rPr>
        <w:t xml:space="preserve"> </w:t>
      </w:r>
      <w:r>
        <w:t>Committee</w:t>
      </w:r>
      <w:r>
        <w:rPr>
          <w:spacing w:val="-3"/>
        </w:rPr>
        <w:t xml:space="preserve"> </w:t>
      </w:r>
      <w:r>
        <w:rPr>
          <w:b w:val="0"/>
        </w:rPr>
        <w:t>(p</w:t>
      </w:r>
      <w:r>
        <w:rPr>
          <w:b w:val="0"/>
          <w:spacing w:val="-6"/>
        </w:rPr>
        <w:t xml:space="preserve"> </w:t>
      </w:r>
      <w:r>
        <w:rPr>
          <w:b w:val="0"/>
          <w:spacing w:val="-5"/>
        </w:rPr>
        <w:t>71)</w:t>
      </w:r>
    </w:p>
    <w:p w14:paraId="7CB25BCB" w14:textId="77777777" w:rsidR="008A4099" w:rsidRDefault="006A6EE2">
      <w:pPr>
        <w:pStyle w:val="BodyText"/>
        <w:spacing w:before="157" w:line="276" w:lineRule="auto"/>
        <w:ind w:left="726" w:hanging="567"/>
      </w:pPr>
      <w:r>
        <w:t>That</w:t>
      </w:r>
      <w:r>
        <w:rPr>
          <w:spacing w:val="-14"/>
        </w:rPr>
        <w:t xml:space="preserve"> </w:t>
      </w:r>
      <w:r>
        <w:t>a</w:t>
      </w:r>
      <w:r>
        <w:rPr>
          <w:spacing w:val="-14"/>
        </w:rPr>
        <w:t xml:space="preserve"> </w:t>
      </w:r>
      <w:r>
        <w:t>dedicated</w:t>
      </w:r>
      <w:r>
        <w:rPr>
          <w:spacing w:val="-14"/>
        </w:rPr>
        <w:t xml:space="preserve"> </w:t>
      </w:r>
      <w:r>
        <w:t>Parliamentary</w:t>
      </w:r>
      <w:r>
        <w:rPr>
          <w:spacing w:val="-13"/>
        </w:rPr>
        <w:t xml:space="preserve"> </w:t>
      </w:r>
      <w:r>
        <w:t>Human</w:t>
      </w:r>
      <w:r>
        <w:rPr>
          <w:spacing w:val="-14"/>
        </w:rPr>
        <w:t xml:space="preserve"> </w:t>
      </w:r>
      <w:r>
        <w:t>Rights</w:t>
      </w:r>
      <w:r>
        <w:rPr>
          <w:spacing w:val="-14"/>
        </w:rPr>
        <w:t xml:space="preserve"> </w:t>
      </w:r>
      <w:r>
        <w:t>Scrutiny</w:t>
      </w:r>
      <w:r>
        <w:rPr>
          <w:spacing w:val="-15"/>
        </w:rPr>
        <w:t xml:space="preserve"> </w:t>
      </w:r>
      <w:r>
        <w:t>Committee</w:t>
      </w:r>
      <w:r>
        <w:rPr>
          <w:spacing w:val="-14"/>
        </w:rPr>
        <w:t xml:space="preserve"> </w:t>
      </w:r>
      <w:r>
        <w:t>(‘PHRSC’)</w:t>
      </w:r>
      <w:r>
        <w:rPr>
          <w:spacing w:val="-13"/>
        </w:rPr>
        <w:t xml:space="preserve"> </w:t>
      </w:r>
      <w:r>
        <w:t>be</w:t>
      </w:r>
      <w:r>
        <w:rPr>
          <w:spacing w:val="-14"/>
        </w:rPr>
        <w:t xml:space="preserve"> </w:t>
      </w:r>
      <w:r>
        <w:t>established</w:t>
      </w:r>
      <w:r>
        <w:rPr>
          <w:spacing w:val="-15"/>
        </w:rPr>
        <w:t xml:space="preserve"> </w:t>
      </w:r>
      <w:r>
        <w:t>and</w:t>
      </w:r>
      <w:r>
        <w:rPr>
          <w:spacing w:val="-14"/>
        </w:rPr>
        <w:t xml:space="preserve"> </w:t>
      </w:r>
      <w:r>
        <w:t>given responsibility for scrutiny of all Bills for compatibility with human rights.</w:t>
      </w:r>
    </w:p>
    <w:p w14:paraId="7CB25BCC" w14:textId="77777777" w:rsidR="008A4099" w:rsidRDefault="006A6EE2">
      <w:pPr>
        <w:pStyle w:val="BodyText"/>
        <w:spacing w:before="119" w:line="276" w:lineRule="auto"/>
        <w:ind w:left="726" w:hanging="567"/>
      </w:pPr>
      <w:r>
        <w:t>The</w:t>
      </w:r>
      <w:r>
        <w:rPr>
          <w:spacing w:val="40"/>
        </w:rPr>
        <w:t xml:space="preserve"> </w:t>
      </w:r>
      <w:r>
        <w:t>PHRSC</w:t>
      </w:r>
      <w:r>
        <w:rPr>
          <w:spacing w:val="40"/>
        </w:rPr>
        <w:t xml:space="preserve"> </w:t>
      </w:r>
      <w:r>
        <w:t>should</w:t>
      </w:r>
      <w:r>
        <w:rPr>
          <w:spacing w:val="40"/>
        </w:rPr>
        <w:t xml:space="preserve"> </w:t>
      </w:r>
      <w:r>
        <w:t>be</w:t>
      </w:r>
      <w:r>
        <w:rPr>
          <w:spacing w:val="40"/>
        </w:rPr>
        <w:t xml:space="preserve"> </w:t>
      </w:r>
      <w:r>
        <w:t>constituted</w:t>
      </w:r>
      <w:r>
        <w:rPr>
          <w:spacing w:val="40"/>
        </w:rPr>
        <w:t xml:space="preserve"> </w:t>
      </w:r>
      <w:r>
        <w:t>across</w:t>
      </w:r>
      <w:r>
        <w:rPr>
          <w:spacing w:val="40"/>
        </w:rPr>
        <w:t xml:space="preserve"> </w:t>
      </w:r>
      <w:r>
        <w:t>party</w:t>
      </w:r>
      <w:r>
        <w:rPr>
          <w:spacing w:val="40"/>
        </w:rPr>
        <w:t xml:space="preserve"> </w:t>
      </w:r>
      <w:r>
        <w:t>lines</w:t>
      </w:r>
      <w:r>
        <w:rPr>
          <w:spacing w:val="40"/>
        </w:rPr>
        <w:t xml:space="preserve"> </w:t>
      </w:r>
      <w:r>
        <w:t>and</w:t>
      </w:r>
      <w:r>
        <w:rPr>
          <w:spacing w:val="40"/>
        </w:rPr>
        <w:t xml:space="preserve"> </w:t>
      </w:r>
      <w:r>
        <w:t>consist</w:t>
      </w:r>
      <w:r>
        <w:rPr>
          <w:spacing w:val="40"/>
        </w:rPr>
        <w:t xml:space="preserve"> </w:t>
      </w:r>
      <w:r>
        <w:t>of</w:t>
      </w:r>
      <w:r>
        <w:rPr>
          <w:spacing w:val="40"/>
        </w:rPr>
        <w:t xml:space="preserve"> </w:t>
      </w:r>
      <w:r>
        <w:t>members</w:t>
      </w:r>
      <w:r>
        <w:rPr>
          <w:spacing w:val="40"/>
        </w:rPr>
        <w:t xml:space="preserve"> </w:t>
      </w:r>
      <w:r>
        <w:t>of</w:t>
      </w:r>
      <w:r>
        <w:rPr>
          <w:spacing w:val="40"/>
        </w:rPr>
        <w:t xml:space="preserve"> </w:t>
      </w:r>
      <w:r>
        <w:t>both</w:t>
      </w:r>
      <w:r>
        <w:rPr>
          <w:spacing w:val="40"/>
        </w:rPr>
        <w:t xml:space="preserve"> </w:t>
      </w:r>
      <w:r>
        <w:t>House</w:t>
      </w:r>
      <w:r>
        <w:rPr>
          <w:spacing w:val="40"/>
        </w:rPr>
        <w:t xml:space="preserve"> </w:t>
      </w:r>
      <w:r>
        <w:t xml:space="preserve">of </w:t>
      </w:r>
      <w:r>
        <w:rPr>
          <w:spacing w:val="-2"/>
        </w:rPr>
        <w:t>Parliament.</w:t>
      </w:r>
    </w:p>
    <w:p w14:paraId="7CB25BCD" w14:textId="77777777" w:rsidR="008A4099" w:rsidRDefault="006A6EE2">
      <w:pPr>
        <w:pStyle w:val="BodyText"/>
        <w:spacing w:before="121"/>
        <w:ind w:left="160"/>
      </w:pPr>
      <w:r>
        <w:t>This</w:t>
      </w:r>
      <w:r>
        <w:rPr>
          <w:spacing w:val="-7"/>
        </w:rPr>
        <w:t xml:space="preserve"> </w:t>
      </w:r>
      <w:r>
        <w:t>is</w:t>
      </w:r>
      <w:r>
        <w:rPr>
          <w:spacing w:val="-2"/>
        </w:rPr>
        <w:t xml:space="preserve"> </w:t>
      </w:r>
      <w:r>
        <w:t>consistent</w:t>
      </w:r>
      <w:r>
        <w:rPr>
          <w:spacing w:val="-2"/>
        </w:rPr>
        <w:t xml:space="preserve"> </w:t>
      </w:r>
      <w:r>
        <w:t>with</w:t>
      </w:r>
      <w:r>
        <w:rPr>
          <w:spacing w:val="-6"/>
        </w:rPr>
        <w:t xml:space="preserve"> </w:t>
      </w:r>
      <w:r>
        <w:t>Recommendation</w:t>
      </w:r>
      <w:r>
        <w:rPr>
          <w:spacing w:val="-3"/>
        </w:rPr>
        <w:t xml:space="preserve"> </w:t>
      </w:r>
      <w:r>
        <w:t>10</w:t>
      </w:r>
      <w:r>
        <w:rPr>
          <w:spacing w:val="-6"/>
        </w:rPr>
        <w:t xml:space="preserve"> </w:t>
      </w:r>
      <w:r>
        <w:t>of</w:t>
      </w:r>
      <w:r>
        <w:rPr>
          <w:spacing w:val="-5"/>
        </w:rPr>
        <w:t xml:space="preserve"> </w:t>
      </w:r>
      <w:r>
        <w:t>the</w:t>
      </w:r>
      <w:r>
        <w:rPr>
          <w:spacing w:val="-3"/>
        </w:rPr>
        <w:t xml:space="preserve"> </w:t>
      </w:r>
      <w:r>
        <w:t>2007</w:t>
      </w:r>
      <w:r>
        <w:rPr>
          <w:spacing w:val="-3"/>
        </w:rPr>
        <w:t xml:space="preserve"> </w:t>
      </w:r>
      <w:r>
        <w:t>Final</w:t>
      </w:r>
      <w:r>
        <w:rPr>
          <w:spacing w:val="-2"/>
        </w:rPr>
        <w:t xml:space="preserve"> </w:t>
      </w:r>
      <w:r>
        <w:t>Report</w:t>
      </w:r>
      <w:r>
        <w:rPr>
          <w:spacing w:val="-4"/>
        </w:rPr>
        <w:t xml:space="preserve"> </w:t>
      </w:r>
      <w:r>
        <w:t>(see</w:t>
      </w:r>
      <w:r>
        <w:rPr>
          <w:spacing w:val="-3"/>
        </w:rPr>
        <w:t xml:space="preserve"> </w:t>
      </w:r>
      <w:r>
        <w:t>Appendix</w:t>
      </w:r>
      <w:r>
        <w:rPr>
          <w:spacing w:val="2"/>
        </w:rPr>
        <w:t xml:space="preserve"> </w:t>
      </w:r>
      <w:r>
        <w:rPr>
          <w:spacing w:val="-5"/>
        </w:rPr>
        <w:t>A).</w:t>
      </w:r>
    </w:p>
    <w:p w14:paraId="7CB25BCE" w14:textId="77777777" w:rsidR="008A4099" w:rsidRDefault="006A6EE2">
      <w:pPr>
        <w:pStyle w:val="BodyText"/>
        <w:spacing w:before="158" w:line="276" w:lineRule="auto"/>
        <w:ind w:left="726" w:right="680" w:hanging="567"/>
      </w:pPr>
      <w:r>
        <w:t>The</w:t>
      </w:r>
      <w:r>
        <w:rPr>
          <w:spacing w:val="24"/>
        </w:rPr>
        <w:t xml:space="preserve"> </w:t>
      </w:r>
      <w:r>
        <w:t>Tasmanian human</w:t>
      </w:r>
      <w:r>
        <w:rPr>
          <w:spacing w:val="24"/>
        </w:rPr>
        <w:t xml:space="preserve"> </w:t>
      </w:r>
      <w:r>
        <w:t>rights</w:t>
      </w:r>
      <w:r>
        <w:rPr>
          <w:spacing w:val="24"/>
        </w:rPr>
        <w:t xml:space="preserve"> </w:t>
      </w:r>
      <w:r>
        <w:t>enactment should</w:t>
      </w:r>
      <w:r>
        <w:rPr>
          <w:spacing w:val="24"/>
        </w:rPr>
        <w:t xml:space="preserve"> </w:t>
      </w:r>
      <w:r>
        <w:t>provide</w:t>
      </w:r>
      <w:r>
        <w:rPr>
          <w:spacing w:val="24"/>
        </w:rPr>
        <w:t xml:space="preserve"> </w:t>
      </w:r>
      <w:r>
        <w:t>a guaranteed minimum time</w:t>
      </w:r>
      <w:r>
        <w:rPr>
          <w:spacing w:val="24"/>
        </w:rPr>
        <w:t xml:space="preserve"> </w:t>
      </w:r>
      <w:r>
        <w:t>period</w:t>
      </w:r>
      <w:r>
        <w:rPr>
          <w:spacing w:val="24"/>
        </w:rPr>
        <w:t xml:space="preserve"> </w:t>
      </w:r>
      <w:r>
        <w:t>for the PHRSC</w:t>
      </w:r>
      <w:r>
        <w:rPr>
          <w:spacing w:val="20"/>
        </w:rPr>
        <w:t xml:space="preserve"> </w:t>
      </w:r>
      <w:r>
        <w:t>to</w:t>
      </w:r>
      <w:r>
        <w:rPr>
          <w:spacing w:val="24"/>
        </w:rPr>
        <w:t xml:space="preserve"> </w:t>
      </w:r>
      <w:r>
        <w:t>consider</w:t>
      </w:r>
      <w:r>
        <w:rPr>
          <w:spacing w:val="24"/>
        </w:rPr>
        <w:t xml:space="preserve"> </w:t>
      </w:r>
      <w:r>
        <w:t>each</w:t>
      </w:r>
      <w:r>
        <w:rPr>
          <w:spacing w:val="24"/>
        </w:rPr>
        <w:t xml:space="preserve"> </w:t>
      </w:r>
      <w:r>
        <w:t>new</w:t>
      </w:r>
      <w:r>
        <w:rPr>
          <w:spacing w:val="22"/>
        </w:rPr>
        <w:t xml:space="preserve"> </w:t>
      </w:r>
      <w:r>
        <w:t>Bill</w:t>
      </w:r>
      <w:r>
        <w:rPr>
          <w:spacing w:val="25"/>
        </w:rPr>
        <w:t xml:space="preserve"> </w:t>
      </w:r>
      <w:r>
        <w:t>before</w:t>
      </w:r>
      <w:r>
        <w:rPr>
          <w:spacing w:val="23"/>
        </w:rPr>
        <w:t xml:space="preserve"> </w:t>
      </w:r>
      <w:r>
        <w:t>it</w:t>
      </w:r>
      <w:r>
        <w:rPr>
          <w:spacing w:val="25"/>
        </w:rPr>
        <w:t xml:space="preserve"> </w:t>
      </w:r>
      <w:r>
        <w:t>can</w:t>
      </w:r>
      <w:r>
        <w:rPr>
          <w:spacing w:val="24"/>
        </w:rPr>
        <w:t xml:space="preserve"> </w:t>
      </w:r>
      <w:r>
        <w:t>be</w:t>
      </w:r>
      <w:r>
        <w:rPr>
          <w:spacing w:val="23"/>
        </w:rPr>
        <w:t xml:space="preserve"> </w:t>
      </w:r>
      <w:r>
        <w:t>debated</w:t>
      </w:r>
      <w:r>
        <w:rPr>
          <w:spacing w:val="24"/>
        </w:rPr>
        <w:t xml:space="preserve"> </w:t>
      </w:r>
      <w:r>
        <w:t>in</w:t>
      </w:r>
      <w:r>
        <w:rPr>
          <w:spacing w:val="23"/>
        </w:rPr>
        <w:t xml:space="preserve"> </w:t>
      </w:r>
      <w:r>
        <w:t>Parliament.</w:t>
      </w:r>
      <w:r>
        <w:rPr>
          <w:spacing w:val="24"/>
        </w:rPr>
        <w:t xml:space="preserve"> </w:t>
      </w:r>
      <w:r>
        <w:t>This</w:t>
      </w:r>
      <w:r>
        <w:rPr>
          <w:spacing w:val="21"/>
        </w:rPr>
        <w:t xml:space="preserve"> </w:t>
      </w:r>
      <w:r>
        <w:t>time</w:t>
      </w:r>
      <w:r>
        <w:rPr>
          <w:spacing w:val="24"/>
        </w:rPr>
        <w:t xml:space="preserve"> </w:t>
      </w:r>
      <w:r>
        <w:t>may</w:t>
      </w:r>
      <w:r>
        <w:rPr>
          <w:spacing w:val="24"/>
        </w:rPr>
        <w:t xml:space="preserve"> </w:t>
      </w:r>
      <w:r>
        <w:rPr>
          <w:spacing w:val="-5"/>
        </w:rPr>
        <w:t>be</w:t>
      </w:r>
    </w:p>
    <w:p w14:paraId="7CB25BCF" w14:textId="77777777" w:rsidR="008A4099" w:rsidRDefault="008A4099">
      <w:pPr>
        <w:spacing w:line="276" w:lineRule="auto"/>
        <w:sectPr w:rsidR="008A4099" w:rsidSect="00D43B2D">
          <w:headerReference w:type="default" r:id="rId29"/>
          <w:footerReference w:type="even" r:id="rId30"/>
          <w:footerReference w:type="default" r:id="rId31"/>
          <w:pgSz w:w="11910" w:h="16840"/>
          <w:pgMar w:top="1360" w:right="760" w:bottom="940" w:left="1280" w:header="0" w:footer="753" w:gutter="0"/>
          <w:pgNumType w:start="11"/>
          <w:cols w:space="720"/>
        </w:sectPr>
      </w:pPr>
    </w:p>
    <w:p w14:paraId="7CB25BD0" w14:textId="77777777" w:rsidR="008A4099" w:rsidRDefault="006A6EE2">
      <w:pPr>
        <w:pStyle w:val="BodyText"/>
        <w:spacing w:before="62" w:line="276" w:lineRule="auto"/>
        <w:ind w:left="726" w:right="675"/>
        <w:jc w:val="both"/>
      </w:pPr>
      <w:r>
        <w:lastRenderedPageBreak/>
        <w:t>extended,</w:t>
      </w:r>
      <w:r>
        <w:rPr>
          <w:spacing w:val="-7"/>
        </w:rPr>
        <w:t xml:space="preserve"> </w:t>
      </w:r>
      <w:r>
        <w:t>if</w:t>
      </w:r>
      <w:r>
        <w:rPr>
          <w:spacing w:val="-6"/>
        </w:rPr>
        <w:t xml:space="preserve"> </w:t>
      </w:r>
      <w:r>
        <w:t>the</w:t>
      </w:r>
      <w:r>
        <w:rPr>
          <w:spacing w:val="-7"/>
        </w:rPr>
        <w:t xml:space="preserve"> </w:t>
      </w:r>
      <w:r>
        <w:t>statement</w:t>
      </w:r>
      <w:r>
        <w:rPr>
          <w:spacing w:val="-4"/>
        </w:rPr>
        <w:t xml:space="preserve"> </w:t>
      </w:r>
      <w:r>
        <w:t>of</w:t>
      </w:r>
      <w:r>
        <w:rPr>
          <w:spacing w:val="-4"/>
        </w:rPr>
        <w:t xml:space="preserve"> </w:t>
      </w:r>
      <w:r>
        <w:t>compatibility</w:t>
      </w:r>
      <w:r>
        <w:rPr>
          <w:spacing w:val="-7"/>
        </w:rPr>
        <w:t xml:space="preserve"> </w:t>
      </w:r>
      <w:r>
        <w:t>indicates</w:t>
      </w:r>
      <w:r>
        <w:rPr>
          <w:spacing w:val="-6"/>
        </w:rPr>
        <w:t xml:space="preserve"> </w:t>
      </w:r>
      <w:r>
        <w:t>that</w:t>
      </w:r>
      <w:r>
        <w:rPr>
          <w:spacing w:val="-6"/>
        </w:rPr>
        <w:t xml:space="preserve"> </w:t>
      </w:r>
      <w:r>
        <w:t>the</w:t>
      </w:r>
      <w:r>
        <w:rPr>
          <w:spacing w:val="-7"/>
        </w:rPr>
        <w:t xml:space="preserve"> </w:t>
      </w:r>
      <w:r>
        <w:t>Bill</w:t>
      </w:r>
      <w:r>
        <w:rPr>
          <w:spacing w:val="-6"/>
        </w:rPr>
        <w:t xml:space="preserve"> </w:t>
      </w:r>
      <w:r>
        <w:t>is</w:t>
      </w:r>
      <w:r>
        <w:rPr>
          <w:spacing w:val="-7"/>
        </w:rPr>
        <w:t xml:space="preserve"> </w:t>
      </w:r>
      <w:r>
        <w:t>potentially</w:t>
      </w:r>
      <w:r>
        <w:rPr>
          <w:spacing w:val="-7"/>
        </w:rPr>
        <w:t xml:space="preserve"> </w:t>
      </w:r>
      <w:r>
        <w:t>incompatible</w:t>
      </w:r>
      <w:r>
        <w:rPr>
          <w:spacing w:val="-7"/>
        </w:rPr>
        <w:t xml:space="preserve"> </w:t>
      </w:r>
      <w:r>
        <w:t>with human rights.</w:t>
      </w:r>
      <w:r>
        <w:rPr>
          <w:spacing w:val="40"/>
        </w:rPr>
        <w:t xml:space="preserve"> </w:t>
      </w:r>
      <w:r>
        <w:t>Additional time may also be sought by the PHRSC if, despite no statement of incompatibility, it is satisfied that the Bill may be incompatible with rights and will reasonably require a longer assessment period.</w:t>
      </w:r>
    </w:p>
    <w:p w14:paraId="7CB25BD1" w14:textId="77777777" w:rsidR="008A4099" w:rsidRDefault="006A6EE2">
      <w:pPr>
        <w:pStyle w:val="BodyText"/>
        <w:spacing w:before="121" w:line="276" w:lineRule="auto"/>
        <w:ind w:left="160" w:right="683"/>
        <w:jc w:val="both"/>
      </w:pPr>
      <w:r>
        <w:t>This is an addition to the recommendations in the 2007 Final Report in relation to the PHRSC (Recommendation 10, see Appendix A).</w:t>
      </w:r>
    </w:p>
    <w:p w14:paraId="7CB25BD2" w14:textId="77777777" w:rsidR="008A4099" w:rsidRDefault="008A4099">
      <w:pPr>
        <w:pStyle w:val="BodyText"/>
      </w:pPr>
    </w:p>
    <w:p w14:paraId="7CB25BD3" w14:textId="77777777" w:rsidR="008A4099" w:rsidRDefault="008A4099">
      <w:pPr>
        <w:pStyle w:val="BodyText"/>
        <w:spacing w:before="26"/>
      </w:pPr>
    </w:p>
    <w:p w14:paraId="7CB25BD4" w14:textId="77777777" w:rsidR="008A4099" w:rsidRDefault="006A6EE2">
      <w:pPr>
        <w:pStyle w:val="Heading5"/>
        <w:rPr>
          <w:b w:val="0"/>
        </w:rPr>
      </w:pPr>
      <w:r>
        <w:t>Recommendation</w:t>
      </w:r>
      <w:r>
        <w:rPr>
          <w:spacing w:val="-4"/>
        </w:rPr>
        <w:t xml:space="preserve"> </w:t>
      </w:r>
      <w:r>
        <w:t>12</w:t>
      </w:r>
      <w:r>
        <w:rPr>
          <w:spacing w:val="-3"/>
        </w:rPr>
        <w:t xml:space="preserve"> </w:t>
      </w:r>
      <w:r>
        <w:t>–</w:t>
      </w:r>
      <w:r>
        <w:rPr>
          <w:spacing w:val="-6"/>
        </w:rPr>
        <w:t xml:space="preserve"> </w:t>
      </w:r>
      <w:r>
        <w:t>Override</w:t>
      </w:r>
      <w:r>
        <w:rPr>
          <w:spacing w:val="-1"/>
        </w:rPr>
        <w:t xml:space="preserve"> </w:t>
      </w:r>
      <w:r>
        <w:t>Clauses</w:t>
      </w:r>
      <w:r>
        <w:rPr>
          <w:spacing w:val="-5"/>
        </w:rPr>
        <w:t xml:space="preserve"> </w:t>
      </w:r>
      <w:r>
        <w:rPr>
          <w:b w:val="0"/>
        </w:rPr>
        <w:t>(p</w:t>
      </w:r>
      <w:r>
        <w:rPr>
          <w:b w:val="0"/>
          <w:spacing w:val="-3"/>
        </w:rPr>
        <w:t xml:space="preserve"> </w:t>
      </w:r>
      <w:r>
        <w:rPr>
          <w:b w:val="0"/>
          <w:spacing w:val="-5"/>
        </w:rPr>
        <w:t>73)</w:t>
      </w:r>
    </w:p>
    <w:p w14:paraId="7CB25BD5" w14:textId="77777777" w:rsidR="008A4099" w:rsidRDefault="006A6EE2">
      <w:pPr>
        <w:pStyle w:val="BodyText"/>
        <w:spacing w:before="157" w:line="276" w:lineRule="auto"/>
        <w:ind w:left="726" w:right="680" w:hanging="567"/>
      </w:pPr>
      <w:r>
        <w:t>That,</w:t>
      </w:r>
      <w:r>
        <w:rPr>
          <w:spacing w:val="-9"/>
        </w:rPr>
        <w:t xml:space="preserve"> </w:t>
      </w:r>
      <w:r>
        <w:t>in</w:t>
      </w:r>
      <w:r>
        <w:rPr>
          <w:spacing w:val="-11"/>
        </w:rPr>
        <w:t xml:space="preserve"> </w:t>
      </w:r>
      <w:r>
        <w:t>recognition</w:t>
      </w:r>
      <w:r>
        <w:rPr>
          <w:spacing w:val="-9"/>
        </w:rPr>
        <w:t xml:space="preserve"> </w:t>
      </w:r>
      <w:r>
        <w:t>of</w:t>
      </w:r>
      <w:r>
        <w:rPr>
          <w:spacing w:val="-8"/>
        </w:rPr>
        <w:t xml:space="preserve"> </w:t>
      </w:r>
      <w:r>
        <w:t>the</w:t>
      </w:r>
      <w:r>
        <w:rPr>
          <w:spacing w:val="-8"/>
        </w:rPr>
        <w:t xml:space="preserve"> </w:t>
      </w:r>
      <w:r>
        <w:t>primacy</w:t>
      </w:r>
      <w:r>
        <w:rPr>
          <w:spacing w:val="-9"/>
        </w:rPr>
        <w:t xml:space="preserve"> </w:t>
      </w:r>
      <w:r>
        <w:t>of</w:t>
      </w:r>
      <w:r>
        <w:rPr>
          <w:spacing w:val="-8"/>
        </w:rPr>
        <w:t xml:space="preserve"> </w:t>
      </w:r>
      <w:r>
        <w:t>Parliament,</w:t>
      </w:r>
      <w:r>
        <w:rPr>
          <w:spacing w:val="-5"/>
        </w:rPr>
        <w:t xml:space="preserve"> </w:t>
      </w:r>
      <w:r>
        <w:t>Parliament</w:t>
      </w:r>
      <w:r>
        <w:rPr>
          <w:spacing w:val="-8"/>
        </w:rPr>
        <w:t xml:space="preserve"> </w:t>
      </w:r>
      <w:r>
        <w:t>be</w:t>
      </w:r>
      <w:r>
        <w:rPr>
          <w:spacing w:val="-8"/>
        </w:rPr>
        <w:t xml:space="preserve"> </w:t>
      </w:r>
      <w:r>
        <w:t>able</w:t>
      </w:r>
      <w:r>
        <w:rPr>
          <w:spacing w:val="-8"/>
        </w:rPr>
        <w:t xml:space="preserve"> </w:t>
      </w:r>
      <w:r>
        <w:t>to</w:t>
      </w:r>
      <w:r>
        <w:rPr>
          <w:spacing w:val="-9"/>
        </w:rPr>
        <w:t xml:space="preserve"> </w:t>
      </w:r>
      <w:r>
        <w:t>respond</w:t>
      </w:r>
      <w:r>
        <w:rPr>
          <w:spacing w:val="-9"/>
        </w:rPr>
        <w:t xml:space="preserve"> </w:t>
      </w:r>
      <w:r>
        <w:t>to</w:t>
      </w:r>
      <w:r>
        <w:rPr>
          <w:spacing w:val="-11"/>
        </w:rPr>
        <w:t xml:space="preserve"> </w:t>
      </w:r>
      <w:r>
        <w:t>a</w:t>
      </w:r>
      <w:r>
        <w:rPr>
          <w:spacing w:val="-8"/>
        </w:rPr>
        <w:t xml:space="preserve"> </w:t>
      </w:r>
      <w:r>
        <w:t>court’s</w:t>
      </w:r>
      <w:r>
        <w:rPr>
          <w:spacing w:val="-8"/>
        </w:rPr>
        <w:t xml:space="preserve"> </w:t>
      </w:r>
      <w:r>
        <w:t>declaration of incompatibility by enacting an override clause to confirm the legislation.</w:t>
      </w:r>
    </w:p>
    <w:p w14:paraId="7CB25BD6" w14:textId="77777777" w:rsidR="008A4099" w:rsidRDefault="006A6EE2">
      <w:pPr>
        <w:pStyle w:val="BodyText"/>
        <w:spacing w:before="119" w:line="388" w:lineRule="auto"/>
        <w:ind w:left="160" w:right="1674"/>
      </w:pPr>
      <w:r>
        <w:t>This</w:t>
      </w:r>
      <w:r>
        <w:rPr>
          <w:spacing w:val="-4"/>
        </w:rPr>
        <w:t xml:space="preserve"> </w:t>
      </w:r>
      <w:r>
        <w:t>is</w:t>
      </w:r>
      <w:r>
        <w:rPr>
          <w:spacing w:val="-2"/>
        </w:rPr>
        <w:t xml:space="preserve"> </w:t>
      </w:r>
      <w:r>
        <w:t>consistent</w:t>
      </w:r>
      <w:r>
        <w:rPr>
          <w:spacing w:val="-1"/>
        </w:rPr>
        <w:t xml:space="preserve"> </w:t>
      </w:r>
      <w:r>
        <w:t>with</w:t>
      </w:r>
      <w:r>
        <w:rPr>
          <w:spacing w:val="-5"/>
        </w:rPr>
        <w:t xml:space="preserve"> </w:t>
      </w:r>
      <w:r>
        <w:t>Recommendation</w:t>
      </w:r>
      <w:r>
        <w:rPr>
          <w:spacing w:val="-2"/>
        </w:rPr>
        <w:t xml:space="preserve"> </w:t>
      </w:r>
      <w:r>
        <w:t>10</w:t>
      </w:r>
      <w:r>
        <w:rPr>
          <w:spacing w:val="-5"/>
        </w:rPr>
        <w:t xml:space="preserve"> </w:t>
      </w:r>
      <w:r>
        <w:t>of</w:t>
      </w:r>
      <w:r>
        <w:rPr>
          <w:spacing w:val="-4"/>
        </w:rPr>
        <w:t xml:space="preserve"> </w:t>
      </w:r>
      <w:r>
        <w:t>the</w:t>
      </w:r>
      <w:r>
        <w:rPr>
          <w:spacing w:val="-2"/>
        </w:rPr>
        <w:t xml:space="preserve"> </w:t>
      </w:r>
      <w:r>
        <w:t>2007</w:t>
      </w:r>
      <w:r>
        <w:rPr>
          <w:spacing w:val="-2"/>
        </w:rPr>
        <w:t xml:space="preserve"> </w:t>
      </w:r>
      <w:r>
        <w:t>Final</w:t>
      </w:r>
      <w:r>
        <w:rPr>
          <w:spacing w:val="-1"/>
        </w:rPr>
        <w:t xml:space="preserve"> </w:t>
      </w:r>
      <w:r>
        <w:t>Report</w:t>
      </w:r>
      <w:r>
        <w:rPr>
          <w:spacing w:val="-4"/>
        </w:rPr>
        <w:t xml:space="preserve"> </w:t>
      </w:r>
      <w:r>
        <w:t>(see</w:t>
      </w:r>
      <w:r>
        <w:rPr>
          <w:spacing w:val="-2"/>
        </w:rPr>
        <w:t xml:space="preserve"> </w:t>
      </w:r>
      <w:r>
        <w:t>Appendix A). The override clauses should be confined to exceptional circumstances.</w:t>
      </w:r>
    </w:p>
    <w:p w14:paraId="7CB25BD7" w14:textId="77777777" w:rsidR="008A4099" w:rsidRDefault="006A6EE2">
      <w:pPr>
        <w:pStyle w:val="BodyText"/>
        <w:spacing w:before="4" w:line="388" w:lineRule="auto"/>
        <w:ind w:left="160" w:right="1674"/>
      </w:pPr>
      <w:r>
        <w:t>This</w:t>
      </w:r>
      <w:r>
        <w:rPr>
          <w:spacing w:val="-4"/>
        </w:rPr>
        <w:t xml:space="preserve"> </w:t>
      </w:r>
      <w:r>
        <w:t>is</w:t>
      </w:r>
      <w:r>
        <w:rPr>
          <w:spacing w:val="-2"/>
        </w:rPr>
        <w:t xml:space="preserve"> </w:t>
      </w:r>
      <w:r>
        <w:t>consistent</w:t>
      </w:r>
      <w:r>
        <w:rPr>
          <w:spacing w:val="-1"/>
        </w:rPr>
        <w:t xml:space="preserve"> </w:t>
      </w:r>
      <w:r>
        <w:t>with</w:t>
      </w:r>
      <w:r>
        <w:rPr>
          <w:spacing w:val="-5"/>
        </w:rPr>
        <w:t xml:space="preserve"> </w:t>
      </w:r>
      <w:r>
        <w:t>Recommendation</w:t>
      </w:r>
      <w:r>
        <w:rPr>
          <w:spacing w:val="-2"/>
        </w:rPr>
        <w:t xml:space="preserve"> </w:t>
      </w:r>
      <w:r>
        <w:t>10</w:t>
      </w:r>
      <w:r>
        <w:rPr>
          <w:spacing w:val="-5"/>
        </w:rPr>
        <w:t xml:space="preserve"> </w:t>
      </w:r>
      <w:r>
        <w:t>of</w:t>
      </w:r>
      <w:r>
        <w:rPr>
          <w:spacing w:val="-4"/>
        </w:rPr>
        <w:t xml:space="preserve"> </w:t>
      </w:r>
      <w:r>
        <w:t>the</w:t>
      </w:r>
      <w:r>
        <w:rPr>
          <w:spacing w:val="-2"/>
        </w:rPr>
        <w:t xml:space="preserve"> </w:t>
      </w:r>
      <w:r>
        <w:t>2007</w:t>
      </w:r>
      <w:r>
        <w:rPr>
          <w:spacing w:val="-2"/>
        </w:rPr>
        <w:t xml:space="preserve"> </w:t>
      </w:r>
      <w:r>
        <w:t>Final</w:t>
      </w:r>
      <w:r>
        <w:rPr>
          <w:spacing w:val="-1"/>
        </w:rPr>
        <w:t xml:space="preserve"> </w:t>
      </w:r>
      <w:r>
        <w:t>Report</w:t>
      </w:r>
      <w:r>
        <w:rPr>
          <w:spacing w:val="-4"/>
        </w:rPr>
        <w:t xml:space="preserve"> </w:t>
      </w:r>
      <w:r>
        <w:t>(see</w:t>
      </w:r>
      <w:r>
        <w:rPr>
          <w:spacing w:val="-2"/>
        </w:rPr>
        <w:t xml:space="preserve"> </w:t>
      </w:r>
      <w:r>
        <w:t>Appendix A). The override clauses should be subject to a two-year sunset clause.</w:t>
      </w:r>
    </w:p>
    <w:p w14:paraId="7CB25BD8" w14:textId="77777777" w:rsidR="008A4099" w:rsidRDefault="006A6EE2">
      <w:pPr>
        <w:pStyle w:val="BodyText"/>
        <w:spacing w:before="1"/>
        <w:ind w:left="160"/>
      </w:pPr>
      <w:r>
        <w:t>Parliament</w:t>
      </w:r>
      <w:r>
        <w:rPr>
          <w:spacing w:val="-4"/>
        </w:rPr>
        <w:t xml:space="preserve"> </w:t>
      </w:r>
      <w:r>
        <w:t>should</w:t>
      </w:r>
      <w:r>
        <w:rPr>
          <w:spacing w:val="-6"/>
        </w:rPr>
        <w:t xml:space="preserve"> </w:t>
      </w:r>
      <w:r>
        <w:t>be</w:t>
      </w:r>
      <w:r>
        <w:rPr>
          <w:spacing w:val="-2"/>
        </w:rPr>
        <w:t xml:space="preserve"> </w:t>
      </w:r>
      <w:r>
        <w:t>able</w:t>
      </w:r>
      <w:r>
        <w:rPr>
          <w:spacing w:val="-5"/>
        </w:rPr>
        <w:t xml:space="preserve"> </w:t>
      </w:r>
      <w:r>
        <w:t>to</w:t>
      </w:r>
      <w:r>
        <w:rPr>
          <w:spacing w:val="-3"/>
        </w:rPr>
        <w:t xml:space="preserve"> </w:t>
      </w:r>
      <w:r>
        <w:t>reinstitute</w:t>
      </w:r>
      <w:r>
        <w:rPr>
          <w:spacing w:val="-2"/>
        </w:rPr>
        <w:t xml:space="preserve"> </w:t>
      </w:r>
      <w:r>
        <w:t>override</w:t>
      </w:r>
      <w:r>
        <w:rPr>
          <w:spacing w:val="-5"/>
        </w:rPr>
        <w:t xml:space="preserve"> </w:t>
      </w:r>
      <w:r>
        <w:t>clauses</w:t>
      </w:r>
      <w:r>
        <w:rPr>
          <w:spacing w:val="-3"/>
        </w:rPr>
        <w:t xml:space="preserve"> </w:t>
      </w:r>
      <w:r>
        <w:t>prior</w:t>
      </w:r>
      <w:r>
        <w:rPr>
          <w:spacing w:val="-4"/>
        </w:rPr>
        <w:t xml:space="preserve"> </w:t>
      </w:r>
      <w:r>
        <w:t>to</w:t>
      </w:r>
      <w:r>
        <w:rPr>
          <w:spacing w:val="-3"/>
        </w:rPr>
        <w:t xml:space="preserve"> </w:t>
      </w:r>
      <w:r>
        <w:t>expiration</w:t>
      </w:r>
      <w:r>
        <w:rPr>
          <w:spacing w:val="-6"/>
        </w:rPr>
        <w:t xml:space="preserve"> </w:t>
      </w:r>
      <w:r>
        <w:t>of</w:t>
      </w:r>
      <w:r>
        <w:rPr>
          <w:spacing w:val="-4"/>
        </w:rPr>
        <w:t xml:space="preserve"> </w:t>
      </w:r>
      <w:r>
        <w:t>the</w:t>
      </w:r>
      <w:r>
        <w:rPr>
          <w:spacing w:val="-5"/>
        </w:rPr>
        <w:t xml:space="preserve"> </w:t>
      </w:r>
      <w:r>
        <w:t>two-year</w:t>
      </w:r>
      <w:r>
        <w:rPr>
          <w:spacing w:val="-2"/>
        </w:rPr>
        <w:t xml:space="preserve"> period.</w:t>
      </w:r>
    </w:p>
    <w:p w14:paraId="7CB25BD9" w14:textId="77777777" w:rsidR="008A4099" w:rsidRDefault="006A6EE2">
      <w:pPr>
        <w:pStyle w:val="BodyText"/>
        <w:spacing w:before="158" w:line="278" w:lineRule="auto"/>
        <w:ind w:left="160" w:right="676"/>
        <w:jc w:val="both"/>
      </w:pPr>
      <w:r>
        <w:t>These</w:t>
      </w:r>
      <w:r>
        <w:rPr>
          <w:spacing w:val="80"/>
        </w:rPr>
        <w:t xml:space="preserve"> </w:t>
      </w:r>
      <w:r>
        <w:t>recommendations</w:t>
      </w:r>
      <w:r>
        <w:rPr>
          <w:spacing w:val="80"/>
        </w:rPr>
        <w:t xml:space="preserve"> </w:t>
      </w:r>
      <w:r>
        <w:t>are</w:t>
      </w:r>
      <w:r>
        <w:rPr>
          <w:spacing w:val="80"/>
        </w:rPr>
        <w:t xml:space="preserve"> </w:t>
      </w:r>
      <w:r>
        <w:t>consistent</w:t>
      </w:r>
      <w:r>
        <w:rPr>
          <w:spacing w:val="80"/>
        </w:rPr>
        <w:t xml:space="preserve"> </w:t>
      </w:r>
      <w:r>
        <w:t>with</w:t>
      </w:r>
      <w:r>
        <w:rPr>
          <w:spacing w:val="80"/>
        </w:rPr>
        <w:t xml:space="preserve"> </w:t>
      </w:r>
      <w:r>
        <w:t>Recommendation</w:t>
      </w:r>
      <w:r>
        <w:rPr>
          <w:spacing w:val="80"/>
        </w:rPr>
        <w:t xml:space="preserve"> </w:t>
      </w:r>
      <w:r>
        <w:t>10</w:t>
      </w:r>
      <w:r>
        <w:rPr>
          <w:spacing w:val="80"/>
        </w:rPr>
        <w:t xml:space="preserve"> </w:t>
      </w:r>
      <w:r>
        <w:t>of</w:t>
      </w:r>
      <w:r>
        <w:rPr>
          <w:spacing w:val="80"/>
        </w:rPr>
        <w:t xml:space="preserve"> </w:t>
      </w:r>
      <w:r>
        <w:t>the</w:t>
      </w:r>
      <w:r>
        <w:rPr>
          <w:spacing w:val="80"/>
        </w:rPr>
        <w:t xml:space="preserve"> </w:t>
      </w:r>
      <w:r>
        <w:t>2007</w:t>
      </w:r>
      <w:r>
        <w:rPr>
          <w:spacing w:val="80"/>
        </w:rPr>
        <w:t xml:space="preserve"> </w:t>
      </w:r>
      <w:r>
        <w:t>Final</w:t>
      </w:r>
      <w:r>
        <w:rPr>
          <w:spacing w:val="80"/>
        </w:rPr>
        <w:t xml:space="preserve"> </w:t>
      </w:r>
      <w:r>
        <w:t>Report (see Appendix A).</w:t>
      </w:r>
    </w:p>
    <w:p w14:paraId="7CB25BDA" w14:textId="77777777" w:rsidR="008A4099" w:rsidRDefault="008A4099">
      <w:pPr>
        <w:pStyle w:val="BodyText"/>
      </w:pPr>
    </w:p>
    <w:p w14:paraId="7CB25BDB" w14:textId="77777777" w:rsidR="008A4099" w:rsidRDefault="008A4099">
      <w:pPr>
        <w:pStyle w:val="BodyText"/>
        <w:spacing w:before="20"/>
      </w:pPr>
    </w:p>
    <w:p w14:paraId="7CB25BDC" w14:textId="77777777" w:rsidR="008A4099" w:rsidRDefault="006A6EE2">
      <w:pPr>
        <w:pStyle w:val="Heading5"/>
        <w:spacing w:before="1"/>
        <w:rPr>
          <w:b w:val="0"/>
        </w:rPr>
      </w:pPr>
      <w:r>
        <w:t>Recommendation</w:t>
      </w:r>
      <w:r>
        <w:rPr>
          <w:spacing w:val="-5"/>
        </w:rPr>
        <w:t xml:space="preserve"> </w:t>
      </w:r>
      <w:r>
        <w:t>13</w:t>
      </w:r>
      <w:r>
        <w:rPr>
          <w:spacing w:val="-4"/>
        </w:rPr>
        <w:t xml:space="preserve"> </w:t>
      </w:r>
      <w:r>
        <w:t>–</w:t>
      </w:r>
      <w:r>
        <w:rPr>
          <w:spacing w:val="-4"/>
        </w:rPr>
        <w:t xml:space="preserve"> </w:t>
      </w:r>
      <w:r>
        <w:t>Declarations</w:t>
      </w:r>
      <w:r>
        <w:rPr>
          <w:spacing w:val="-4"/>
        </w:rPr>
        <w:t xml:space="preserve"> </w:t>
      </w:r>
      <w:r>
        <w:t>of</w:t>
      </w:r>
      <w:r>
        <w:rPr>
          <w:spacing w:val="-4"/>
        </w:rPr>
        <w:t xml:space="preserve"> </w:t>
      </w:r>
      <w:r>
        <w:t>Incompatibility</w:t>
      </w:r>
      <w:r>
        <w:rPr>
          <w:spacing w:val="-4"/>
        </w:rPr>
        <w:t xml:space="preserve"> </w:t>
      </w:r>
      <w:r>
        <w:rPr>
          <w:b w:val="0"/>
        </w:rPr>
        <w:t>(p</w:t>
      </w:r>
      <w:r>
        <w:rPr>
          <w:b w:val="0"/>
          <w:spacing w:val="-4"/>
        </w:rPr>
        <w:t xml:space="preserve"> </w:t>
      </w:r>
      <w:r>
        <w:rPr>
          <w:b w:val="0"/>
          <w:spacing w:val="-5"/>
        </w:rPr>
        <w:t>75)</w:t>
      </w:r>
    </w:p>
    <w:p w14:paraId="7CB25BDD" w14:textId="77777777" w:rsidR="008A4099" w:rsidRDefault="006A6EE2">
      <w:pPr>
        <w:pStyle w:val="BodyText"/>
        <w:spacing w:before="157" w:line="276" w:lineRule="auto"/>
        <w:ind w:left="726" w:right="680" w:hanging="567"/>
      </w:pPr>
      <w:r>
        <w:t>That</w:t>
      </w:r>
      <w:r>
        <w:rPr>
          <w:spacing w:val="-14"/>
        </w:rPr>
        <w:t xml:space="preserve"> </w:t>
      </w:r>
      <w:r>
        <w:t>the</w:t>
      </w:r>
      <w:r>
        <w:rPr>
          <w:spacing w:val="-14"/>
        </w:rPr>
        <w:t xml:space="preserve"> </w:t>
      </w:r>
      <w:r>
        <w:t>Minister</w:t>
      </w:r>
      <w:r>
        <w:rPr>
          <w:spacing w:val="-10"/>
        </w:rPr>
        <w:t xml:space="preserve"> </w:t>
      </w:r>
      <w:r>
        <w:t>administering</w:t>
      </w:r>
      <w:r>
        <w:rPr>
          <w:spacing w:val="-14"/>
        </w:rPr>
        <w:t xml:space="preserve"> </w:t>
      </w:r>
      <w:r>
        <w:t>the</w:t>
      </w:r>
      <w:r>
        <w:rPr>
          <w:spacing w:val="-12"/>
        </w:rPr>
        <w:t xml:space="preserve"> </w:t>
      </w:r>
      <w:r>
        <w:t>legislation</w:t>
      </w:r>
      <w:r>
        <w:rPr>
          <w:spacing w:val="-12"/>
        </w:rPr>
        <w:t xml:space="preserve"> </w:t>
      </w:r>
      <w:r>
        <w:t>be</w:t>
      </w:r>
      <w:r>
        <w:rPr>
          <w:spacing w:val="-14"/>
        </w:rPr>
        <w:t xml:space="preserve"> </w:t>
      </w:r>
      <w:r>
        <w:t>required</w:t>
      </w:r>
      <w:r>
        <w:rPr>
          <w:spacing w:val="-12"/>
        </w:rPr>
        <w:t xml:space="preserve"> </w:t>
      </w:r>
      <w:r>
        <w:t>to</w:t>
      </w:r>
      <w:r>
        <w:rPr>
          <w:spacing w:val="-14"/>
        </w:rPr>
        <w:t xml:space="preserve"> </w:t>
      </w:r>
      <w:r>
        <w:t>respond</w:t>
      </w:r>
      <w:r>
        <w:rPr>
          <w:spacing w:val="-14"/>
        </w:rPr>
        <w:t xml:space="preserve"> </w:t>
      </w:r>
      <w:r>
        <w:t>to</w:t>
      </w:r>
      <w:r>
        <w:rPr>
          <w:spacing w:val="-13"/>
        </w:rPr>
        <w:t xml:space="preserve"> </w:t>
      </w:r>
      <w:r>
        <w:t>a</w:t>
      </w:r>
      <w:r>
        <w:rPr>
          <w:spacing w:val="-12"/>
        </w:rPr>
        <w:t xml:space="preserve"> </w:t>
      </w:r>
      <w:r>
        <w:t>declaration</w:t>
      </w:r>
      <w:r>
        <w:rPr>
          <w:spacing w:val="-12"/>
        </w:rPr>
        <w:t xml:space="preserve"> </w:t>
      </w:r>
      <w:r>
        <w:t>of</w:t>
      </w:r>
      <w:r>
        <w:rPr>
          <w:spacing w:val="-14"/>
        </w:rPr>
        <w:t xml:space="preserve"> </w:t>
      </w:r>
      <w:r>
        <w:t>incompatibility with human rights made by the Supreme Court of Tasmania.</w:t>
      </w:r>
    </w:p>
    <w:p w14:paraId="7CB25BDE" w14:textId="77777777" w:rsidR="008A4099" w:rsidRDefault="006A6EE2">
      <w:pPr>
        <w:pStyle w:val="BodyText"/>
        <w:spacing w:before="122"/>
        <w:ind w:left="160"/>
      </w:pPr>
      <w:r>
        <w:t>This</w:t>
      </w:r>
      <w:r>
        <w:rPr>
          <w:spacing w:val="-5"/>
        </w:rPr>
        <w:t xml:space="preserve"> </w:t>
      </w:r>
      <w:r>
        <w:t>is</w:t>
      </w:r>
      <w:r>
        <w:rPr>
          <w:spacing w:val="-3"/>
        </w:rPr>
        <w:t xml:space="preserve"> </w:t>
      </w:r>
      <w:r>
        <w:t>consistent</w:t>
      </w:r>
      <w:r>
        <w:rPr>
          <w:spacing w:val="-2"/>
        </w:rPr>
        <w:t xml:space="preserve"> </w:t>
      </w:r>
      <w:r>
        <w:t>with</w:t>
      </w:r>
      <w:r>
        <w:rPr>
          <w:spacing w:val="-6"/>
        </w:rPr>
        <w:t xml:space="preserve"> </w:t>
      </w:r>
      <w:r>
        <w:t>Recommendation</w:t>
      </w:r>
      <w:r>
        <w:rPr>
          <w:spacing w:val="-3"/>
        </w:rPr>
        <w:t xml:space="preserve"> </w:t>
      </w:r>
      <w:r>
        <w:t>10</w:t>
      </w:r>
      <w:r>
        <w:rPr>
          <w:spacing w:val="-5"/>
        </w:rPr>
        <w:t xml:space="preserve"> </w:t>
      </w:r>
      <w:r>
        <w:t>in</w:t>
      </w:r>
      <w:r>
        <w:rPr>
          <w:spacing w:val="-6"/>
        </w:rPr>
        <w:t xml:space="preserve"> </w:t>
      </w:r>
      <w:r>
        <w:t>the</w:t>
      </w:r>
      <w:r>
        <w:rPr>
          <w:spacing w:val="-3"/>
        </w:rPr>
        <w:t xml:space="preserve"> </w:t>
      </w:r>
      <w:r>
        <w:t>2007</w:t>
      </w:r>
      <w:r>
        <w:rPr>
          <w:spacing w:val="-3"/>
        </w:rPr>
        <w:t xml:space="preserve"> </w:t>
      </w:r>
      <w:r>
        <w:t>Final</w:t>
      </w:r>
      <w:r>
        <w:rPr>
          <w:spacing w:val="-2"/>
        </w:rPr>
        <w:t xml:space="preserve"> </w:t>
      </w:r>
      <w:r>
        <w:t>Report</w:t>
      </w:r>
      <w:r>
        <w:rPr>
          <w:spacing w:val="-5"/>
        </w:rPr>
        <w:t xml:space="preserve"> </w:t>
      </w:r>
      <w:r>
        <w:t>(see</w:t>
      </w:r>
      <w:r>
        <w:rPr>
          <w:spacing w:val="-3"/>
        </w:rPr>
        <w:t xml:space="preserve"> </w:t>
      </w:r>
      <w:r>
        <w:t>Appendix</w:t>
      </w:r>
      <w:r>
        <w:rPr>
          <w:spacing w:val="-2"/>
        </w:rPr>
        <w:t xml:space="preserve"> </w:t>
      </w:r>
      <w:r>
        <w:rPr>
          <w:spacing w:val="-5"/>
        </w:rPr>
        <w:t>A).</w:t>
      </w:r>
    </w:p>
    <w:p w14:paraId="7CB25BDF" w14:textId="77777777" w:rsidR="008A4099" w:rsidRDefault="006A6EE2">
      <w:pPr>
        <w:pStyle w:val="BodyText"/>
        <w:spacing w:before="157" w:line="276" w:lineRule="auto"/>
        <w:ind w:left="726" w:right="682" w:hanging="567"/>
        <w:jc w:val="both"/>
      </w:pPr>
      <w:r>
        <w:t>Consistent with the dialogue model of human rights, Parliament and the public should be notified of a declaration as soon as possible.</w:t>
      </w:r>
    </w:p>
    <w:p w14:paraId="7CB25BE0" w14:textId="77777777" w:rsidR="008A4099" w:rsidRDefault="006A6EE2">
      <w:pPr>
        <w:pStyle w:val="BodyText"/>
        <w:spacing w:before="119" w:line="276" w:lineRule="auto"/>
        <w:ind w:left="726" w:right="682" w:hanging="567"/>
        <w:jc w:val="both"/>
      </w:pPr>
      <w:r>
        <w:t>The written report to Parliament responding to the declaration should be tabled within six months of notice being given. However, Parliament should be able to grant one extension of no more than two months, if satisfied that additional time is required.</w:t>
      </w:r>
    </w:p>
    <w:p w14:paraId="7CB25BE1" w14:textId="77777777" w:rsidR="008A4099" w:rsidRDefault="006A6EE2">
      <w:pPr>
        <w:pStyle w:val="BodyText"/>
        <w:spacing w:before="121"/>
        <w:ind w:left="160"/>
        <w:jc w:val="both"/>
      </w:pPr>
      <w:r>
        <w:t>This</w:t>
      </w:r>
      <w:r>
        <w:rPr>
          <w:spacing w:val="-8"/>
        </w:rPr>
        <w:t xml:space="preserve"> </w:t>
      </w:r>
      <w:r>
        <w:t>recommendation</w:t>
      </w:r>
      <w:r>
        <w:rPr>
          <w:spacing w:val="-3"/>
        </w:rPr>
        <w:t xml:space="preserve"> </w:t>
      </w:r>
      <w:r>
        <w:t>builds</w:t>
      </w:r>
      <w:r>
        <w:rPr>
          <w:spacing w:val="-4"/>
        </w:rPr>
        <w:t xml:space="preserve"> </w:t>
      </w:r>
      <w:r>
        <w:t>on</w:t>
      </w:r>
      <w:r>
        <w:rPr>
          <w:spacing w:val="-3"/>
        </w:rPr>
        <w:t xml:space="preserve"> </w:t>
      </w:r>
      <w:r>
        <w:t>Recommendation</w:t>
      </w:r>
      <w:r>
        <w:rPr>
          <w:spacing w:val="-4"/>
        </w:rPr>
        <w:t xml:space="preserve"> </w:t>
      </w:r>
      <w:r>
        <w:t>12</w:t>
      </w:r>
      <w:r>
        <w:rPr>
          <w:spacing w:val="-3"/>
        </w:rPr>
        <w:t xml:space="preserve"> </w:t>
      </w:r>
      <w:r>
        <w:t>in</w:t>
      </w:r>
      <w:r>
        <w:rPr>
          <w:spacing w:val="-4"/>
        </w:rPr>
        <w:t xml:space="preserve"> </w:t>
      </w:r>
      <w:r>
        <w:t>the</w:t>
      </w:r>
      <w:r>
        <w:rPr>
          <w:spacing w:val="-3"/>
        </w:rPr>
        <w:t xml:space="preserve"> </w:t>
      </w:r>
      <w:r>
        <w:t>2007</w:t>
      </w:r>
      <w:r>
        <w:rPr>
          <w:spacing w:val="-4"/>
        </w:rPr>
        <w:t xml:space="preserve"> </w:t>
      </w:r>
      <w:r>
        <w:t>Final</w:t>
      </w:r>
      <w:r>
        <w:rPr>
          <w:spacing w:val="-2"/>
        </w:rPr>
        <w:t xml:space="preserve"> </w:t>
      </w:r>
      <w:r>
        <w:t>Report</w:t>
      </w:r>
      <w:r>
        <w:rPr>
          <w:spacing w:val="-6"/>
        </w:rPr>
        <w:t xml:space="preserve"> </w:t>
      </w:r>
      <w:r>
        <w:t>(see</w:t>
      </w:r>
      <w:r>
        <w:rPr>
          <w:spacing w:val="-3"/>
        </w:rPr>
        <w:t xml:space="preserve"> </w:t>
      </w:r>
      <w:r>
        <w:t>Appendix</w:t>
      </w:r>
      <w:r>
        <w:rPr>
          <w:spacing w:val="-3"/>
        </w:rPr>
        <w:t xml:space="preserve"> </w:t>
      </w:r>
      <w:r>
        <w:rPr>
          <w:spacing w:val="-5"/>
        </w:rPr>
        <w:t>A).</w:t>
      </w:r>
    </w:p>
    <w:p w14:paraId="7CB25BE2" w14:textId="77777777" w:rsidR="008A4099" w:rsidRDefault="006A6EE2">
      <w:pPr>
        <w:pStyle w:val="BodyText"/>
        <w:spacing w:before="157" w:line="276" w:lineRule="auto"/>
        <w:ind w:left="726" w:right="674" w:hanging="567"/>
        <w:jc w:val="both"/>
      </w:pPr>
      <w:r>
        <w:t>Impugned legislation should cease to operate to the extent of its incompatibility with human rights, if the government fails to respond to a declaration of incompatibility within the designated time period</w:t>
      </w:r>
      <w:r>
        <w:rPr>
          <w:spacing w:val="-5"/>
        </w:rPr>
        <w:t xml:space="preserve"> </w:t>
      </w:r>
      <w:r>
        <w:t>after</w:t>
      </w:r>
      <w:r>
        <w:rPr>
          <w:spacing w:val="-4"/>
        </w:rPr>
        <w:t xml:space="preserve"> </w:t>
      </w:r>
      <w:r>
        <w:t>notice</w:t>
      </w:r>
      <w:r>
        <w:rPr>
          <w:spacing w:val="-4"/>
        </w:rPr>
        <w:t xml:space="preserve"> </w:t>
      </w:r>
      <w:r>
        <w:t>of</w:t>
      </w:r>
      <w:r>
        <w:rPr>
          <w:spacing w:val="-4"/>
        </w:rPr>
        <w:t xml:space="preserve"> </w:t>
      </w:r>
      <w:r>
        <w:t>the</w:t>
      </w:r>
      <w:r>
        <w:rPr>
          <w:spacing w:val="-4"/>
        </w:rPr>
        <w:t xml:space="preserve"> </w:t>
      </w:r>
      <w:r>
        <w:t>declaration</w:t>
      </w:r>
      <w:r>
        <w:rPr>
          <w:spacing w:val="-5"/>
        </w:rPr>
        <w:t xml:space="preserve"> </w:t>
      </w:r>
      <w:r>
        <w:t>has</w:t>
      </w:r>
      <w:r>
        <w:rPr>
          <w:spacing w:val="-4"/>
        </w:rPr>
        <w:t xml:space="preserve"> </w:t>
      </w:r>
      <w:r>
        <w:t>been</w:t>
      </w:r>
      <w:r>
        <w:rPr>
          <w:spacing w:val="-7"/>
        </w:rPr>
        <w:t xml:space="preserve"> </w:t>
      </w:r>
      <w:r>
        <w:t>received,</w:t>
      </w:r>
      <w:r>
        <w:rPr>
          <w:spacing w:val="-7"/>
        </w:rPr>
        <w:t xml:space="preserve"> </w:t>
      </w:r>
      <w:r>
        <w:t>or</w:t>
      </w:r>
      <w:r>
        <w:rPr>
          <w:spacing w:val="-4"/>
        </w:rPr>
        <w:t xml:space="preserve"> </w:t>
      </w:r>
      <w:r>
        <w:t>no</w:t>
      </w:r>
      <w:r>
        <w:rPr>
          <w:spacing w:val="-7"/>
        </w:rPr>
        <w:t xml:space="preserve"> </w:t>
      </w:r>
      <w:r>
        <w:t>more</w:t>
      </w:r>
      <w:r>
        <w:rPr>
          <w:spacing w:val="-4"/>
        </w:rPr>
        <w:t xml:space="preserve"> </w:t>
      </w:r>
      <w:r>
        <w:t>than</w:t>
      </w:r>
      <w:r>
        <w:rPr>
          <w:spacing w:val="-4"/>
        </w:rPr>
        <w:t xml:space="preserve"> </w:t>
      </w:r>
      <w:r>
        <w:t>eight</w:t>
      </w:r>
      <w:r>
        <w:rPr>
          <w:spacing w:val="-4"/>
        </w:rPr>
        <w:t xml:space="preserve"> </w:t>
      </w:r>
      <w:r>
        <w:t>months after,</w:t>
      </w:r>
      <w:r>
        <w:rPr>
          <w:spacing w:val="-4"/>
        </w:rPr>
        <w:t xml:space="preserve"> </w:t>
      </w:r>
      <w:r>
        <w:t>if</w:t>
      </w:r>
      <w:r>
        <w:rPr>
          <w:spacing w:val="-4"/>
        </w:rPr>
        <w:t xml:space="preserve"> </w:t>
      </w:r>
      <w:r>
        <w:t>an extension to the time period is granted.</w:t>
      </w:r>
    </w:p>
    <w:p w14:paraId="7CB25BE3" w14:textId="77777777" w:rsidR="008A4099" w:rsidRDefault="006A6EE2">
      <w:pPr>
        <w:pStyle w:val="BodyText"/>
        <w:spacing w:before="121"/>
        <w:ind w:left="160"/>
        <w:jc w:val="both"/>
      </w:pPr>
      <w:r>
        <w:t>This</w:t>
      </w:r>
      <w:r>
        <w:rPr>
          <w:spacing w:val="-8"/>
        </w:rPr>
        <w:t xml:space="preserve"> </w:t>
      </w:r>
      <w:r>
        <w:t>recommendation</w:t>
      </w:r>
      <w:r>
        <w:rPr>
          <w:spacing w:val="-3"/>
        </w:rPr>
        <w:t xml:space="preserve"> </w:t>
      </w:r>
      <w:r>
        <w:t>builds</w:t>
      </w:r>
      <w:r>
        <w:rPr>
          <w:spacing w:val="-4"/>
        </w:rPr>
        <w:t xml:space="preserve"> </w:t>
      </w:r>
      <w:r>
        <w:t>on</w:t>
      </w:r>
      <w:r>
        <w:rPr>
          <w:spacing w:val="-3"/>
        </w:rPr>
        <w:t xml:space="preserve"> </w:t>
      </w:r>
      <w:r>
        <w:t>Recommendation</w:t>
      </w:r>
      <w:r>
        <w:rPr>
          <w:spacing w:val="-2"/>
        </w:rPr>
        <w:t xml:space="preserve"> </w:t>
      </w:r>
      <w:r>
        <w:t>12</w:t>
      </w:r>
      <w:r>
        <w:rPr>
          <w:spacing w:val="-3"/>
        </w:rPr>
        <w:t xml:space="preserve"> </w:t>
      </w:r>
      <w:r>
        <w:t>in</w:t>
      </w:r>
      <w:r>
        <w:rPr>
          <w:spacing w:val="-4"/>
        </w:rPr>
        <w:t xml:space="preserve"> </w:t>
      </w:r>
      <w:r>
        <w:t>the</w:t>
      </w:r>
      <w:r>
        <w:rPr>
          <w:spacing w:val="-3"/>
        </w:rPr>
        <w:t xml:space="preserve"> </w:t>
      </w:r>
      <w:r>
        <w:t>2007</w:t>
      </w:r>
      <w:r>
        <w:rPr>
          <w:spacing w:val="-4"/>
        </w:rPr>
        <w:t xml:space="preserve"> </w:t>
      </w:r>
      <w:r>
        <w:t>Final</w:t>
      </w:r>
      <w:r>
        <w:rPr>
          <w:spacing w:val="-2"/>
        </w:rPr>
        <w:t xml:space="preserve"> </w:t>
      </w:r>
      <w:r>
        <w:t>Report</w:t>
      </w:r>
      <w:r>
        <w:rPr>
          <w:spacing w:val="-5"/>
        </w:rPr>
        <w:t xml:space="preserve"> </w:t>
      </w:r>
      <w:r>
        <w:t>(see</w:t>
      </w:r>
      <w:r>
        <w:rPr>
          <w:spacing w:val="-4"/>
        </w:rPr>
        <w:t xml:space="preserve"> </w:t>
      </w:r>
      <w:r>
        <w:t>Appendix</w:t>
      </w:r>
      <w:r>
        <w:rPr>
          <w:spacing w:val="-1"/>
        </w:rPr>
        <w:t xml:space="preserve"> </w:t>
      </w:r>
      <w:r>
        <w:rPr>
          <w:spacing w:val="-5"/>
        </w:rPr>
        <w:t>A).</w:t>
      </w:r>
    </w:p>
    <w:p w14:paraId="7CB25BE4" w14:textId="77777777" w:rsidR="008A4099" w:rsidRDefault="008A4099">
      <w:pPr>
        <w:pStyle w:val="BodyText"/>
      </w:pPr>
    </w:p>
    <w:p w14:paraId="7CB25BE5" w14:textId="77777777" w:rsidR="008A4099" w:rsidRDefault="008A4099">
      <w:pPr>
        <w:pStyle w:val="BodyText"/>
        <w:spacing w:before="62"/>
      </w:pPr>
    </w:p>
    <w:p w14:paraId="7CB25BE6" w14:textId="77777777" w:rsidR="008A4099" w:rsidRDefault="006A6EE2">
      <w:pPr>
        <w:pStyle w:val="Heading5"/>
        <w:jc w:val="both"/>
        <w:rPr>
          <w:b w:val="0"/>
        </w:rPr>
      </w:pPr>
      <w:r>
        <w:t>Recommendation</w:t>
      </w:r>
      <w:r>
        <w:rPr>
          <w:spacing w:val="-6"/>
        </w:rPr>
        <w:t xml:space="preserve"> </w:t>
      </w:r>
      <w:r>
        <w:t>14</w:t>
      </w:r>
      <w:r>
        <w:rPr>
          <w:spacing w:val="-3"/>
        </w:rPr>
        <w:t xml:space="preserve"> </w:t>
      </w:r>
      <w:r>
        <w:t>–</w:t>
      </w:r>
      <w:r>
        <w:rPr>
          <w:spacing w:val="-7"/>
        </w:rPr>
        <w:t xml:space="preserve"> </w:t>
      </w:r>
      <w:r>
        <w:t>Invalidation</w:t>
      </w:r>
      <w:r>
        <w:rPr>
          <w:spacing w:val="-3"/>
        </w:rPr>
        <w:t xml:space="preserve"> </w:t>
      </w:r>
      <w:r>
        <w:t>of</w:t>
      </w:r>
      <w:r>
        <w:rPr>
          <w:spacing w:val="-5"/>
        </w:rPr>
        <w:t xml:space="preserve"> </w:t>
      </w:r>
      <w:r>
        <w:t>Subordinate</w:t>
      </w:r>
      <w:r>
        <w:rPr>
          <w:spacing w:val="-6"/>
        </w:rPr>
        <w:t xml:space="preserve"> </w:t>
      </w:r>
      <w:r>
        <w:t>Legislation</w:t>
      </w:r>
      <w:r>
        <w:rPr>
          <w:spacing w:val="-4"/>
        </w:rPr>
        <w:t xml:space="preserve"> </w:t>
      </w:r>
      <w:r>
        <w:rPr>
          <w:b w:val="0"/>
        </w:rPr>
        <w:t>(p</w:t>
      </w:r>
      <w:r>
        <w:rPr>
          <w:b w:val="0"/>
          <w:spacing w:val="-3"/>
        </w:rPr>
        <w:t xml:space="preserve"> </w:t>
      </w:r>
      <w:r>
        <w:rPr>
          <w:b w:val="0"/>
          <w:spacing w:val="-5"/>
        </w:rPr>
        <w:t>75)</w:t>
      </w:r>
    </w:p>
    <w:p w14:paraId="7CB25BE7" w14:textId="77777777" w:rsidR="008A4099" w:rsidRDefault="006A6EE2">
      <w:pPr>
        <w:pStyle w:val="BodyText"/>
        <w:spacing w:before="160" w:line="276" w:lineRule="auto"/>
        <w:ind w:left="726" w:right="678" w:hanging="567"/>
        <w:jc w:val="both"/>
      </w:pPr>
      <w:r>
        <w:t>That the Supreme Court of Tasmania have the power to invalidate subordinate legislation that is the subject of a declaration of incompatibility.</w:t>
      </w:r>
    </w:p>
    <w:p w14:paraId="7CB25BE8" w14:textId="77777777" w:rsidR="008A4099" w:rsidRDefault="006A6EE2">
      <w:pPr>
        <w:pStyle w:val="BodyText"/>
        <w:spacing w:before="119"/>
        <w:ind w:left="160"/>
        <w:jc w:val="both"/>
      </w:pPr>
      <w:r>
        <w:t>This</w:t>
      </w:r>
      <w:r>
        <w:rPr>
          <w:spacing w:val="-7"/>
        </w:rPr>
        <w:t xml:space="preserve"> </w:t>
      </w:r>
      <w:r>
        <w:t>is</w:t>
      </w:r>
      <w:r>
        <w:rPr>
          <w:spacing w:val="-3"/>
        </w:rPr>
        <w:t xml:space="preserve"> </w:t>
      </w:r>
      <w:r>
        <w:t>consistent</w:t>
      </w:r>
      <w:r>
        <w:rPr>
          <w:spacing w:val="-2"/>
        </w:rPr>
        <w:t xml:space="preserve"> </w:t>
      </w:r>
      <w:r>
        <w:t>with</w:t>
      </w:r>
      <w:r>
        <w:rPr>
          <w:spacing w:val="-6"/>
        </w:rPr>
        <w:t xml:space="preserve"> </w:t>
      </w:r>
      <w:r>
        <w:t>Recommendation</w:t>
      </w:r>
      <w:r>
        <w:rPr>
          <w:spacing w:val="-3"/>
        </w:rPr>
        <w:t xml:space="preserve"> </w:t>
      </w:r>
      <w:r>
        <w:t>12</w:t>
      </w:r>
      <w:r>
        <w:rPr>
          <w:spacing w:val="-5"/>
        </w:rPr>
        <w:t xml:space="preserve"> </w:t>
      </w:r>
      <w:r>
        <w:t>of</w:t>
      </w:r>
      <w:r>
        <w:rPr>
          <w:spacing w:val="-5"/>
        </w:rPr>
        <w:t xml:space="preserve"> </w:t>
      </w:r>
      <w:r>
        <w:t>the</w:t>
      </w:r>
      <w:r>
        <w:rPr>
          <w:spacing w:val="-3"/>
        </w:rPr>
        <w:t xml:space="preserve"> </w:t>
      </w:r>
      <w:r>
        <w:t>2007</w:t>
      </w:r>
      <w:r>
        <w:rPr>
          <w:spacing w:val="-3"/>
        </w:rPr>
        <w:t xml:space="preserve"> </w:t>
      </w:r>
      <w:r>
        <w:t>Final</w:t>
      </w:r>
      <w:r>
        <w:rPr>
          <w:spacing w:val="-2"/>
        </w:rPr>
        <w:t xml:space="preserve"> </w:t>
      </w:r>
      <w:r>
        <w:t>Report</w:t>
      </w:r>
      <w:r>
        <w:rPr>
          <w:spacing w:val="-4"/>
        </w:rPr>
        <w:t xml:space="preserve"> </w:t>
      </w:r>
      <w:r>
        <w:t>(see</w:t>
      </w:r>
      <w:r>
        <w:rPr>
          <w:spacing w:val="-3"/>
        </w:rPr>
        <w:t xml:space="preserve"> </w:t>
      </w:r>
      <w:r>
        <w:t>Appendix</w:t>
      </w:r>
      <w:r>
        <w:rPr>
          <w:spacing w:val="2"/>
        </w:rPr>
        <w:t xml:space="preserve"> </w:t>
      </w:r>
      <w:r>
        <w:rPr>
          <w:spacing w:val="-5"/>
        </w:rPr>
        <w:t>A).</w:t>
      </w:r>
    </w:p>
    <w:p w14:paraId="7CB25BE9" w14:textId="77777777" w:rsidR="008A4099" w:rsidRDefault="008A4099">
      <w:pPr>
        <w:jc w:val="both"/>
        <w:sectPr w:rsidR="008A4099" w:rsidSect="00D43B2D">
          <w:headerReference w:type="even" r:id="rId32"/>
          <w:pgSz w:w="11910" w:h="16840"/>
          <w:pgMar w:top="1360" w:right="760" w:bottom="940" w:left="1280" w:header="0" w:footer="0" w:gutter="0"/>
          <w:cols w:space="720"/>
        </w:sectPr>
      </w:pPr>
    </w:p>
    <w:p w14:paraId="7CB25BEA" w14:textId="77777777" w:rsidR="008A4099" w:rsidRDefault="006A6EE2">
      <w:pPr>
        <w:pStyle w:val="Heading5"/>
        <w:spacing w:before="62"/>
        <w:jc w:val="both"/>
        <w:rPr>
          <w:b w:val="0"/>
        </w:rPr>
      </w:pPr>
      <w:r>
        <w:lastRenderedPageBreak/>
        <w:t>Recommendation</w:t>
      </w:r>
      <w:r>
        <w:rPr>
          <w:spacing w:val="-3"/>
        </w:rPr>
        <w:t xml:space="preserve"> </w:t>
      </w:r>
      <w:r>
        <w:t>15</w:t>
      </w:r>
      <w:r>
        <w:rPr>
          <w:spacing w:val="-3"/>
        </w:rPr>
        <w:t xml:space="preserve"> </w:t>
      </w:r>
      <w:r>
        <w:t>–</w:t>
      </w:r>
      <w:r>
        <w:rPr>
          <w:spacing w:val="-3"/>
        </w:rPr>
        <w:t xml:space="preserve"> </w:t>
      </w:r>
      <w:r>
        <w:t>Cause</w:t>
      </w:r>
      <w:r>
        <w:rPr>
          <w:spacing w:val="-3"/>
        </w:rPr>
        <w:t xml:space="preserve"> </w:t>
      </w:r>
      <w:r>
        <w:t>of</w:t>
      </w:r>
      <w:r>
        <w:rPr>
          <w:spacing w:val="-2"/>
        </w:rPr>
        <w:t xml:space="preserve"> </w:t>
      </w:r>
      <w:r>
        <w:t>Action</w:t>
      </w:r>
      <w:r>
        <w:rPr>
          <w:spacing w:val="-3"/>
        </w:rPr>
        <w:t xml:space="preserve"> </w:t>
      </w:r>
      <w:r>
        <w:t>for</w:t>
      </w:r>
      <w:r>
        <w:rPr>
          <w:spacing w:val="-2"/>
        </w:rPr>
        <w:t xml:space="preserve"> </w:t>
      </w:r>
      <w:r>
        <w:t>Breaches</w:t>
      </w:r>
      <w:r>
        <w:rPr>
          <w:spacing w:val="-3"/>
        </w:rPr>
        <w:t xml:space="preserve"> </w:t>
      </w:r>
      <w:r>
        <w:t>of</w:t>
      </w:r>
      <w:r>
        <w:rPr>
          <w:spacing w:val="-5"/>
        </w:rPr>
        <w:t xml:space="preserve"> </w:t>
      </w:r>
      <w:r>
        <w:t>Human</w:t>
      </w:r>
      <w:r>
        <w:rPr>
          <w:spacing w:val="-3"/>
        </w:rPr>
        <w:t xml:space="preserve"> </w:t>
      </w:r>
      <w:r>
        <w:t>Rights</w:t>
      </w:r>
      <w:r>
        <w:rPr>
          <w:spacing w:val="-3"/>
        </w:rPr>
        <w:t xml:space="preserve"> </w:t>
      </w:r>
      <w:r>
        <w:rPr>
          <w:b w:val="0"/>
        </w:rPr>
        <w:t>(p</w:t>
      </w:r>
      <w:r>
        <w:rPr>
          <w:b w:val="0"/>
          <w:spacing w:val="-2"/>
        </w:rPr>
        <w:t xml:space="preserve"> </w:t>
      </w:r>
      <w:r>
        <w:rPr>
          <w:b w:val="0"/>
          <w:spacing w:val="-5"/>
        </w:rPr>
        <w:t>75)</w:t>
      </w:r>
    </w:p>
    <w:p w14:paraId="7CB25BEB" w14:textId="77777777" w:rsidR="008A4099" w:rsidRDefault="006A6EE2">
      <w:pPr>
        <w:pStyle w:val="BodyText"/>
        <w:spacing w:before="158" w:line="276" w:lineRule="auto"/>
        <w:ind w:left="726" w:right="675" w:hanging="567"/>
        <w:jc w:val="both"/>
      </w:pPr>
      <w:r>
        <w:t>That</w:t>
      </w:r>
      <w:r>
        <w:rPr>
          <w:spacing w:val="-8"/>
        </w:rPr>
        <w:t xml:space="preserve"> </w:t>
      </w:r>
      <w:r>
        <w:t>a</w:t>
      </w:r>
      <w:r>
        <w:rPr>
          <w:spacing w:val="-5"/>
        </w:rPr>
        <w:t xml:space="preserve"> </w:t>
      </w:r>
      <w:r>
        <w:t>direct</w:t>
      </w:r>
      <w:r>
        <w:rPr>
          <w:spacing w:val="-8"/>
        </w:rPr>
        <w:t xml:space="preserve"> </w:t>
      </w:r>
      <w:r>
        <w:t>cause</w:t>
      </w:r>
      <w:r>
        <w:rPr>
          <w:spacing w:val="-6"/>
        </w:rPr>
        <w:t xml:space="preserve"> </w:t>
      </w:r>
      <w:r>
        <w:t>of</w:t>
      </w:r>
      <w:r>
        <w:rPr>
          <w:spacing w:val="-8"/>
        </w:rPr>
        <w:t xml:space="preserve"> </w:t>
      </w:r>
      <w:r>
        <w:t>action</w:t>
      </w:r>
      <w:r>
        <w:rPr>
          <w:spacing w:val="-6"/>
        </w:rPr>
        <w:t xml:space="preserve"> </w:t>
      </w:r>
      <w:r>
        <w:t>should</w:t>
      </w:r>
      <w:r>
        <w:rPr>
          <w:spacing w:val="-6"/>
        </w:rPr>
        <w:t xml:space="preserve"> </w:t>
      </w:r>
      <w:r>
        <w:t>be</w:t>
      </w:r>
      <w:r>
        <w:rPr>
          <w:spacing w:val="-6"/>
        </w:rPr>
        <w:t xml:space="preserve"> </w:t>
      </w:r>
      <w:r>
        <w:t>available</w:t>
      </w:r>
      <w:r>
        <w:rPr>
          <w:spacing w:val="-8"/>
        </w:rPr>
        <w:t xml:space="preserve"> </w:t>
      </w:r>
      <w:r>
        <w:t>to</w:t>
      </w:r>
      <w:r>
        <w:rPr>
          <w:spacing w:val="-6"/>
        </w:rPr>
        <w:t xml:space="preserve"> </w:t>
      </w:r>
      <w:r>
        <w:t>a</w:t>
      </w:r>
      <w:r>
        <w:rPr>
          <w:spacing w:val="-8"/>
        </w:rPr>
        <w:t xml:space="preserve"> </w:t>
      </w:r>
      <w:r>
        <w:t>person</w:t>
      </w:r>
      <w:r>
        <w:rPr>
          <w:spacing w:val="-8"/>
        </w:rPr>
        <w:t xml:space="preserve"> </w:t>
      </w:r>
      <w:r>
        <w:t>who</w:t>
      </w:r>
      <w:r>
        <w:rPr>
          <w:spacing w:val="-6"/>
        </w:rPr>
        <w:t xml:space="preserve"> </w:t>
      </w:r>
      <w:r>
        <w:t>is,</w:t>
      </w:r>
      <w:r>
        <w:rPr>
          <w:spacing w:val="-6"/>
        </w:rPr>
        <w:t xml:space="preserve"> </w:t>
      </w:r>
      <w:r>
        <w:t>or</w:t>
      </w:r>
      <w:r>
        <w:rPr>
          <w:spacing w:val="-5"/>
        </w:rPr>
        <w:t xml:space="preserve"> </w:t>
      </w:r>
      <w:r>
        <w:t>would</w:t>
      </w:r>
      <w:r>
        <w:rPr>
          <w:spacing w:val="-6"/>
        </w:rPr>
        <w:t xml:space="preserve"> </w:t>
      </w:r>
      <w:r>
        <w:t>be,</w:t>
      </w:r>
      <w:r>
        <w:rPr>
          <w:spacing w:val="-8"/>
        </w:rPr>
        <w:t xml:space="preserve"> </w:t>
      </w:r>
      <w:r>
        <w:t>the</w:t>
      </w:r>
      <w:r>
        <w:rPr>
          <w:spacing w:val="-6"/>
        </w:rPr>
        <w:t xml:space="preserve"> </w:t>
      </w:r>
      <w:r>
        <w:t>victim</w:t>
      </w:r>
      <w:r>
        <w:rPr>
          <w:spacing w:val="-7"/>
        </w:rPr>
        <w:t xml:space="preserve"> </w:t>
      </w:r>
      <w:r>
        <w:t>of</w:t>
      </w:r>
      <w:r>
        <w:rPr>
          <w:spacing w:val="-8"/>
        </w:rPr>
        <w:t xml:space="preserve"> </w:t>
      </w:r>
      <w:r>
        <w:t>unlawful action where a public authority has acted, or proposes to act, in a way that is made unlawful by the human rights enactment.</w:t>
      </w:r>
    </w:p>
    <w:p w14:paraId="7CB25BEC" w14:textId="77777777" w:rsidR="008A4099" w:rsidRDefault="006A6EE2">
      <w:pPr>
        <w:pStyle w:val="BodyText"/>
        <w:spacing w:before="121"/>
        <w:ind w:left="160"/>
        <w:jc w:val="both"/>
      </w:pPr>
      <w:r>
        <w:t>This</w:t>
      </w:r>
      <w:r>
        <w:rPr>
          <w:spacing w:val="-7"/>
        </w:rPr>
        <w:t xml:space="preserve"> </w:t>
      </w:r>
      <w:r>
        <w:t>is</w:t>
      </w:r>
      <w:r>
        <w:rPr>
          <w:spacing w:val="-3"/>
        </w:rPr>
        <w:t xml:space="preserve"> </w:t>
      </w:r>
      <w:r>
        <w:t>consistent</w:t>
      </w:r>
      <w:r>
        <w:rPr>
          <w:spacing w:val="-2"/>
        </w:rPr>
        <w:t xml:space="preserve"> </w:t>
      </w:r>
      <w:r>
        <w:t>with</w:t>
      </w:r>
      <w:r>
        <w:rPr>
          <w:spacing w:val="-6"/>
        </w:rPr>
        <w:t xml:space="preserve"> </w:t>
      </w:r>
      <w:r>
        <w:t>Recommendation</w:t>
      </w:r>
      <w:r>
        <w:rPr>
          <w:spacing w:val="-3"/>
        </w:rPr>
        <w:t xml:space="preserve"> </w:t>
      </w:r>
      <w:r>
        <w:t>19</w:t>
      </w:r>
      <w:r>
        <w:rPr>
          <w:spacing w:val="-5"/>
        </w:rPr>
        <w:t xml:space="preserve"> </w:t>
      </w:r>
      <w:r>
        <w:t>of</w:t>
      </w:r>
      <w:r>
        <w:rPr>
          <w:spacing w:val="-5"/>
        </w:rPr>
        <w:t xml:space="preserve"> </w:t>
      </w:r>
      <w:r>
        <w:t>the</w:t>
      </w:r>
      <w:r>
        <w:rPr>
          <w:spacing w:val="-3"/>
        </w:rPr>
        <w:t xml:space="preserve"> </w:t>
      </w:r>
      <w:r>
        <w:t>2007</w:t>
      </w:r>
      <w:r>
        <w:rPr>
          <w:spacing w:val="-3"/>
        </w:rPr>
        <w:t xml:space="preserve"> </w:t>
      </w:r>
      <w:r>
        <w:t>Final</w:t>
      </w:r>
      <w:r>
        <w:rPr>
          <w:spacing w:val="-2"/>
        </w:rPr>
        <w:t xml:space="preserve"> </w:t>
      </w:r>
      <w:r>
        <w:t>Report</w:t>
      </w:r>
      <w:r>
        <w:rPr>
          <w:spacing w:val="-4"/>
        </w:rPr>
        <w:t xml:space="preserve"> </w:t>
      </w:r>
      <w:r>
        <w:t>(see</w:t>
      </w:r>
      <w:r>
        <w:rPr>
          <w:spacing w:val="-3"/>
        </w:rPr>
        <w:t xml:space="preserve"> </w:t>
      </w:r>
      <w:r>
        <w:t>Appendix</w:t>
      </w:r>
      <w:r>
        <w:rPr>
          <w:spacing w:val="2"/>
        </w:rPr>
        <w:t xml:space="preserve"> </w:t>
      </w:r>
      <w:r>
        <w:rPr>
          <w:spacing w:val="-5"/>
        </w:rPr>
        <w:t>A).</w:t>
      </w:r>
    </w:p>
    <w:p w14:paraId="7CB25BED" w14:textId="77777777" w:rsidR="008A4099" w:rsidRDefault="006A6EE2">
      <w:pPr>
        <w:pStyle w:val="BodyText"/>
        <w:spacing w:before="157" w:line="276" w:lineRule="auto"/>
        <w:ind w:left="726" w:right="676" w:hanging="567"/>
        <w:jc w:val="both"/>
      </w:pPr>
      <w:r>
        <w:t xml:space="preserve">Proceedings against a public authority should be able to be brought in either the Tasmanian Civil and Administrative </w:t>
      </w:r>
      <w:r>
        <w:rPr>
          <w:rFonts w:ascii="Cambria" w:hAnsi="Cambria"/>
        </w:rPr>
        <w:t xml:space="preserve">Tribunal </w:t>
      </w:r>
      <w:r>
        <w:t>(‘TasCAT’) or the Supreme Court of Tasmania.</w:t>
      </w:r>
    </w:p>
    <w:p w14:paraId="7CB25BEE" w14:textId="77777777" w:rsidR="008A4099" w:rsidRDefault="006A6EE2">
      <w:pPr>
        <w:pStyle w:val="BodyText"/>
        <w:spacing w:before="121" w:line="276" w:lineRule="auto"/>
        <w:ind w:left="160" w:right="674"/>
        <w:jc w:val="both"/>
      </w:pPr>
      <w:r>
        <w:t>This recommendation builds on Recommendation 19 of the 2007 Final Report, which referred only to actions in the Supreme Court of Tasmania (see Appendix A).</w:t>
      </w:r>
    </w:p>
    <w:p w14:paraId="7CB25BEF" w14:textId="77777777" w:rsidR="008A4099" w:rsidRDefault="006A6EE2">
      <w:pPr>
        <w:pStyle w:val="BodyText"/>
        <w:spacing w:before="119" w:line="276" w:lineRule="auto"/>
        <w:ind w:left="726" w:right="675" w:hanging="567"/>
        <w:jc w:val="both"/>
      </w:pPr>
      <w:r>
        <w:t>Implementation of this recommendation should be supported by statutory procedural provisions covering the relationship between different institutions, the Human Rights Commission, TasCAT,</w:t>
      </w:r>
      <w:r>
        <w:rPr>
          <w:spacing w:val="-8"/>
        </w:rPr>
        <w:t xml:space="preserve"> </w:t>
      </w:r>
      <w:r>
        <w:t>and</w:t>
      </w:r>
      <w:r>
        <w:rPr>
          <w:spacing w:val="-7"/>
        </w:rPr>
        <w:t xml:space="preserve"> </w:t>
      </w:r>
      <w:r>
        <w:t>the</w:t>
      </w:r>
      <w:r>
        <w:rPr>
          <w:spacing w:val="-7"/>
        </w:rPr>
        <w:t xml:space="preserve"> </w:t>
      </w:r>
      <w:r>
        <w:t>Courts,</w:t>
      </w:r>
      <w:r>
        <w:rPr>
          <w:spacing w:val="-9"/>
        </w:rPr>
        <w:t xml:space="preserve"> </w:t>
      </w:r>
      <w:r>
        <w:t>and</w:t>
      </w:r>
      <w:r>
        <w:rPr>
          <w:spacing w:val="-7"/>
        </w:rPr>
        <w:t xml:space="preserve"> </w:t>
      </w:r>
      <w:r>
        <w:t>also</w:t>
      </w:r>
      <w:r>
        <w:rPr>
          <w:spacing w:val="-9"/>
        </w:rPr>
        <w:t xml:space="preserve"> </w:t>
      </w:r>
      <w:r>
        <w:t>dealing</w:t>
      </w:r>
      <w:r>
        <w:rPr>
          <w:spacing w:val="-7"/>
        </w:rPr>
        <w:t xml:space="preserve"> </w:t>
      </w:r>
      <w:r>
        <w:t>with</w:t>
      </w:r>
      <w:r>
        <w:rPr>
          <w:spacing w:val="-10"/>
        </w:rPr>
        <w:t xml:space="preserve"> </w:t>
      </w:r>
      <w:r>
        <w:t>jurisdictional</w:t>
      </w:r>
      <w:r>
        <w:rPr>
          <w:spacing w:val="-6"/>
        </w:rPr>
        <w:t xml:space="preserve"> </w:t>
      </w:r>
      <w:r>
        <w:t>matters,</w:t>
      </w:r>
      <w:r>
        <w:rPr>
          <w:spacing w:val="-6"/>
        </w:rPr>
        <w:t xml:space="preserve"> </w:t>
      </w:r>
      <w:r>
        <w:t>such</w:t>
      </w:r>
      <w:r>
        <w:rPr>
          <w:spacing w:val="-7"/>
        </w:rPr>
        <w:t xml:space="preserve"> </w:t>
      </w:r>
      <w:r>
        <w:t>as</w:t>
      </w:r>
      <w:r>
        <w:rPr>
          <w:spacing w:val="-6"/>
        </w:rPr>
        <w:t xml:space="preserve"> </w:t>
      </w:r>
      <w:r>
        <w:t>where</w:t>
      </w:r>
      <w:r>
        <w:rPr>
          <w:spacing w:val="-7"/>
        </w:rPr>
        <w:t xml:space="preserve"> </w:t>
      </w:r>
      <w:r>
        <w:t>proceedings are</w:t>
      </w:r>
      <w:r>
        <w:rPr>
          <w:spacing w:val="-6"/>
        </w:rPr>
        <w:t xml:space="preserve"> </w:t>
      </w:r>
      <w:r>
        <w:t>to</w:t>
      </w:r>
      <w:r>
        <w:rPr>
          <w:spacing w:val="-4"/>
        </w:rPr>
        <w:t xml:space="preserve"> </w:t>
      </w:r>
      <w:r>
        <w:t>be</w:t>
      </w:r>
      <w:r>
        <w:rPr>
          <w:spacing w:val="-3"/>
        </w:rPr>
        <w:t xml:space="preserve"> </w:t>
      </w:r>
      <w:r>
        <w:t>commenced,</w:t>
      </w:r>
      <w:r>
        <w:rPr>
          <w:spacing w:val="-6"/>
        </w:rPr>
        <w:t xml:space="preserve"> </w:t>
      </w:r>
      <w:r>
        <w:t>and</w:t>
      </w:r>
      <w:r>
        <w:rPr>
          <w:spacing w:val="-3"/>
        </w:rPr>
        <w:t xml:space="preserve"> </w:t>
      </w:r>
      <w:r>
        <w:t>rights</w:t>
      </w:r>
      <w:r>
        <w:rPr>
          <w:spacing w:val="-3"/>
        </w:rPr>
        <w:t xml:space="preserve"> </w:t>
      </w:r>
      <w:r>
        <w:t>of</w:t>
      </w:r>
      <w:r>
        <w:rPr>
          <w:spacing w:val="-5"/>
        </w:rPr>
        <w:t xml:space="preserve"> </w:t>
      </w:r>
      <w:r>
        <w:t>appeal.</w:t>
      </w:r>
      <w:r>
        <w:rPr>
          <w:spacing w:val="-4"/>
        </w:rPr>
        <w:t xml:space="preserve"> </w:t>
      </w:r>
      <w:r>
        <w:t>These</w:t>
      </w:r>
      <w:r>
        <w:rPr>
          <w:spacing w:val="-3"/>
        </w:rPr>
        <w:t xml:space="preserve"> </w:t>
      </w:r>
      <w:r>
        <w:t>provisions</w:t>
      </w:r>
      <w:r>
        <w:rPr>
          <w:spacing w:val="-3"/>
        </w:rPr>
        <w:t xml:space="preserve"> </w:t>
      </w:r>
      <w:r>
        <w:t>should</w:t>
      </w:r>
      <w:r>
        <w:rPr>
          <w:spacing w:val="-4"/>
        </w:rPr>
        <w:t xml:space="preserve"> </w:t>
      </w:r>
      <w:r>
        <w:t>be</w:t>
      </w:r>
      <w:r>
        <w:rPr>
          <w:spacing w:val="-6"/>
        </w:rPr>
        <w:t xml:space="preserve"> </w:t>
      </w:r>
      <w:r>
        <w:t>constructed</w:t>
      </w:r>
      <w:r>
        <w:rPr>
          <w:spacing w:val="-6"/>
        </w:rPr>
        <w:t xml:space="preserve"> </w:t>
      </w:r>
      <w:r>
        <w:t>in</w:t>
      </w:r>
      <w:r>
        <w:rPr>
          <w:spacing w:val="-4"/>
        </w:rPr>
        <w:t xml:space="preserve"> </w:t>
      </w:r>
      <w:r>
        <w:t>a</w:t>
      </w:r>
      <w:r>
        <w:rPr>
          <w:spacing w:val="-3"/>
        </w:rPr>
        <w:t xml:space="preserve"> </w:t>
      </w:r>
      <w:r>
        <w:t>way</w:t>
      </w:r>
      <w:r>
        <w:rPr>
          <w:spacing w:val="-6"/>
        </w:rPr>
        <w:t xml:space="preserve"> </w:t>
      </w:r>
      <w:r>
        <w:t>that ensures parties’ accessibility.</w:t>
      </w:r>
    </w:p>
    <w:p w14:paraId="7CB25BF0" w14:textId="77777777" w:rsidR="008A4099" w:rsidRDefault="006A6EE2">
      <w:pPr>
        <w:pStyle w:val="BodyText"/>
        <w:spacing w:before="120"/>
        <w:ind w:left="160"/>
        <w:jc w:val="both"/>
      </w:pPr>
      <w:r>
        <w:t>This</w:t>
      </w:r>
      <w:r>
        <w:rPr>
          <w:spacing w:val="-8"/>
        </w:rPr>
        <w:t xml:space="preserve"> </w:t>
      </w:r>
      <w:r>
        <w:t>recommendation</w:t>
      </w:r>
      <w:r>
        <w:rPr>
          <w:spacing w:val="-4"/>
        </w:rPr>
        <w:t xml:space="preserve"> </w:t>
      </w:r>
      <w:r>
        <w:t>builds</w:t>
      </w:r>
      <w:r>
        <w:rPr>
          <w:spacing w:val="-4"/>
        </w:rPr>
        <w:t xml:space="preserve"> </w:t>
      </w:r>
      <w:r>
        <w:t>on</w:t>
      </w:r>
      <w:r>
        <w:rPr>
          <w:spacing w:val="-3"/>
        </w:rPr>
        <w:t xml:space="preserve"> </w:t>
      </w:r>
      <w:r>
        <w:t>Recommendation</w:t>
      </w:r>
      <w:r>
        <w:rPr>
          <w:spacing w:val="-4"/>
        </w:rPr>
        <w:t xml:space="preserve"> </w:t>
      </w:r>
      <w:r>
        <w:t>19</w:t>
      </w:r>
      <w:r>
        <w:rPr>
          <w:spacing w:val="-4"/>
        </w:rPr>
        <w:t xml:space="preserve"> </w:t>
      </w:r>
      <w:r>
        <w:t>of</w:t>
      </w:r>
      <w:r>
        <w:rPr>
          <w:spacing w:val="-4"/>
        </w:rPr>
        <w:t xml:space="preserve"> </w:t>
      </w:r>
      <w:r>
        <w:t>the</w:t>
      </w:r>
      <w:r>
        <w:rPr>
          <w:spacing w:val="-3"/>
        </w:rPr>
        <w:t xml:space="preserve"> </w:t>
      </w:r>
      <w:r>
        <w:t>2007</w:t>
      </w:r>
      <w:r>
        <w:rPr>
          <w:spacing w:val="-4"/>
        </w:rPr>
        <w:t xml:space="preserve"> </w:t>
      </w:r>
      <w:r>
        <w:t>Final</w:t>
      </w:r>
      <w:r>
        <w:rPr>
          <w:spacing w:val="-3"/>
        </w:rPr>
        <w:t xml:space="preserve"> </w:t>
      </w:r>
      <w:r>
        <w:t>Report</w:t>
      </w:r>
      <w:r>
        <w:rPr>
          <w:spacing w:val="-6"/>
        </w:rPr>
        <w:t xml:space="preserve"> </w:t>
      </w:r>
      <w:r>
        <w:t>(see</w:t>
      </w:r>
      <w:r>
        <w:rPr>
          <w:spacing w:val="-3"/>
        </w:rPr>
        <w:t xml:space="preserve"> </w:t>
      </w:r>
      <w:r>
        <w:t>Appendix</w:t>
      </w:r>
      <w:r>
        <w:rPr>
          <w:spacing w:val="1"/>
        </w:rPr>
        <w:t xml:space="preserve"> </w:t>
      </w:r>
      <w:r>
        <w:rPr>
          <w:spacing w:val="-5"/>
        </w:rPr>
        <w:t>A).</w:t>
      </w:r>
    </w:p>
    <w:p w14:paraId="7CB25BF1" w14:textId="77777777" w:rsidR="008A4099" w:rsidRDefault="008A4099">
      <w:pPr>
        <w:pStyle w:val="BodyText"/>
      </w:pPr>
    </w:p>
    <w:p w14:paraId="7CB25BF2" w14:textId="77777777" w:rsidR="008A4099" w:rsidRDefault="008A4099">
      <w:pPr>
        <w:pStyle w:val="BodyText"/>
        <w:spacing w:before="64"/>
      </w:pPr>
    </w:p>
    <w:p w14:paraId="7CB25BF3" w14:textId="77777777" w:rsidR="008A4099" w:rsidRDefault="006A6EE2">
      <w:pPr>
        <w:pStyle w:val="Heading5"/>
        <w:jc w:val="both"/>
        <w:rPr>
          <w:b w:val="0"/>
        </w:rPr>
      </w:pPr>
      <w:r>
        <w:t>Recommendation</w:t>
      </w:r>
      <w:r>
        <w:rPr>
          <w:spacing w:val="-4"/>
        </w:rPr>
        <w:t xml:space="preserve"> </w:t>
      </w:r>
      <w:r>
        <w:t>16</w:t>
      </w:r>
      <w:r>
        <w:rPr>
          <w:spacing w:val="-3"/>
        </w:rPr>
        <w:t xml:space="preserve"> </w:t>
      </w:r>
      <w:r>
        <w:t>–</w:t>
      </w:r>
      <w:r>
        <w:rPr>
          <w:spacing w:val="-3"/>
        </w:rPr>
        <w:t xml:space="preserve"> </w:t>
      </w:r>
      <w:r>
        <w:t>Remedies</w:t>
      </w:r>
      <w:r>
        <w:rPr>
          <w:spacing w:val="-3"/>
        </w:rPr>
        <w:t xml:space="preserve"> </w:t>
      </w:r>
      <w:r>
        <w:rPr>
          <w:b w:val="0"/>
        </w:rPr>
        <w:t>(p</w:t>
      </w:r>
      <w:r>
        <w:rPr>
          <w:b w:val="0"/>
          <w:spacing w:val="-3"/>
        </w:rPr>
        <w:t xml:space="preserve"> </w:t>
      </w:r>
      <w:r>
        <w:rPr>
          <w:b w:val="0"/>
          <w:spacing w:val="-5"/>
        </w:rPr>
        <w:t>78)</w:t>
      </w:r>
    </w:p>
    <w:p w14:paraId="7CB25BF4" w14:textId="77777777" w:rsidR="008A4099" w:rsidRDefault="006A6EE2">
      <w:pPr>
        <w:pStyle w:val="BodyText"/>
        <w:spacing w:before="158" w:line="276" w:lineRule="auto"/>
        <w:ind w:left="726" w:right="675" w:hanging="567"/>
        <w:jc w:val="both"/>
      </w:pPr>
      <w:r>
        <w:t>That</w:t>
      </w:r>
      <w:r>
        <w:rPr>
          <w:spacing w:val="-7"/>
        </w:rPr>
        <w:t xml:space="preserve"> </w:t>
      </w:r>
      <w:r>
        <w:t>the</w:t>
      </w:r>
      <w:r>
        <w:rPr>
          <w:spacing w:val="-8"/>
        </w:rPr>
        <w:t xml:space="preserve"> </w:t>
      </w:r>
      <w:r>
        <w:t>Supreme</w:t>
      </w:r>
      <w:r>
        <w:rPr>
          <w:spacing w:val="-8"/>
        </w:rPr>
        <w:t xml:space="preserve"> </w:t>
      </w:r>
      <w:r>
        <w:t>Court</w:t>
      </w:r>
      <w:r>
        <w:rPr>
          <w:spacing w:val="-7"/>
        </w:rPr>
        <w:t xml:space="preserve"> </w:t>
      </w:r>
      <w:r>
        <w:t>of</w:t>
      </w:r>
      <w:r>
        <w:rPr>
          <w:spacing w:val="-10"/>
        </w:rPr>
        <w:t xml:space="preserve"> </w:t>
      </w:r>
      <w:r>
        <w:t>Tasmania</w:t>
      </w:r>
      <w:r>
        <w:rPr>
          <w:spacing w:val="-8"/>
        </w:rPr>
        <w:t xml:space="preserve"> </w:t>
      </w:r>
      <w:r>
        <w:t>and</w:t>
      </w:r>
      <w:r>
        <w:rPr>
          <w:spacing w:val="-5"/>
        </w:rPr>
        <w:t xml:space="preserve"> </w:t>
      </w:r>
      <w:r>
        <w:t>Tasmanian</w:t>
      </w:r>
      <w:r>
        <w:rPr>
          <w:spacing w:val="-8"/>
        </w:rPr>
        <w:t xml:space="preserve"> </w:t>
      </w:r>
      <w:r>
        <w:t>Civil</w:t>
      </w:r>
      <w:r>
        <w:rPr>
          <w:spacing w:val="-7"/>
        </w:rPr>
        <w:t xml:space="preserve"> </w:t>
      </w:r>
      <w:r>
        <w:t>and</w:t>
      </w:r>
      <w:r>
        <w:rPr>
          <w:spacing w:val="-8"/>
        </w:rPr>
        <w:t xml:space="preserve"> </w:t>
      </w:r>
      <w:r>
        <w:t>Administrative</w:t>
      </w:r>
      <w:r>
        <w:rPr>
          <w:spacing w:val="-8"/>
        </w:rPr>
        <w:t xml:space="preserve"> </w:t>
      </w:r>
      <w:r>
        <w:t>Tribunal</w:t>
      </w:r>
      <w:r>
        <w:rPr>
          <w:spacing w:val="-6"/>
        </w:rPr>
        <w:t xml:space="preserve"> </w:t>
      </w:r>
      <w:r>
        <w:t>(‘TasCAT’)</w:t>
      </w:r>
      <w:r>
        <w:rPr>
          <w:spacing w:val="-10"/>
        </w:rPr>
        <w:t xml:space="preserve"> </w:t>
      </w:r>
      <w:r>
        <w:t>be able to grant any remedy or relief or make such order that is appropriate for breaches of human rights, including damages.</w:t>
      </w:r>
    </w:p>
    <w:p w14:paraId="7CB25BF5" w14:textId="77777777" w:rsidR="008A4099" w:rsidRDefault="006A6EE2">
      <w:pPr>
        <w:pStyle w:val="BodyText"/>
        <w:spacing w:before="121" w:line="276" w:lineRule="auto"/>
        <w:ind w:left="160" w:right="684"/>
        <w:jc w:val="both"/>
      </w:pPr>
      <w:r>
        <w:t>This</w:t>
      </w:r>
      <w:r>
        <w:rPr>
          <w:spacing w:val="40"/>
        </w:rPr>
        <w:t xml:space="preserve"> </w:t>
      </w:r>
      <w:r>
        <w:t>recommendation</w:t>
      </w:r>
      <w:r>
        <w:rPr>
          <w:spacing w:val="40"/>
        </w:rPr>
        <w:t xml:space="preserve"> </w:t>
      </w:r>
      <w:r>
        <w:t>is</w:t>
      </w:r>
      <w:r>
        <w:rPr>
          <w:spacing w:val="40"/>
        </w:rPr>
        <w:t xml:space="preserve"> </w:t>
      </w:r>
      <w:r>
        <w:t>consistent</w:t>
      </w:r>
      <w:r>
        <w:rPr>
          <w:spacing w:val="40"/>
        </w:rPr>
        <w:t xml:space="preserve"> </w:t>
      </w:r>
      <w:r>
        <w:t>with</w:t>
      </w:r>
      <w:r>
        <w:rPr>
          <w:spacing w:val="40"/>
        </w:rPr>
        <w:t xml:space="preserve"> </w:t>
      </w:r>
      <w:r>
        <w:t>Recommendation</w:t>
      </w:r>
      <w:r>
        <w:rPr>
          <w:spacing w:val="40"/>
        </w:rPr>
        <w:t xml:space="preserve"> </w:t>
      </w:r>
      <w:r>
        <w:t>19</w:t>
      </w:r>
      <w:r>
        <w:rPr>
          <w:spacing w:val="40"/>
        </w:rPr>
        <w:t xml:space="preserve"> </w:t>
      </w:r>
      <w:r>
        <w:t>of</w:t>
      </w:r>
      <w:r>
        <w:rPr>
          <w:spacing w:val="40"/>
        </w:rPr>
        <w:t xml:space="preserve"> </w:t>
      </w:r>
      <w:r>
        <w:t>the</w:t>
      </w:r>
      <w:r>
        <w:rPr>
          <w:spacing w:val="40"/>
        </w:rPr>
        <w:t xml:space="preserve"> </w:t>
      </w:r>
      <w:r>
        <w:t>2007</w:t>
      </w:r>
      <w:r>
        <w:rPr>
          <w:spacing w:val="40"/>
        </w:rPr>
        <w:t xml:space="preserve"> </w:t>
      </w:r>
      <w:r>
        <w:t>Final</w:t>
      </w:r>
      <w:r>
        <w:rPr>
          <w:spacing w:val="40"/>
        </w:rPr>
        <w:t xml:space="preserve"> </w:t>
      </w:r>
      <w:r>
        <w:t>Report</w:t>
      </w:r>
      <w:r>
        <w:rPr>
          <w:spacing w:val="40"/>
        </w:rPr>
        <w:t xml:space="preserve"> </w:t>
      </w:r>
      <w:r>
        <w:t>(see Appendix A).</w:t>
      </w:r>
    </w:p>
    <w:p w14:paraId="7CB25BF6" w14:textId="77777777" w:rsidR="008A4099" w:rsidRDefault="008A4099">
      <w:pPr>
        <w:pStyle w:val="BodyText"/>
      </w:pPr>
    </w:p>
    <w:p w14:paraId="7CB25BF7" w14:textId="77777777" w:rsidR="008A4099" w:rsidRDefault="008A4099">
      <w:pPr>
        <w:pStyle w:val="BodyText"/>
        <w:spacing w:before="23"/>
      </w:pPr>
    </w:p>
    <w:p w14:paraId="7CB25BF8" w14:textId="77777777" w:rsidR="008A4099" w:rsidRDefault="006A6EE2">
      <w:pPr>
        <w:pStyle w:val="Heading5"/>
        <w:jc w:val="both"/>
        <w:rPr>
          <w:b w:val="0"/>
        </w:rPr>
      </w:pPr>
      <w:r>
        <w:t>Recommendation</w:t>
      </w:r>
      <w:r>
        <w:rPr>
          <w:spacing w:val="-5"/>
        </w:rPr>
        <w:t xml:space="preserve"> </w:t>
      </w:r>
      <w:r>
        <w:t>17</w:t>
      </w:r>
      <w:r>
        <w:rPr>
          <w:spacing w:val="-4"/>
        </w:rPr>
        <w:t xml:space="preserve"> </w:t>
      </w:r>
      <w:r>
        <w:t>–</w:t>
      </w:r>
      <w:r>
        <w:rPr>
          <w:spacing w:val="-6"/>
        </w:rPr>
        <w:t xml:space="preserve"> </w:t>
      </w:r>
      <w:r>
        <w:t>Human</w:t>
      </w:r>
      <w:r>
        <w:rPr>
          <w:spacing w:val="-4"/>
        </w:rPr>
        <w:t xml:space="preserve"> </w:t>
      </w:r>
      <w:r>
        <w:t>Rights</w:t>
      </w:r>
      <w:r>
        <w:rPr>
          <w:spacing w:val="-4"/>
        </w:rPr>
        <w:t xml:space="preserve"> </w:t>
      </w:r>
      <w:r>
        <w:t>Commissioner</w:t>
      </w:r>
      <w:r>
        <w:rPr>
          <w:spacing w:val="-2"/>
        </w:rPr>
        <w:t xml:space="preserve"> </w:t>
      </w:r>
      <w:r>
        <w:rPr>
          <w:b w:val="0"/>
        </w:rPr>
        <w:t>(p</w:t>
      </w:r>
      <w:r>
        <w:rPr>
          <w:b w:val="0"/>
          <w:spacing w:val="-4"/>
        </w:rPr>
        <w:t xml:space="preserve"> </w:t>
      </w:r>
      <w:r>
        <w:rPr>
          <w:b w:val="0"/>
          <w:spacing w:val="-5"/>
        </w:rPr>
        <w:t>80)</w:t>
      </w:r>
    </w:p>
    <w:p w14:paraId="7CB25BF9" w14:textId="77777777" w:rsidR="008A4099" w:rsidRDefault="006A6EE2">
      <w:pPr>
        <w:pStyle w:val="BodyText"/>
        <w:spacing w:before="160" w:line="276" w:lineRule="auto"/>
        <w:ind w:left="726" w:hanging="567"/>
      </w:pPr>
      <w:r>
        <w:t>That</w:t>
      </w:r>
      <w:r>
        <w:rPr>
          <w:spacing w:val="40"/>
        </w:rPr>
        <w:t xml:space="preserve"> </w:t>
      </w:r>
      <w:r>
        <w:t>an</w:t>
      </w:r>
      <w:r>
        <w:rPr>
          <w:spacing w:val="40"/>
        </w:rPr>
        <w:t xml:space="preserve"> </w:t>
      </w:r>
      <w:r>
        <w:t>independent</w:t>
      </w:r>
      <w:r>
        <w:rPr>
          <w:spacing w:val="40"/>
        </w:rPr>
        <w:t xml:space="preserve"> </w:t>
      </w:r>
      <w:r>
        <w:t>office</w:t>
      </w:r>
      <w:r>
        <w:rPr>
          <w:spacing w:val="40"/>
        </w:rPr>
        <w:t xml:space="preserve"> </w:t>
      </w:r>
      <w:r>
        <w:t>of</w:t>
      </w:r>
      <w:r>
        <w:rPr>
          <w:spacing w:val="40"/>
        </w:rPr>
        <w:t xml:space="preserve"> </w:t>
      </w:r>
      <w:r>
        <w:t>Tasmanian</w:t>
      </w:r>
      <w:r>
        <w:rPr>
          <w:spacing w:val="40"/>
        </w:rPr>
        <w:t xml:space="preserve"> </w:t>
      </w:r>
      <w:r>
        <w:t>Human</w:t>
      </w:r>
      <w:r>
        <w:rPr>
          <w:spacing w:val="40"/>
        </w:rPr>
        <w:t xml:space="preserve"> </w:t>
      </w:r>
      <w:r>
        <w:t>Rights</w:t>
      </w:r>
      <w:r>
        <w:rPr>
          <w:spacing w:val="40"/>
        </w:rPr>
        <w:t xml:space="preserve"> </w:t>
      </w:r>
      <w:r>
        <w:t>Commissioner</w:t>
      </w:r>
      <w:r>
        <w:rPr>
          <w:spacing w:val="40"/>
        </w:rPr>
        <w:t xml:space="preserve"> </w:t>
      </w:r>
      <w:r>
        <w:t>be</w:t>
      </w:r>
      <w:r>
        <w:rPr>
          <w:spacing w:val="40"/>
        </w:rPr>
        <w:t xml:space="preserve"> </w:t>
      </w:r>
      <w:r>
        <w:t>established</w:t>
      </w:r>
      <w:r>
        <w:rPr>
          <w:spacing w:val="40"/>
        </w:rPr>
        <w:t xml:space="preserve"> </w:t>
      </w:r>
      <w:r>
        <w:t>under</w:t>
      </w:r>
      <w:r>
        <w:rPr>
          <w:spacing w:val="40"/>
        </w:rPr>
        <w:t xml:space="preserve"> </w:t>
      </w:r>
      <w:r>
        <w:t>a</w:t>
      </w:r>
      <w:r>
        <w:rPr>
          <w:spacing w:val="40"/>
        </w:rPr>
        <w:t xml:space="preserve"> </w:t>
      </w:r>
      <w:r>
        <w:t>Tasmanian human rights enactment.</w:t>
      </w:r>
    </w:p>
    <w:p w14:paraId="7CB25BFA" w14:textId="77777777" w:rsidR="008A4099" w:rsidRDefault="006A6EE2">
      <w:pPr>
        <w:pStyle w:val="BodyText"/>
        <w:spacing w:before="119" w:line="276" w:lineRule="auto"/>
        <w:ind w:left="160" w:right="679"/>
      </w:pPr>
      <w:r>
        <w:t>This</w:t>
      </w:r>
      <w:r>
        <w:rPr>
          <w:spacing w:val="80"/>
        </w:rPr>
        <w:t xml:space="preserve"> </w:t>
      </w:r>
      <w:r>
        <w:t>recommendation</w:t>
      </w:r>
      <w:r>
        <w:rPr>
          <w:spacing w:val="79"/>
        </w:rPr>
        <w:t xml:space="preserve"> </w:t>
      </w:r>
      <w:r>
        <w:t>is</w:t>
      </w:r>
      <w:r>
        <w:rPr>
          <w:spacing w:val="80"/>
        </w:rPr>
        <w:t xml:space="preserve"> </w:t>
      </w:r>
      <w:r>
        <w:t>consistent</w:t>
      </w:r>
      <w:r>
        <w:rPr>
          <w:spacing w:val="80"/>
        </w:rPr>
        <w:t xml:space="preserve"> </w:t>
      </w:r>
      <w:r>
        <w:t>with</w:t>
      </w:r>
      <w:r>
        <w:rPr>
          <w:spacing w:val="80"/>
        </w:rPr>
        <w:t xml:space="preserve"> </w:t>
      </w:r>
      <w:r>
        <w:t>Recommendation</w:t>
      </w:r>
      <w:r>
        <w:rPr>
          <w:spacing w:val="80"/>
        </w:rPr>
        <w:t xml:space="preserve"> </w:t>
      </w:r>
      <w:r>
        <w:t>23</w:t>
      </w:r>
      <w:r>
        <w:rPr>
          <w:spacing w:val="79"/>
        </w:rPr>
        <w:t xml:space="preserve"> </w:t>
      </w:r>
      <w:r>
        <w:t>of</w:t>
      </w:r>
      <w:r>
        <w:rPr>
          <w:spacing w:val="80"/>
        </w:rPr>
        <w:t xml:space="preserve"> </w:t>
      </w:r>
      <w:r>
        <w:t>the</w:t>
      </w:r>
      <w:r>
        <w:rPr>
          <w:spacing w:val="80"/>
        </w:rPr>
        <w:t xml:space="preserve"> </w:t>
      </w:r>
      <w:r>
        <w:t>2007</w:t>
      </w:r>
      <w:r>
        <w:rPr>
          <w:spacing w:val="79"/>
        </w:rPr>
        <w:t xml:space="preserve"> </w:t>
      </w:r>
      <w:r>
        <w:t>Final</w:t>
      </w:r>
      <w:r>
        <w:rPr>
          <w:spacing w:val="80"/>
        </w:rPr>
        <w:t xml:space="preserve"> </w:t>
      </w:r>
      <w:r>
        <w:t>Report</w:t>
      </w:r>
      <w:r>
        <w:rPr>
          <w:spacing w:val="80"/>
        </w:rPr>
        <w:t xml:space="preserve"> </w:t>
      </w:r>
      <w:r>
        <w:t>(see Appendix A).</w:t>
      </w:r>
    </w:p>
    <w:p w14:paraId="7CB25BFB" w14:textId="77777777" w:rsidR="008A4099" w:rsidRDefault="006A6EE2">
      <w:pPr>
        <w:pStyle w:val="BodyText"/>
        <w:spacing w:before="122" w:line="276" w:lineRule="auto"/>
        <w:ind w:left="726" w:hanging="567"/>
      </w:pPr>
      <w:r>
        <w:t>The</w:t>
      </w:r>
      <w:r>
        <w:rPr>
          <w:spacing w:val="40"/>
        </w:rPr>
        <w:t xml:space="preserve"> </w:t>
      </w:r>
      <w:r>
        <w:t>functions</w:t>
      </w:r>
      <w:r>
        <w:rPr>
          <w:spacing w:val="38"/>
        </w:rPr>
        <w:t xml:space="preserve"> </w:t>
      </w:r>
      <w:r>
        <w:t>and</w:t>
      </w:r>
      <w:r>
        <w:rPr>
          <w:spacing w:val="40"/>
        </w:rPr>
        <w:t xml:space="preserve"> </w:t>
      </w:r>
      <w:r>
        <w:t>powers</w:t>
      </w:r>
      <w:r>
        <w:rPr>
          <w:spacing w:val="38"/>
        </w:rPr>
        <w:t xml:space="preserve"> </w:t>
      </w:r>
      <w:r>
        <w:t>of</w:t>
      </w:r>
      <w:r>
        <w:rPr>
          <w:spacing w:val="40"/>
        </w:rPr>
        <w:t xml:space="preserve"> </w:t>
      </w:r>
      <w:r>
        <w:t>a</w:t>
      </w:r>
      <w:r>
        <w:rPr>
          <w:spacing w:val="40"/>
        </w:rPr>
        <w:t xml:space="preserve"> </w:t>
      </w:r>
      <w:r>
        <w:t>Tasmanian</w:t>
      </w:r>
      <w:r>
        <w:rPr>
          <w:spacing w:val="40"/>
        </w:rPr>
        <w:t xml:space="preserve"> </w:t>
      </w:r>
      <w:r>
        <w:t>Human</w:t>
      </w:r>
      <w:r>
        <w:rPr>
          <w:spacing w:val="38"/>
        </w:rPr>
        <w:t xml:space="preserve"> </w:t>
      </w:r>
      <w:r>
        <w:t>Rights</w:t>
      </w:r>
      <w:r>
        <w:rPr>
          <w:spacing w:val="40"/>
        </w:rPr>
        <w:t xml:space="preserve"> </w:t>
      </w:r>
      <w:r>
        <w:t>Commissioner</w:t>
      </w:r>
      <w:r>
        <w:rPr>
          <w:spacing w:val="40"/>
        </w:rPr>
        <w:t xml:space="preserve"> </w:t>
      </w:r>
      <w:r>
        <w:t>should</w:t>
      </w:r>
      <w:r>
        <w:rPr>
          <w:spacing w:val="40"/>
        </w:rPr>
        <w:t xml:space="preserve"> </w:t>
      </w:r>
      <w:r>
        <w:t>include</w:t>
      </w:r>
      <w:r>
        <w:rPr>
          <w:spacing w:val="40"/>
        </w:rPr>
        <w:t xml:space="preserve"> </w:t>
      </w:r>
      <w:r>
        <w:t>advising government and Cabinet on the preparation of legislation.</w:t>
      </w:r>
    </w:p>
    <w:p w14:paraId="7CB25BFC" w14:textId="77777777" w:rsidR="008A4099" w:rsidRDefault="006A6EE2">
      <w:pPr>
        <w:pStyle w:val="BodyText"/>
        <w:spacing w:before="119" w:line="276" w:lineRule="auto"/>
        <w:ind w:left="726" w:right="680" w:hanging="567"/>
      </w:pPr>
      <w:r>
        <w:t>Further, explicit arrangements should be put in place to provide for early review of all laws identified as potentially affecting human rights.</w:t>
      </w:r>
    </w:p>
    <w:p w14:paraId="7CB25BFD" w14:textId="77777777" w:rsidR="008A4099" w:rsidRDefault="006A6EE2">
      <w:pPr>
        <w:pStyle w:val="BodyText"/>
        <w:spacing w:before="119" w:line="278" w:lineRule="auto"/>
        <w:ind w:left="160" w:right="679"/>
      </w:pPr>
      <w:r>
        <w:t>This</w:t>
      </w:r>
      <w:r>
        <w:rPr>
          <w:spacing w:val="80"/>
        </w:rPr>
        <w:t xml:space="preserve"> </w:t>
      </w:r>
      <w:r>
        <w:t>recommendation</w:t>
      </w:r>
      <w:r>
        <w:rPr>
          <w:spacing w:val="79"/>
        </w:rPr>
        <w:t xml:space="preserve"> </w:t>
      </w:r>
      <w:r>
        <w:t>is</w:t>
      </w:r>
      <w:r>
        <w:rPr>
          <w:spacing w:val="80"/>
        </w:rPr>
        <w:t xml:space="preserve"> </w:t>
      </w:r>
      <w:r>
        <w:t>consistent</w:t>
      </w:r>
      <w:r>
        <w:rPr>
          <w:spacing w:val="80"/>
        </w:rPr>
        <w:t xml:space="preserve"> </w:t>
      </w:r>
      <w:r>
        <w:t>with</w:t>
      </w:r>
      <w:r>
        <w:rPr>
          <w:spacing w:val="80"/>
        </w:rPr>
        <w:t xml:space="preserve"> </w:t>
      </w:r>
      <w:r>
        <w:t>Recommendation</w:t>
      </w:r>
      <w:r>
        <w:rPr>
          <w:spacing w:val="80"/>
        </w:rPr>
        <w:t xml:space="preserve"> </w:t>
      </w:r>
      <w:r>
        <w:t>23</w:t>
      </w:r>
      <w:r>
        <w:rPr>
          <w:spacing w:val="79"/>
        </w:rPr>
        <w:t xml:space="preserve"> </w:t>
      </w:r>
      <w:r>
        <w:t>of</w:t>
      </w:r>
      <w:r>
        <w:rPr>
          <w:spacing w:val="80"/>
        </w:rPr>
        <w:t xml:space="preserve"> </w:t>
      </w:r>
      <w:r>
        <w:t>the</w:t>
      </w:r>
      <w:r>
        <w:rPr>
          <w:spacing w:val="80"/>
        </w:rPr>
        <w:t xml:space="preserve"> </w:t>
      </w:r>
      <w:r>
        <w:t>2007</w:t>
      </w:r>
      <w:r>
        <w:rPr>
          <w:spacing w:val="79"/>
        </w:rPr>
        <w:t xml:space="preserve"> </w:t>
      </w:r>
      <w:r>
        <w:t>Final</w:t>
      </w:r>
      <w:r>
        <w:rPr>
          <w:spacing w:val="80"/>
        </w:rPr>
        <w:t xml:space="preserve"> </w:t>
      </w:r>
      <w:r>
        <w:t>Report</w:t>
      </w:r>
      <w:r>
        <w:rPr>
          <w:spacing w:val="80"/>
        </w:rPr>
        <w:t xml:space="preserve"> </w:t>
      </w:r>
      <w:r>
        <w:t>(see Appendix A).</w:t>
      </w:r>
    </w:p>
    <w:p w14:paraId="7CB25BFE" w14:textId="77777777" w:rsidR="008A4099" w:rsidRDefault="008A4099">
      <w:pPr>
        <w:pStyle w:val="BodyText"/>
      </w:pPr>
    </w:p>
    <w:p w14:paraId="7CB25BFF" w14:textId="77777777" w:rsidR="008A4099" w:rsidRDefault="008A4099">
      <w:pPr>
        <w:pStyle w:val="BodyText"/>
        <w:spacing w:before="21"/>
      </w:pPr>
    </w:p>
    <w:p w14:paraId="7CB25C00" w14:textId="77777777" w:rsidR="008A4099" w:rsidRDefault="006A6EE2">
      <w:pPr>
        <w:pStyle w:val="Heading5"/>
        <w:jc w:val="both"/>
        <w:rPr>
          <w:b w:val="0"/>
        </w:rPr>
      </w:pPr>
      <w:r>
        <w:t>Recommendation</w:t>
      </w:r>
      <w:r>
        <w:rPr>
          <w:spacing w:val="-6"/>
        </w:rPr>
        <w:t xml:space="preserve"> </w:t>
      </w:r>
      <w:r>
        <w:t>18</w:t>
      </w:r>
      <w:r>
        <w:rPr>
          <w:spacing w:val="-4"/>
        </w:rPr>
        <w:t xml:space="preserve"> </w:t>
      </w:r>
      <w:r>
        <w:t>–</w:t>
      </w:r>
      <w:r>
        <w:rPr>
          <w:spacing w:val="-4"/>
        </w:rPr>
        <w:t xml:space="preserve"> </w:t>
      </w:r>
      <w:r>
        <w:t>Notification</w:t>
      </w:r>
      <w:r>
        <w:rPr>
          <w:spacing w:val="-4"/>
        </w:rPr>
        <w:t xml:space="preserve"> </w:t>
      </w:r>
      <w:r>
        <w:t>to</w:t>
      </w:r>
      <w:r>
        <w:rPr>
          <w:spacing w:val="-5"/>
        </w:rPr>
        <w:t xml:space="preserve"> </w:t>
      </w:r>
      <w:r>
        <w:t>Human</w:t>
      </w:r>
      <w:r>
        <w:rPr>
          <w:spacing w:val="-4"/>
        </w:rPr>
        <w:t xml:space="preserve"> </w:t>
      </w:r>
      <w:r>
        <w:t>Rights</w:t>
      </w:r>
      <w:r>
        <w:rPr>
          <w:spacing w:val="-4"/>
        </w:rPr>
        <w:t xml:space="preserve"> </w:t>
      </w:r>
      <w:r>
        <w:t>Commissioner</w:t>
      </w:r>
      <w:r>
        <w:rPr>
          <w:spacing w:val="-4"/>
        </w:rPr>
        <w:t xml:space="preserve"> </w:t>
      </w:r>
      <w:r>
        <w:rPr>
          <w:b w:val="0"/>
        </w:rPr>
        <w:t>(p</w:t>
      </w:r>
      <w:r>
        <w:rPr>
          <w:b w:val="0"/>
          <w:spacing w:val="-3"/>
        </w:rPr>
        <w:t xml:space="preserve"> </w:t>
      </w:r>
      <w:r>
        <w:rPr>
          <w:b w:val="0"/>
          <w:spacing w:val="-5"/>
        </w:rPr>
        <w:t>81)</w:t>
      </w:r>
    </w:p>
    <w:p w14:paraId="7CB25C01" w14:textId="77777777" w:rsidR="008A4099" w:rsidRDefault="006A6EE2">
      <w:pPr>
        <w:pStyle w:val="BodyText"/>
        <w:spacing w:before="157" w:line="278" w:lineRule="auto"/>
        <w:ind w:left="726" w:hanging="567"/>
      </w:pPr>
      <w:r>
        <w:t>That parties to Supreme Court proceedings should be required to notify the Attorney-General and the Tasmanian Human Rights Commission where proceedings raise human rights issues.</w:t>
      </w:r>
    </w:p>
    <w:p w14:paraId="7CB25C02" w14:textId="77777777" w:rsidR="008A4099" w:rsidRDefault="008A4099">
      <w:pPr>
        <w:spacing w:line="278" w:lineRule="auto"/>
        <w:sectPr w:rsidR="008A4099" w:rsidSect="00D43B2D">
          <w:headerReference w:type="default" r:id="rId33"/>
          <w:footerReference w:type="even" r:id="rId34"/>
          <w:footerReference w:type="default" r:id="rId35"/>
          <w:pgSz w:w="11910" w:h="16840"/>
          <w:pgMar w:top="1360" w:right="760" w:bottom="940" w:left="1280" w:header="0" w:footer="753" w:gutter="0"/>
          <w:pgNumType w:start="13"/>
          <w:cols w:space="720"/>
        </w:sectPr>
      </w:pPr>
    </w:p>
    <w:p w14:paraId="7CB25C03" w14:textId="77777777" w:rsidR="008A4099" w:rsidRDefault="006A6EE2">
      <w:pPr>
        <w:pStyle w:val="BodyText"/>
        <w:spacing w:before="62" w:line="276" w:lineRule="auto"/>
        <w:ind w:left="726" w:right="678" w:hanging="567"/>
        <w:jc w:val="both"/>
      </w:pPr>
      <w:r>
        <w:lastRenderedPageBreak/>
        <w:t>In proceedings held in the Magistrates Court or Tasmanian Civil and Administrative Tribunal (‘TasCAT’), the magistrates or Tribunal members (as</w:t>
      </w:r>
      <w:r>
        <w:rPr>
          <w:spacing w:val="-2"/>
        </w:rPr>
        <w:t xml:space="preserve"> </w:t>
      </w:r>
      <w:r>
        <w:t>applicable) should also have discretion to require parties to notify the Attorney-General and the Tasmanian Human Rights Commission, when matters raise human rights issues where intervention would be in the interests of justice.</w:t>
      </w:r>
    </w:p>
    <w:p w14:paraId="7CB25C04" w14:textId="77777777" w:rsidR="008A4099" w:rsidRDefault="006A6EE2">
      <w:pPr>
        <w:pStyle w:val="BodyText"/>
        <w:spacing w:before="121" w:line="276" w:lineRule="auto"/>
        <w:ind w:left="726" w:right="675" w:hanging="567"/>
        <w:jc w:val="both"/>
      </w:pPr>
      <w:r>
        <w:t>Proceedings</w:t>
      </w:r>
      <w:r>
        <w:rPr>
          <w:spacing w:val="-14"/>
        </w:rPr>
        <w:t xml:space="preserve"> </w:t>
      </w:r>
      <w:r>
        <w:t>should</w:t>
      </w:r>
      <w:r>
        <w:rPr>
          <w:spacing w:val="-14"/>
        </w:rPr>
        <w:t xml:space="preserve"> </w:t>
      </w:r>
      <w:r>
        <w:t>not</w:t>
      </w:r>
      <w:r>
        <w:rPr>
          <w:spacing w:val="-14"/>
        </w:rPr>
        <w:t xml:space="preserve"> </w:t>
      </w:r>
      <w:r>
        <w:t>be</w:t>
      </w:r>
      <w:r>
        <w:rPr>
          <w:spacing w:val="-13"/>
        </w:rPr>
        <w:t xml:space="preserve"> </w:t>
      </w:r>
      <w:r>
        <w:t>adjourned</w:t>
      </w:r>
      <w:r>
        <w:rPr>
          <w:spacing w:val="-14"/>
        </w:rPr>
        <w:t xml:space="preserve"> </w:t>
      </w:r>
      <w:r>
        <w:t>while</w:t>
      </w:r>
      <w:r>
        <w:rPr>
          <w:spacing w:val="-14"/>
        </w:rPr>
        <w:t xml:space="preserve"> </w:t>
      </w:r>
      <w:r>
        <w:t>notice</w:t>
      </w:r>
      <w:r>
        <w:rPr>
          <w:spacing w:val="-14"/>
        </w:rPr>
        <w:t xml:space="preserve"> </w:t>
      </w:r>
      <w:r>
        <w:t>is</w:t>
      </w:r>
      <w:r>
        <w:rPr>
          <w:spacing w:val="-13"/>
        </w:rPr>
        <w:t xml:space="preserve"> </w:t>
      </w:r>
      <w:r>
        <w:t>given,</w:t>
      </w:r>
      <w:r>
        <w:rPr>
          <w:spacing w:val="-14"/>
        </w:rPr>
        <w:t xml:space="preserve"> </w:t>
      </w:r>
      <w:r>
        <w:t>and</w:t>
      </w:r>
      <w:r>
        <w:rPr>
          <w:spacing w:val="-14"/>
        </w:rPr>
        <w:t xml:space="preserve"> </w:t>
      </w:r>
      <w:r>
        <w:t>there</w:t>
      </w:r>
      <w:r>
        <w:rPr>
          <w:spacing w:val="-13"/>
        </w:rPr>
        <w:t xml:space="preserve"> </w:t>
      </w:r>
      <w:r>
        <w:t>should</w:t>
      </w:r>
      <w:r>
        <w:rPr>
          <w:spacing w:val="-14"/>
        </w:rPr>
        <w:t xml:space="preserve"> </w:t>
      </w:r>
      <w:r>
        <w:t>be</w:t>
      </w:r>
      <w:r>
        <w:rPr>
          <w:spacing w:val="-13"/>
        </w:rPr>
        <w:t xml:space="preserve"> </w:t>
      </w:r>
      <w:r>
        <w:t>a</w:t>
      </w:r>
      <w:r>
        <w:rPr>
          <w:spacing w:val="-14"/>
        </w:rPr>
        <w:t xml:space="preserve"> </w:t>
      </w:r>
      <w:r>
        <w:t>rebuttable</w:t>
      </w:r>
      <w:r>
        <w:rPr>
          <w:spacing w:val="-14"/>
        </w:rPr>
        <w:t xml:space="preserve"> </w:t>
      </w:r>
      <w:r>
        <w:t>presumption that the costs of the intervention will be borne by the Commission.</w:t>
      </w:r>
    </w:p>
    <w:p w14:paraId="7CB25C05" w14:textId="77777777" w:rsidR="008A4099" w:rsidRDefault="006A6EE2">
      <w:pPr>
        <w:pStyle w:val="BodyText"/>
        <w:spacing w:before="119"/>
        <w:ind w:left="160"/>
        <w:jc w:val="both"/>
      </w:pPr>
      <w:r>
        <w:t>The</w:t>
      </w:r>
      <w:r>
        <w:rPr>
          <w:spacing w:val="-6"/>
        </w:rPr>
        <w:t xml:space="preserve"> </w:t>
      </w:r>
      <w:r>
        <w:t>Commission</w:t>
      </w:r>
      <w:r>
        <w:rPr>
          <w:spacing w:val="-3"/>
        </w:rPr>
        <w:t xml:space="preserve"> </w:t>
      </w:r>
      <w:r>
        <w:t>should</w:t>
      </w:r>
      <w:r>
        <w:rPr>
          <w:spacing w:val="-3"/>
        </w:rPr>
        <w:t xml:space="preserve"> </w:t>
      </w:r>
      <w:r>
        <w:t>be</w:t>
      </w:r>
      <w:r>
        <w:rPr>
          <w:spacing w:val="-5"/>
        </w:rPr>
        <w:t xml:space="preserve"> </w:t>
      </w:r>
      <w:r>
        <w:t>adequately</w:t>
      </w:r>
      <w:r>
        <w:rPr>
          <w:spacing w:val="-6"/>
        </w:rPr>
        <w:t xml:space="preserve"> </w:t>
      </w:r>
      <w:r>
        <w:t>resourced</w:t>
      </w:r>
      <w:r>
        <w:rPr>
          <w:spacing w:val="-4"/>
        </w:rPr>
        <w:t xml:space="preserve"> </w:t>
      </w:r>
      <w:r>
        <w:t>to</w:t>
      </w:r>
      <w:r>
        <w:rPr>
          <w:spacing w:val="-3"/>
        </w:rPr>
        <w:t xml:space="preserve"> </w:t>
      </w:r>
      <w:r>
        <w:t>intervene</w:t>
      </w:r>
      <w:r>
        <w:rPr>
          <w:spacing w:val="-3"/>
        </w:rPr>
        <w:t xml:space="preserve"> </w:t>
      </w:r>
      <w:r>
        <w:t>in</w:t>
      </w:r>
      <w:r>
        <w:rPr>
          <w:spacing w:val="-3"/>
        </w:rPr>
        <w:t xml:space="preserve"> </w:t>
      </w:r>
      <w:r>
        <w:t>any</w:t>
      </w:r>
      <w:r>
        <w:rPr>
          <w:spacing w:val="-5"/>
        </w:rPr>
        <w:t xml:space="preserve"> </w:t>
      </w:r>
      <w:r>
        <w:t>relevant</w:t>
      </w:r>
      <w:r>
        <w:rPr>
          <w:spacing w:val="-5"/>
        </w:rPr>
        <w:t xml:space="preserve"> </w:t>
      </w:r>
      <w:r>
        <w:rPr>
          <w:spacing w:val="-2"/>
        </w:rPr>
        <w:t>matter.</w:t>
      </w:r>
    </w:p>
    <w:p w14:paraId="7CB25C06" w14:textId="77777777" w:rsidR="008A4099" w:rsidRDefault="006A6EE2">
      <w:pPr>
        <w:pStyle w:val="BodyText"/>
        <w:spacing w:before="160" w:line="276" w:lineRule="auto"/>
        <w:ind w:left="160" w:right="679"/>
      </w:pPr>
      <w:r>
        <w:t>These</w:t>
      </w:r>
      <w:r>
        <w:rPr>
          <w:spacing w:val="-2"/>
        </w:rPr>
        <w:t xml:space="preserve"> </w:t>
      </w:r>
      <w:r>
        <w:t>recommendations</w:t>
      </w:r>
      <w:r>
        <w:rPr>
          <w:spacing w:val="-1"/>
        </w:rPr>
        <w:t xml:space="preserve"> </w:t>
      </w:r>
      <w:r>
        <w:t>build</w:t>
      </w:r>
      <w:r>
        <w:rPr>
          <w:spacing w:val="-2"/>
        </w:rPr>
        <w:t xml:space="preserve"> </w:t>
      </w:r>
      <w:r>
        <w:t>on</w:t>
      </w:r>
      <w:r>
        <w:rPr>
          <w:spacing w:val="-1"/>
        </w:rPr>
        <w:t xml:space="preserve"> </w:t>
      </w:r>
      <w:r>
        <w:t>Recommendation</w:t>
      </w:r>
      <w:r>
        <w:rPr>
          <w:spacing w:val="-1"/>
        </w:rPr>
        <w:t xml:space="preserve"> </w:t>
      </w:r>
      <w:r>
        <w:t>23</w:t>
      </w:r>
      <w:r>
        <w:rPr>
          <w:spacing w:val="-2"/>
        </w:rPr>
        <w:t xml:space="preserve"> </w:t>
      </w:r>
      <w:r>
        <w:t>of the</w:t>
      </w:r>
      <w:r>
        <w:rPr>
          <w:spacing w:val="-1"/>
        </w:rPr>
        <w:t xml:space="preserve"> </w:t>
      </w:r>
      <w:r>
        <w:t>2007</w:t>
      </w:r>
      <w:r>
        <w:rPr>
          <w:spacing w:val="-1"/>
        </w:rPr>
        <w:t xml:space="preserve"> </w:t>
      </w:r>
      <w:r>
        <w:t>Final Report relating</w:t>
      </w:r>
      <w:r>
        <w:rPr>
          <w:spacing w:val="-2"/>
        </w:rPr>
        <w:t xml:space="preserve"> </w:t>
      </w:r>
      <w:r>
        <w:t>to</w:t>
      </w:r>
      <w:r>
        <w:rPr>
          <w:spacing w:val="-2"/>
        </w:rPr>
        <w:t xml:space="preserve"> </w:t>
      </w:r>
      <w:r>
        <w:t>the</w:t>
      </w:r>
      <w:r>
        <w:rPr>
          <w:spacing w:val="-1"/>
        </w:rPr>
        <w:t xml:space="preserve"> </w:t>
      </w:r>
      <w:r>
        <w:t>powers and functions of the Human Rights Commissioner (see Appendix A).</w:t>
      </w:r>
    </w:p>
    <w:p w14:paraId="7CB25C07" w14:textId="77777777" w:rsidR="008A4099" w:rsidRDefault="008A4099">
      <w:pPr>
        <w:pStyle w:val="BodyText"/>
      </w:pPr>
    </w:p>
    <w:p w14:paraId="7CB25C08" w14:textId="77777777" w:rsidR="008A4099" w:rsidRDefault="008A4099">
      <w:pPr>
        <w:pStyle w:val="BodyText"/>
        <w:spacing w:before="23"/>
      </w:pPr>
    </w:p>
    <w:p w14:paraId="7CB25C09" w14:textId="77777777" w:rsidR="008A4099" w:rsidRDefault="006A6EE2">
      <w:pPr>
        <w:pStyle w:val="Heading5"/>
        <w:jc w:val="both"/>
        <w:rPr>
          <w:b w:val="0"/>
        </w:rPr>
      </w:pPr>
      <w:r>
        <w:t>Recommendation</w:t>
      </w:r>
      <w:r>
        <w:rPr>
          <w:spacing w:val="-4"/>
        </w:rPr>
        <w:t xml:space="preserve"> </w:t>
      </w:r>
      <w:r>
        <w:t>19</w:t>
      </w:r>
      <w:r>
        <w:rPr>
          <w:spacing w:val="-4"/>
        </w:rPr>
        <w:t xml:space="preserve"> </w:t>
      </w:r>
      <w:r>
        <w:t>–</w:t>
      </w:r>
      <w:r>
        <w:rPr>
          <w:spacing w:val="-4"/>
        </w:rPr>
        <w:t xml:space="preserve"> </w:t>
      </w:r>
      <w:r>
        <w:t>Dispute</w:t>
      </w:r>
      <w:r>
        <w:rPr>
          <w:spacing w:val="-3"/>
        </w:rPr>
        <w:t xml:space="preserve"> </w:t>
      </w:r>
      <w:r>
        <w:t>Resolution</w:t>
      </w:r>
      <w:r>
        <w:rPr>
          <w:spacing w:val="-6"/>
        </w:rPr>
        <w:t xml:space="preserve"> </w:t>
      </w:r>
      <w:r>
        <w:rPr>
          <w:b w:val="0"/>
        </w:rPr>
        <w:t>(p</w:t>
      </w:r>
      <w:r>
        <w:rPr>
          <w:b w:val="0"/>
          <w:spacing w:val="-3"/>
        </w:rPr>
        <w:t xml:space="preserve"> </w:t>
      </w:r>
      <w:r>
        <w:rPr>
          <w:b w:val="0"/>
          <w:spacing w:val="-5"/>
        </w:rPr>
        <w:t>81)</w:t>
      </w:r>
    </w:p>
    <w:p w14:paraId="7CB25C0A" w14:textId="77777777" w:rsidR="008A4099" w:rsidRDefault="006A6EE2">
      <w:pPr>
        <w:pStyle w:val="BodyText"/>
        <w:spacing w:before="158" w:line="278" w:lineRule="auto"/>
        <w:ind w:left="726" w:right="679" w:hanging="567"/>
        <w:jc w:val="both"/>
      </w:pPr>
      <w:r>
        <w:t>That</w:t>
      </w:r>
      <w:r>
        <w:rPr>
          <w:spacing w:val="-4"/>
        </w:rPr>
        <w:t xml:space="preserve"> </w:t>
      </w:r>
      <w:r>
        <w:t>the</w:t>
      </w:r>
      <w:r>
        <w:rPr>
          <w:spacing w:val="-2"/>
        </w:rPr>
        <w:t xml:space="preserve"> </w:t>
      </w:r>
      <w:r>
        <w:t>Tasmanian</w:t>
      </w:r>
      <w:r>
        <w:rPr>
          <w:spacing w:val="-2"/>
        </w:rPr>
        <w:t xml:space="preserve"> </w:t>
      </w:r>
      <w:r>
        <w:t>human</w:t>
      </w:r>
      <w:r>
        <w:rPr>
          <w:spacing w:val="-4"/>
        </w:rPr>
        <w:t xml:space="preserve"> </w:t>
      </w:r>
      <w:r>
        <w:t>rights</w:t>
      </w:r>
      <w:r>
        <w:rPr>
          <w:spacing w:val="-4"/>
        </w:rPr>
        <w:t xml:space="preserve"> </w:t>
      </w:r>
      <w:r>
        <w:t>enactment</w:t>
      </w:r>
      <w:r>
        <w:rPr>
          <w:spacing w:val="-1"/>
        </w:rPr>
        <w:t xml:space="preserve"> </w:t>
      </w:r>
      <w:r>
        <w:t>provide</w:t>
      </w:r>
      <w:r>
        <w:rPr>
          <w:spacing w:val="-2"/>
        </w:rPr>
        <w:t xml:space="preserve"> </w:t>
      </w:r>
      <w:r>
        <w:t>for</w:t>
      </w:r>
      <w:r>
        <w:rPr>
          <w:spacing w:val="-2"/>
        </w:rPr>
        <w:t xml:space="preserve"> </w:t>
      </w:r>
      <w:r>
        <w:t>the</w:t>
      </w:r>
      <w:r>
        <w:rPr>
          <w:spacing w:val="-2"/>
        </w:rPr>
        <w:t xml:space="preserve"> </w:t>
      </w:r>
      <w:r>
        <w:t>Tasmanian</w:t>
      </w:r>
      <w:r>
        <w:rPr>
          <w:spacing w:val="-2"/>
        </w:rPr>
        <w:t xml:space="preserve"> </w:t>
      </w:r>
      <w:r>
        <w:t>Human</w:t>
      </w:r>
      <w:r>
        <w:rPr>
          <w:spacing w:val="-2"/>
        </w:rPr>
        <w:t xml:space="preserve"> </w:t>
      </w:r>
      <w:r>
        <w:t>Rights</w:t>
      </w:r>
      <w:r>
        <w:rPr>
          <w:spacing w:val="-2"/>
        </w:rPr>
        <w:t xml:space="preserve"> </w:t>
      </w:r>
      <w:r>
        <w:t>Commission</w:t>
      </w:r>
      <w:r>
        <w:rPr>
          <w:spacing w:val="-5"/>
        </w:rPr>
        <w:t xml:space="preserve"> </w:t>
      </w:r>
      <w:r>
        <w:t>to have a dispute resolution function for complaints regarding human rights contraventions.</w:t>
      </w:r>
    </w:p>
    <w:p w14:paraId="7CB25C0B" w14:textId="77777777" w:rsidR="008A4099" w:rsidRDefault="006A6EE2">
      <w:pPr>
        <w:pStyle w:val="BodyText"/>
        <w:spacing w:before="116" w:line="276" w:lineRule="auto"/>
        <w:ind w:left="160" w:right="680"/>
      </w:pPr>
      <w:r>
        <w:t>This recommendation builds on Recommendation 23 of the 2007 Final Report relating to the powers and functions of the Human Rights Commissioner (see Appendix A).</w:t>
      </w:r>
    </w:p>
    <w:p w14:paraId="7CB25C0C" w14:textId="77777777" w:rsidR="008A4099" w:rsidRDefault="008A4099">
      <w:pPr>
        <w:pStyle w:val="BodyText"/>
      </w:pPr>
    </w:p>
    <w:p w14:paraId="7CB25C0D" w14:textId="77777777" w:rsidR="008A4099" w:rsidRDefault="008A4099">
      <w:pPr>
        <w:pStyle w:val="BodyText"/>
        <w:spacing w:before="26"/>
      </w:pPr>
    </w:p>
    <w:p w14:paraId="7CB25C0E" w14:textId="77777777" w:rsidR="008A4099" w:rsidRDefault="006A6EE2">
      <w:pPr>
        <w:pStyle w:val="Heading5"/>
        <w:jc w:val="both"/>
        <w:rPr>
          <w:b w:val="0"/>
        </w:rPr>
      </w:pPr>
      <w:r>
        <w:t>Recommendation</w:t>
      </w:r>
      <w:r>
        <w:rPr>
          <w:spacing w:val="-3"/>
        </w:rPr>
        <w:t xml:space="preserve"> </w:t>
      </w:r>
      <w:r>
        <w:t>20</w:t>
      </w:r>
      <w:r>
        <w:rPr>
          <w:spacing w:val="-3"/>
        </w:rPr>
        <w:t xml:space="preserve"> </w:t>
      </w:r>
      <w:r>
        <w:t>–</w:t>
      </w:r>
      <w:r>
        <w:rPr>
          <w:spacing w:val="-6"/>
        </w:rPr>
        <w:t xml:space="preserve"> </w:t>
      </w:r>
      <w:r>
        <w:t>Independent</w:t>
      </w:r>
      <w:r>
        <w:rPr>
          <w:spacing w:val="-5"/>
        </w:rPr>
        <w:t xml:space="preserve"> </w:t>
      </w:r>
      <w:r>
        <w:t>Office</w:t>
      </w:r>
      <w:r>
        <w:rPr>
          <w:spacing w:val="-4"/>
        </w:rPr>
        <w:t xml:space="preserve"> </w:t>
      </w:r>
      <w:r>
        <w:rPr>
          <w:b w:val="0"/>
        </w:rPr>
        <w:t>(p</w:t>
      </w:r>
      <w:r>
        <w:rPr>
          <w:b w:val="0"/>
          <w:spacing w:val="-2"/>
        </w:rPr>
        <w:t xml:space="preserve"> </w:t>
      </w:r>
      <w:r>
        <w:rPr>
          <w:b w:val="0"/>
          <w:spacing w:val="-5"/>
        </w:rPr>
        <w:t>82)</w:t>
      </w:r>
    </w:p>
    <w:p w14:paraId="7CB25C0F" w14:textId="77777777" w:rsidR="008A4099" w:rsidRDefault="006A6EE2">
      <w:pPr>
        <w:pStyle w:val="BodyText"/>
        <w:spacing w:before="158" w:line="276" w:lineRule="auto"/>
        <w:ind w:left="726" w:right="676" w:hanging="567"/>
        <w:jc w:val="both"/>
      </w:pPr>
      <w:r>
        <w:t>That</w:t>
      </w:r>
      <w:r>
        <w:rPr>
          <w:spacing w:val="-14"/>
        </w:rPr>
        <w:t xml:space="preserve"> </w:t>
      </w:r>
      <w:r>
        <w:t>a</w:t>
      </w:r>
      <w:r>
        <w:rPr>
          <w:spacing w:val="-14"/>
        </w:rPr>
        <w:t xml:space="preserve"> </w:t>
      </w:r>
      <w:r>
        <w:t>Tasmanian</w:t>
      </w:r>
      <w:r>
        <w:rPr>
          <w:spacing w:val="-13"/>
        </w:rPr>
        <w:t xml:space="preserve"> </w:t>
      </w:r>
      <w:r>
        <w:t>Human</w:t>
      </w:r>
      <w:r>
        <w:rPr>
          <w:spacing w:val="-13"/>
        </w:rPr>
        <w:t xml:space="preserve"> </w:t>
      </w:r>
      <w:r>
        <w:t>Rights</w:t>
      </w:r>
      <w:r>
        <w:rPr>
          <w:spacing w:val="-12"/>
        </w:rPr>
        <w:t xml:space="preserve"> </w:t>
      </w:r>
      <w:r>
        <w:t>Commissioner</w:t>
      </w:r>
      <w:r>
        <w:rPr>
          <w:spacing w:val="-12"/>
        </w:rPr>
        <w:t xml:space="preserve"> </w:t>
      </w:r>
      <w:r>
        <w:t>be</w:t>
      </w:r>
      <w:r>
        <w:rPr>
          <w:spacing w:val="-13"/>
        </w:rPr>
        <w:t xml:space="preserve"> </w:t>
      </w:r>
      <w:r>
        <w:t>appointed</w:t>
      </w:r>
      <w:r>
        <w:rPr>
          <w:spacing w:val="-14"/>
        </w:rPr>
        <w:t xml:space="preserve"> </w:t>
      </w:r>
      <w:r>
        <w:t>independently</w:t>
      </w:r>
      <w:r>
        <w:rPr>
          <w:spacing w:val="-13"/>
        </w:rPr>
        <w:t xml:space="preserve"> </w:t>
      </w:r>
      <w:r>
        <w:t>of</w:t>
      </w:r>
      <w:r>
        <w:rPr>
          <w:spacing w:val="-12"/>
        </w:rPr>
        <w:t xml:space="preserve"> </w:t>
      </w:r>
      <w:r>
        <w:t>the</w:t>
      </w:r>
      <w:r>
        <w:rPr>
          <w:spacing w:val="-14"/>
        </w:rPr>
        <w:t xml:space="preserve"> </w:t>
      </w:r>
      <w:r>
        <w:t xml:space="preserve">Anti-Discrimination </w:t>
      </w:r>
      <w:r>
        <w:rPr>
          <w:spacing w:val="-2"/>
        </w:rPr>
        <w:t>Commissioner.</w:t>
      </w:r>
    </w:p>
    <w:p w14:paraId="7CB25C10" w14:textId="77777777" w:rsidR="008A4099" w:rsidRDefault="006A6EE2">
      <w:pPr>
        <w:pStyle w:val="BodyText"/>
        <w:spacing w:before="119" w:line="276" w:lineRule="auto"/>
        <w:ind w:left="160" w:right="679"/>
      </w:pPr>
      <w:r>
        <w:t>This</w:t>
      </w:r>
      <w:r>
        <w:rPr>
          <w:spacing w:val="80"/>
        </w:rPr>
        <w:t xml:space="preserve"> </w:t>
      </w:r>
      <w:r>
        <w:t>recommendation</w:t>
      </w:r>
      <w:r>
        <w:rPr>
          <w:spacing w:val="79"/>
        </w:rPr>
        <w:t xml:space="preserve"> </w:t>
      </w:r>
      <w:r>
        <w:t>is</w:t>
      </w:r>
      <w:r>
        <w:rPr>
          <w:spacing w:val="80"/>
        </w:rPr>
        <w:t xml:space="preserve"> </w:t>
      </w:r>
      <w:r>
        <w:t>consistent</w:t>
      </w:r>
      <w:r>
        <w:rPr>
          <w:spacing w:val="80"/>
        </w:rPr>
        <w:t xml:space="preserve"> </w:t>
      </w:r>
      <w:r>
        <w:t>with</w:t>
      </w:r>
      <w:r>
        <w:rPr>
          <w:spacing w:val="80"/>
        </w:rPr>
        <w:t xml:space="preserve"> </w:t>
      </w:r>
      <w:r>
        <w:t>Recommendation</w:t>
      </w:r>
      <w:r>
        <w:rPr>
          <w:spacing w:val="80"/>
        </w:rPr>
        <w:t xml:space="preserve"> </w:t>
      </w:r>
      <w:r>
        <w:t>23</w:t>
      </w:r>
      <w:r>
        <w:rPr>
          <w:spacing w:val="79"/>
        </w:rPr>
        <w:t xml:space="preserve"> </w:t>
      </w:r>
      <w:r>
        <w:t>of</w:t>
      </w:r>
      <w:r>
        <w:rPr>
          <w:spacing w:val="80"/>
        </w:rPr>
        <w:t xml:space="preserve"> </w:t>
      </w:r>
      <w:r>
        <w:t>the</w:t>
      </w:r>
      <w:r>
        <w:rPr>
          <w:spacing w:val="80"/>
        </w:rPr>
        <w:t xml:space="preserve"> </w:t>
      </w:r>
      <w:r>
        <w:t>2007</w:t>
      </w:r>
      <w:r>
        <w:rPr>
          <w:spacing w:val="79"/>
        </w:rPr>
        <w:t xml:space="preserve"> </w:t>
      </w:r>
      <w:r>
        <w:t>Final</w:t>
      </w:r>
      <w:r>
        <w:rPr>
          <w:spacing w:val="80"/>
        </w:rPr>
        <w:t xml:space="preserve"> </w:t>
      </w:r>
      <w:r>
        <w:t>Report</w:t>
      </w:r>
      <w:r>
        <w:rPr>
          <w:spacing w:val="80"/>
        </w:rPr>
        <w:t xml:space="preserve"> </w:t>
      </w:r>
      <w:r>
        <w:t>(see Appendix A)</w:t>
      </w:r>
    </w:p>
    <w:p w14:paraId="7CB25C11" w14:textId="77777777" w:rsidR="008A4099" w:rsidRDefault="008A4099">
      <w:pPr>
        <w:pStyle w:val="BodyText"/>
      </w:pPr>
    </w:p>
    <w:p w14:paraId="7CB25C12" w14:textId="77777777" w:rsidR="008A4099" w:rsidRDefault="008A4099">
      <w:pPr>
        <w:pStyle w:val="BodyText"/>
        <w:spacing w:before="26"/>
      </w:pPr>
    </w:p>
    <w:p w14:paraId="7CB25C13" w14:textId="77777777" w:rsidR="008A4099" w:rsidRDefault="006A6EE2">
      <w:pPr>
        <w:pStyle w:val="Heading5"/>
        <w:rPr>
          <w:b w:val="0"/>
        </w:rPr>
      </w:pPr>
      <w:r>
        <w:t>Recommendation</w:t>
      </w:r>
      <w:r>
        <w:rPr>
          <w:spacing w:val="-5"/>
        </w:rPr>
        <w:t xml:space="preserve"> </w:t>
      </w:r>
      <w:r>
        <w:t>21-</w:t>
      </w:r>
      <w:r>
        <w:rPr>
          <w:spacing w:val="-6"/>
        </w:rPr>
        <w:t xml:space="preserve"> </w:t>
      </w:r>
      <w:r>
        <w:t>Implementation</w:t>
      </w:r>
      <w:r>
        <w:rPr>
          <w:spacing w:val="-4"/>
        </w:rPr>
        <w:t xml:space="preserve"> </w:t>
      </w:r>
      <w:r>
        <w:rPr>
          <w:b w:val="0"/>
        </w:rPr>
        <w:t>(p</w:t>
      </w:r>
      <w:r>
        <w:rPr>
          <w:b w:val="0"/>
          <w:spacing w:val="-6"/>
        </w:rPr>
        <w:t xml:space="preserve"> </w:t>
      </w:r>
      <w:r>
        <w:rPr>
          <w:b w:val="0"/>
          <w:spacing w:val="-5"/>
        </w:rPr>
        <w:t>83)</w:t>
      </w:r>
    </w:p>
    <w:p w14:paraId="7CB25C14" w14:textId="77777777" w:rsidR="008A4099" w:rsidRDefault="006A6EE2">
      <w:pPr>
        <w:pStyle w:val="BodyText"/>
        <w:spacing w:before="157" w:line="388" w:lineRule="auto"/>
        <w:ind w:left="160" w:right="680"/>
      </w:pPr>
      <w:r>
        <w:t>That</w:t>
      </w:r>
      <w:r>
        <w:rPr>
          <w:spacing w:val="-2"/>
        </w:rPr>
        <w:t xml:space="preserve"> </w:t>
      </w:r>
      <w:r>
        <w:t>a</w:t>
      </w:r>
      <w:r>
        <w:rPr>
          <w:spacing w:val="-4"/>
        </w:rPr>
        <w:t xml:space="preserve"> </w:t>
      </w:r>
      <w:r>
        <w:t>phase-in</w:t>
      </w:r>
      <w:r>
        <w:rPr>
          <w:spacing w:val="-2"/>
        </w:rPr>
        <w:t xml:space="preserve"> </w:t>
      </w:r>
      <w:r>
        <w:t>period</w:t>
      </w:r>
      <w:r>
        <w:rPr>
          <w:spacing w:val="-2"/>
        </w:rPr>
        <w:t xml:space="preserve"> </w:t>
      </w:r>
      <w:r>
        <w:t>be</w:t>
      </w:r>
      <w:r>
        <w:rPr>
          <w:spacing w:val="-4"/>
        </w:rPr>
        <w:t xml:space="preserve"> </w:t>
      </w:r>
      <w:r>
        <w:t>created</w:t>
      </w:r>
      <w:r>
        <w:rPr>
          <w:spacing w:val="-2"/>
        </w:rPr>
        <w:t xml:space="preserve"> </w:t>
      </w:r>
      <w:r>
        <w:t>as</w:t>
      </w:r>
      <w:r>
        <w:rPr>
          <w:spacing w:val="-2"/>
        </w:rPr>
        <w:t xml:space="preserve"> </w:t>
      </w:r>
      <w:r>
        <w:t>part</w:t>
      </w:r>
      <w:r>
        <w:rPr>
          <w:spacing w:val="-4"/>
        </w:rPr>
        <w:t xml:space="preserve"> </w:t>
      </w:r>
      <w:r>
        <w:t>of</w:t>
      </w:r>
      <w:r>
        <w:rPr>
          <w:spacing w:val="-4"/>
        </w:rPr>
        <w:t xml:space="preserve"> </w:t>
      </w:r>
      <w:r>
        <w:t>the</w:t>
      </w:r>
      <w:r>
        <w:rPr>
          <w:spacing w:val="-2"/>
        </w:rPr>
        <w:t xml:space="preserve"> </w:t>
      </w:r>
      <w:r>
        <w:t>operation</w:t>
      </w:r>
      <w:r>
        <w:rPr>
          <w:spacing w:val="-2"/>
        </w:rPr>
        <w:t xml:space="preserve"> </w:t>
      </w:r>
      <w:r>
        <w:t>of</w:t>
      </w:r>
      <w:r>
        <w:rPr>
          <w:spacing w:val="-4"/>
        </w:rPr>
        <w:t xml:space="preserve"> </w:t>
      </w:r>
      <w:r>
        <w:t>the</w:t>
      </w:r>
      <w:r>
        <w:rPr>
          <w:spacing w:val="-2"/>
        </w:rPr>
        <w:t xml:space="preserve"> </w:t>
      </w:r>
      <w:r>
        <w:t>Tasmanian</w:t>
      </w:r>
      <w:r>
        <w:rPr>
          <w:spacing w:val="-2"/>
        </w:rPr>
        <w:t xml:space="preserve"> </w:t>
      </w:r>
      <w:r>
        <w:t>human</w:t>
      </w:r>
      <w:r>
        <w:rPr>
          <w:spacing w:val="-5"/>
        </w:rPr>
        <w:t xml:space="preserve"> </w:t>
      </w:r>
      <w:r>
        <w:t>rights</w:t>
      </w:r>
      <w:r>
        <w:rPr>
          <w:spacing w:val="-4"/>
        </w:rPr>
        <w:t xml:space="preserve"> </w:t>
      </w:r>
      <w:r>
        <w:t>enactment. The phase-in period should be over a two-year period.</w:t>
      </w:r>
    </w:p>
    <w:p w14:paraId="7CB25C15" w14:textId="77777777" w:rsidR="008A4099" w:rsidRDefault="006A6EE2">
      <w:pPr>
        <w:pStyle w:val="BodyText"/>
        <w:spacing w:before="1" w:line="278" w:lineRule="auto"/>
        <w:ind w:left="160" w:right="681"/>
      </w:pPr>
      <w:r>
        <w:t>This</w:t>
      </w:r>
      <w:r>
        <w:rPr>
          <w:spacing w:val="37"/>
        </w:rPr>
        <w:t xml:space="preserve"> </w:t>
      </w:r>
      <w:r>
        <w:t>recommendation</w:t>
      </w:r>
      <w:r>
        <w:rPr>
          <w:spacing w:val="36"/>
        </w:rPr>
        <w:t xml:space="preserve"> </w:t>
      </w:r>
      <w:r>
        <w:t>alters</w:t>
      </w:r>
      <w:r>
        <w:rPr>
          <w:spacing w:val="38"/>
        </w:rPr>
        <w:t xml:space="preserve"> </w:t>
      </w:r>
      <w:r>
        <w:t>Recommendation</w:t>
      </w:r>
      <w:r>
        <w:rPr>
          <w:spacing w:val="36"/>
        </w:rPr>
        <w:t xml:space="preserve"> </w:t>
      </w:r>
      <w:r>
        <w:t>9</w:t>
      </w:r>
      <w:r>
        <w:rPr>
          <w:spacing w:val="38"/>
        </w:rPr>
        <w:t xml:space="preserve"> </w:t>
      </w:r>
      <w:r>
        <w:t>of</w:t>
      </w:r>
      <w:r>
        <w:rPr>
          <w:spacing w:val="38"/>
        </w:rPr>
        <w:t xml:space="preserve"> </w:t>
      </w:r>
      <w:r>
        <w:t>the</w:t>
      </w:r>
      <w:r>
        <w:rPr>
          <w:spacing w:val="38"/>
        </w:rPr>
        <w:t xml:space="preserve"> </w:t>
      </w:r>
      <w:r>
        <w:t>2007</w:t>
      </w:r>
      <w:r>
        <w:rPr>
          <w:spacing w:val="36"/>
        </w:rPr>
        <w:t xml:space="preserve"> </w:t>
      </w:r>
      <w:r>
        <w:t>Final</w:t>
      </w:r>
      <w:r>
        <w:rPr>
          <w:spacing w:val="37"/>
        </w:rPr>
        <w:t xml:space="preserve"> </w:t>
      </w:r>
      <w:r>
        <w:t>Report,</w:t>
      </w:r>
      <w:r>
        <w:rPr>
          <w:spacing w:val="36"/>
        </w:rPr>
        <w:t xml:space="preserve"> </w:t>
      </w:r>
      <w:r>
        <w:t>which</w:t>
      </w:r>
      <w:r>
        <w:rPr>
          <w:spacing w:val="36"/>
        </w:rPr>
        <w:t xml:space="preserve"> </w:t>
      </w:r>
      <w:r>
        <w:t>provided</w:t>
      </w:r>
      <w:r>
        <w:rPr>
          <w:spacing w:val="38"/>
        </w:rPr>
        <w:t xml:space="preserve"> </w:t>
      </w:r>
      <w:r>
        <w:t>for</w:t>
      </w:r>
      <w:r>
        <w:rPr>
          <w:spacing w:val="37"/>
        </w:rPr>
        <w:t xml:space="preserve"> </w:t>
      </w:r>
      <w:r>
        <w:t>an 18-month phase-in period (see Appendix A).</w:t>
      </w:r>
    </w:p>
    <w:p w14:paraId="7CB25C16" w14:textId="77777777" w:rsidR="008A4099" w:rsidRDefault="008A4099">
      <w:pPr>
        <w:spacing w:line="278" w:lineRule="auto"/>
        <w:sectPr w:rsidR="008A4099" w:rsidSect="00D43B2D">
          <w:headerReference w:type="even" r:id="rId36"/>
          <w:pgSz w:w="11910" w:h="16840"/>
          <w:pgMar w:top="1360" w:right="760" w:bottom="940" w:left="1280" w:header="0" w:footer="0" w:gutter="0"/>
          <w:cols w:space="720"/>
        </w:sectPr>
      </w:pPr>
    </w:p>
    <w:p w14:paraId="7CB25C17" w14:textId="77777777" w:rsidR="008A4099" w:rsidRDefault="008A4099">
      <w:pPr>
        <w:pStyle w:val="BodyText"/>
        <w:spacing w:before="80"/>
        <w:rPr>
          <w:sz w:val="32"/>
        </w:rPr>
      </w:pPr>
    </w:p>
    <w:p w14:paraId="7CB25C18" w14:textId="77777777" w:rsidR="008A4099" w:rsidRDefault="006A6EE2">
      <w:pPr>
        <w:pStyle w:val="Heading2"/>
        <w:ind w:left="160" w:firstLine="0"/>
      </w:pPr>
      <w:bookmarkStart w:id="0" w:name="_TOC_250060"/>
      <w:r>
        <w:t>Executive</w:t>
      </w:r>
      <w:r>
        <w:rPr>
          <w:spacing w:val="-14"/>
        </w:rPr>
        <w:t xml:space="preserve"> </w:t>
      </w:r>
      <w:bookmarkEnd w:id="0"/>
      <w:r>
        <w:rPr>
          <w:spacing w:val="-2"/>
        </w:rPr>
        <w:t>Summary</w:t>
      </w:r>
    </w:p>
    <w:p w14:paraId="7CB25C19" w14:textId="77777777" w:rsidR="008A4099" w:rsidRDefault="006A6EE2">
      <w:pPr>
        <w:pStyle w:val="BodyText"/>
        <w:spacing w:before="220"/>
        <w:ind w:left="160" w:right="673"/>
        <w:jc w:val="both"/>
      </w:pPr>
      <w:r>
        <w:t>In 2019, the Board of the Tasmania Law Reform Institute (‘TLRI’) accepted a request from members of</w:t>
      </w:r>
      <w:r>
        <w:rPr>
          <w:spacing w:val="-6"/>
        </w:rPr>
        <w:t xml:space="preserve"> </w:t>
      </w:r>
      <w:r>
        <w:t>the</w:t>
      </w:r>
      <w:r>
        <w:rPr>
          <w:spacing w:val="-7"/>
        </w:rPr>
        <w:t xml:space="preserve"> </w:t>
      </w:r>
      <w:r>
        <w:t>community</w:t>
      </w:r>
      <w:r>
        <w:rPr>
          <w:spacing w:val="-7"/>
        </w:rPr>
        <w:t xml:space="preserve"> </w:t>
      </w:r>
      <w:r>
        <w:t>to</w:t>
      </w:r>
      <w:r>
        <w:rPr>
          <w:spacing w:val="-10"/>
        </w:rPr>
        <w:t xml:space="preserve"> </w:t>
      </w:r>
      <w:r>
        <w:t>review</w:t>
      </w:r>
      <w:r>
        <w:rPr>
          <w:spacing w:val="-10"/>
        </w:rPr>
        <w:t xml:space="preserve"> </w:t>
      </w:r>
      <w:r>
        <w:t>and</w:t>
      </w:r>
      <w:r>
        <w:rPr>
          <w:spacing w:val="-7"/>
        </w:rPr>
        <w:t xml:space="preserve"> </w:t>
      </w:r>
      <w:r>
        <w:t>update</w:t>
      </w:r>
      <w:r>
        <w:rPr>
          <w:spacing w:val="-7"/>
        </w:rPr>
        <w:t xml:space="preserve"> </w:t>
      </w:r>
      <w:r>
        <w:t>its</w:t>
      </w:r>
      <w:r>
        <w:rPr>
          <w:spacing w:val="-6"/>
        </w:rPr>
        <w:t xml:space="preserve"> </w:t>
      </w:r>
      <w:r>
        <w:t>2007</w:t>
      </w:r>
      <w:r>
        <w:rPr>
          <w:spacing w:val="-7"/>
        </w:rPr>
        <w:t xml:space="preserve"> </w:t>
      </w:r>
      <w:r>
        <w:t>Final</w:t>
      </w:r>
      <w:r>
        <w:rPr>
          <w:spacing w:val="-6"/>
        </w:rPr>
        <w:t xml:space="preserve"> </w:t>
      </w:r>
      <w:r>
        <w:t>Report:</w:t>
      </w:r>
      <w:r>
        <w:rPr>
          <w:spacing w:val="-2"/>
        </w:rPr>
        <w:t xml:space="preserve"> </w:t>
      </w:r>
      <w:r>
        <w:rPr>
          <w:i/>
        </w:rPr>
        <w:t>A</w:t>
      </w:r>
      <w:r>
        <w:rPr>
          <w:i/>
          <w:spacing w:val="-8"/>
        </w:rPr>
        <w:t xml:space="preserve"> </w:t>
      </w:r>
      <w:r>
        <w:rPr>
          <w:i/>
        </w:rPr>
        <w:t>Charter</w:t>
      </w:r>
      <w:r>
        <w:rPr>
          <w:i/>
          <w:spacing w:val="-6"/>
        </w:rPr>
        <w:t xml:space="preserve"> </w:t>
      </w:r>
      <w:r>
        <w:rPr>
          <w:i/>
        </w:rPr>
        <w:t>of</w:t>
      </w:r>
      <w:r>
        <w:rPr>
          <w:i/>
          <w:spacing w:val="-6"/>
        </w:rPr>
        <w:t xml:space="preserve"> </w:t>
      </w:r>
      <w:r>
        <w:rPr>
          <w:i/>
        </w:rPr>
        <w:t>Rights</w:t>
      </w:r>
      <w:r>
        <w:rPr>
          <w:i/>
          <w:spacing w:val="-6"/>
        </w:rPr>
        <w:t xml:space="preserve"> </w:t>
      </w:r>
      <w:r>
        <w:rPr>
          <w:i/>
        </w:rPr>
        <w:t>for</w:t>
      </w:r>
      <w:r>
        <w:rPr>
          <w:i/>
          <w:spacing w:val="-6"/>
        </w:rPr>
        <w:t xml:space="preserve"> </w:t>
      </w:r>
      <w:r>
        <w:rPr>
          <w:i/>
        </w:rPr>
        <w:t>Tasmania</w:t>
      </w:r>
      <w:r>
        <w:rPr>
          <w:i/>
          <w:spacing w:val="-6"/>
        </w:rPr>
        <w:t xml:space="preserve"> </w:t>
      </w:r>
      <w:r>
        <w:t>(‘2007 Final Report’). That Report made 23 recommendations to give better effect to human rights principles in Tasmanian law, including enacting a Charter of Rights. It is noted that a Charter of Rights has not yet been adopted in Tasmania.</w:t>
      </w:r>
    </w:p>
    <w:p w14:paraId="7CB25C1A" w14:textId="77777777" w:rsidR="008A4099" w:rsidRDefault="006A6EE2">
      <w:pPr>
        <w:pStyle w:val="BodyText"/>
        <w:spacing w:before="220"/>
        <w:ind w:left="160" w:right="677"/>
        <w:jc w:val="both"/>
      </w:pPr>
      <w:r>
        <w:t>The</w:t>
      </w:r>
      <w:r>
        <w:rPr>
          <w:spacing w:val="-6"/>
        </w:rPr>
        <w:t xml:space="preserve"> </w:t>
      </w:r>
      <w:r>
        <w:t>recommendations</w:t>
      </w:r>
      <w:r>
        <w:rPr>
          <w:spacing w:val="-7"/>
        </w:rPr>
        <w:t xml:space="preserve"> </w:t>
      </w:r>
      <w:r>
        <w:t>made</w:t>
      </w:r>
      <w:r>
        <w:rPr>
          <w:spacing w:val="-5"/>
        </w:rPr>
        <w:t xml:space="preserve"> </w:t>
      </w:r>
      <w:r>
        <w:t>in</w:t>
      </w:r>
      <w:r>
        <w:rPr>
          <w:spacing w:val="-8"/>
        </w:rPr>
        <w:t xml:space="preserve"> </w:t>
      </w:r>
      <w:r>
        <w:t>the</w:t>
      </w:r>
      <w:r>
        <w:rPr>
          <w:spacing w:val="-5"/>
        </w:rPr>
        <w:t xml:space="preserve"> </w:t>
      </w:r>
      <w:r>
        <w:t>2007</w:t>
      </w:r>
      <w:r>
        <w:rPr>
          <w:spacing w:val="-6"/>
        </w:rPr>
        <w:t xml:space="preserve"> </w:t>
      </w:r>
      <w:r>
        <w:t>Final</w:t>
      </w:r>
      <w:r>
        <w:rPr>
          <w:spacing w:val="-7"/>
        </w:rPr>
        <w:t xml:space="preserve"> </w:t>
      </w:r>
      <w:r>
        <w:t>Report</w:t>
      </w:r>
      <w:r>
        <w:rPr>
          <w:spacing w:val="-7"/>
        </w:rPr>
        <w:t xml:space="preserve"> </w:t>
      </w:r>
      <w:r>
        <w:t>followed</w:t>
      </w:r>
      <w:r>
        <w:rPr>
          <w:spacing w:val="-6"/>
        </w:rPr>
        <w:t xml:space="preserve"> </w:t>
      </w:r>
      <w:r>
        <w:t>extensive</w:t>
      </w:r>
      <w:r>
        <w:rPr>
          <w:spacing w:val="-5"/>
        </w:rPr>
        <w:t xml:space="preserve"> </w:t>
      </w:r>
      <w:r>
        <w:t>community</w:t>
      </w:r>
      <w:r>
        <w:rPr>
          <w:spacing w:val="-8"/>
        </w:rPr>
        <w:t xml:space="preserve"> </w:t>
      </w:r>
      <w:r>
        <w:t>consultation.</w:t>
      </w:r>
      <w:r>
        <w:rPr>
          <w:spacing w:val="-8"/>
        </w:rPr>
        <w:t xml:space="preserve"> </w:t>
      </w:r>
      <w:r>
        <w:t>The primary</w:t>
      </w:r>
      <w:r>
        <w:rPr>
          <w:spacing w:val="-10"/>
        </w:rPr>
        <w:t xml:space="preserve"> </w:t>
      </w:r>
      <w:r>
        <w:t>recommendation</w:t>
      </w:r>
      <w:r>
        <w:rPr>
          <w:spacing w:val="-12"/>
        </w:rPr>
        <w:t xml:space="preserve"> </w:t>
      </w:r>
      <w:r>
        <w:t>made</w:t>
      </w:r>
      <w:r>
        <w:rPr>
          <w:spacing w:val="-7"/>
        </w:rPr>
        <w:t xml:space="preserve"> </w:t>
      </w:r>
      <w:r>
        <w:t>was</w:t>
      </w:r>
      <w:r>
        <w:rPr>
          <w:spacing w:val="-9"/>
        </w:rPr>
        <w:t xml:space="preserve"> </w:t>
      </w:r>
      <w:r>
        <w:t>that</w:t>
      </w:r>
      <w:r>
        <w:rPr>
          <w:spacing w:val="-9"/>
        </w:rPr>
        <w:t xml:space="preserve"> </w:t>
      </w:r>
      <w:r>
        <w:t>a</w:t>
      </w:r>
      <w:r>
        <w:rPr>
          <w:spacing w:val="-7"/>
        </w:rPr>
        <w:t xml:space="preserve"> </w:t>
      </w:r>
      <w:r>
        <w:t>Charter</w:t>
      </w:r>
      <w:r>
        <w:rPr>
          <w:spacing w:val="-8"/>
        </w:rPr>
        <w:t xml:space="preserve"> </w:t>
      </w:r>
      <w:r>
        <w:t>of</w:t>
      </w:r>
      <w:r>
        <w:rPr>
          <w:spacing w:val="-6"/>
        </w:rPr>
        <w:t xml:space="preserve"> </w:t>
      </w:r>
      <w:r>
        <w:t>Human</w:t>
      </w:r>
      <w:r>
        <w:rPr>
          <w:spacing w:val="-9"/>
        </w:rPr>
        <w:t xml:space="preserve"> </w:t>
      </w:r>
      <w:r>
        <w:t>Rights</w:t>
      </w:r>
      <w:r>
        <w:rPr>
          <w:spacing w:val="-9"/>
        </w:rPr>
        <w:t xml:space="preserve"> </w:t>
      </w:r>
      <w:r>
        <w:t>be</w:t>
      </w:r>
      <w:r>
        <w:rPr>
          <w:spacing w:val="-9"/>
        </w:rPr>
        <w:t xml:space="preserve"> </w:t>
      </w:r>
      <w:r>
        <w:t>enacted</w:t>
      </w:r>
      <w:r>
        <w:rPr>
          <w:spacing w:val="-9"/>
        </w:rPr>
        <w:t xml:space="preserve"> </w:t>
      </w:r>
      <w:r>
        <w:t>in</w:t>
      </w:r>
      <w:r>
        <w:rPr>
          <w:spacing w:val="-12"/>
        </w:rPr>
        <w:t xml:space="preserve"> </w:t>
      </w:r>
      <w:r>
        <w:t>Tasmania,</w:t>
      </w:r>
      <w:r>
        <w:rPr>
          <w:spacing w:val="-7"/>
        </w:rPr>
        <w:t xml:space="preserve"> </w:t>
      </w:r>
      <w:r>
        <w:t>protecting a comprehensive range of civil, political, economic, social, and cultural rights. The Report also made extensive recommendations about to whom the Charter should apply and how it should operate.</w:t>
      </w:r>
    </w:p>
    <w:p w14:paraId="7CB25C1B" w14:textId="77777777" w:rsidR="008A4099" w:rsidRDefault="006A6EE2">
      <w:pPr>
        <w:pStyle w:val="BodyText"/>
        <w:spacing w:before="220"/>
        <w:ind w:left="160" w:right="676"/>
        <w:jc w:val="both"/>
      </w:pPr>
      <w:r>
        <w:t>The TLRI considered that a primary purpose of a Charter was to ‘engender a human rights conscious culture</w:t>
      </w:r>
      <w:r>
        <w:rPr>
          <w:spacing w:val="-9"/>
        </w:rPr>
        <w:t xml:space="preserve"> </w:t>
      </w:r>
      <w:r>
        <w:t>within</w:t>
      </w:r>
      <w:r>
        <w:rPr>
          <w:spacing w:val="-10"/>
        </w:rPr>
        <w:t xml:space="preserve"> </w:t>
      </w:r>
      <w:r>
        <w:t>the</w:t>
      </w:r>
      <w:r>
        <w:rPr>
          <w:spacing w:val="-9"/>
        </w:rPr>
        <w:t xml:space="preserve"> </w:t>
      </w:r>
      <w:r>
        <w:t>Tasmanian</w:t>
      </w:r>
      <w:r>
        <w:rPr>
          <w:spacing w:val="-7"/>
        </w:rPr>
        <w:t xml:space="preserve"> </w:t>
      </w:r>
      <w:r>
        <w:t>community</w:t>
      </w:r>
      <w:r>
        <w:rPr>
          <w:spacing w:val="-10"/>
        </w:rPr>
        <w:t xml:space="preserve"> </w:t>
      </w:r>
      <w:r>
        <w:t>and</w:t>
      </w:r>
      <w:r>
        <w:rPr>
          <w:spacing w:val="-9"/>
        </w:rPr>
        <w:t xml:space="preserve"> </w:t>
      </w:r>
      <w:r>
        <w:t>across</w:t>
      </w:r>
      <w:r>
        <w:rPr>
          <w:spacing w:val="-9"/>
        </w:rPr>
        <w:t xml:space="preserve"> </w:t>
      </w:r>
      <w:r>
        <w:t>the</w:t>
      </w:r>
      <w:r>
        <w:rPr>
          <w:spacing w:val="-9"/>
        </w:rPr>
        <w:t xml:space="preserve"> </w:t>
      </w:r>
      <w:r>
        <w:t>three</w:t>
      </w:r>
      <w:r>
        <w:rPr>
          <w:spacing w:val="-9"/>
        </w:rPr>
        <w:t xml:space="preserve"> </w:t>
      </w:r>
      <w:r>
        <w:t>branches</w:t>
      </w:r>
      <w:r>
        <w:rPr>
          <w:spacing w:val="-9"/>
        </w:rPr>
        <w:t xml:space="preserve"> </w:t>
      </w:r>
      <w:r>
        <w:t>of</w:t>
      </w:r>
      <w:r>
        <w:rPr>
          <w:spacing w:val="-9"/>
        </w:rPr>
        <w:t xml:space="preserve"> </w:t>
      </w:r>
      <w:r>
        <w:t>government’</w:t>
      </w:r>
      <w:r>
        <w:rPr>
          <w:spacing w:val="-9"/>
        </w:rPr>
        <w:t xml:space="preserve"> </w:t>
      </w:r>
      <w:r>
        <w:t>(the</w:t>
      </w:r>
      <w:r>
        <w:rPr>
          <w:spacing w:val="-12"/>
        </w:rPr>
        <w:t xml:space="preserve"> </w:t>
      </w:r>
      <w:r>
        <w:t>legislature, the</w:t>
      </w:r>
      <w:r>
        <w:rPr>
          <w:spacing w:val="-9"/>
        </w:rPr>
        <w:t xml:space="preserve"> </w:t>
      </w:r>
      <w:r>
        <w:t>executive,</w:t>
      </w:r>
      <w:r>
        <w:rPr>
          <w:spacing w:val="-9"/>
        </w:rPr>
        <w:t xml:space="preserve"> </w:t>
      </w:r>
      <w:r>
        <w:t>and</w:t>
      </w:r>
      <w:r>
        <w:rPr>
          <w:spacing w:val="-10"/>
        </w:rPr>
        <w:t xml:space="preserve"> </w:t>
      </w:r>
      <w:r>
        <w:t>the</w:t>
      </w:r>
      <w:r>
        <w:rPr>
          <w:spacing w:val="-9"/>
        </w:rPr>
        <w:t xml:space="preserve"> </w:t>
      </w:r>
      <w:r>
        <w:t>judiciary)</w:t>
      </w:r>
      <w:r>
        <w:rPr>
          <w:spacing w:val="-9"/>
        </w:rPr>
        <w:t xml:space="preserve"> </w:t>
      </w:r>
      <w:r>
        <w:t>which</w:t>
      </w:r>
      <w:r>
        <w:rPr>
          <w:spacing w:val="-12"/>
        </w:rPr>
        <w:t xml:space="preserve"> </w:t>
      </w:r>
      <w:r>
        <w:t>meant</w:t>
      </w:r>
      <w:r>
        <w:rPr>
          <w:spacing w:val="-11"/>
        </w:rPr>
        <w:t xml:space="preserve"> </w:t>
      </w:r>
      <w:r>
        <w:t>that</w:t>
      </w:r>
      <w:r>
        <w:rPr>
          <w:spacing w:val="-8"/>
        </w:rPr>
        <w:t xml:space="preserve"> </w:t>
      </w:r>
      <w:r>
        <w:t>any</w:t>
      </w:r>
      <w:r>
        <w:rPr>
          <w:spacing w:val="-12"/>
        </w:rPr>
        <w:t xml:space="preserve"> </w:t>
      </w:r>
      <w:r>
        <w:t>Charter</w:t>
      </w:r>
      <w:r>
        <w:rPr>
          <w:spacing w:val="-11"/>
        </w:rPr>
        <w:t xml:space="preserve"> </w:t>
      </w:r>
      <w:r>
        <w:t>‘should</w:t>
      </w:r>
      <w:r>
        <w:rPr>
          <w:spacing w:val="-12"/>
        </w:rPr>
        <w:t xml:space="preserve"> </w:t>
      </w:r>
      <w:r>
        <w:t>reflect</w:t>
      </w:r>
      <w:r>
        <w:rPr>
          <w:spacing w:val="-11"/>
        </w:rPr>
        <w:t xml:space="preserve"> </w:t>
      </w:r>
      <w:r>
        <w:t>the</w:t>
      </w:r>
      <w:r>
        <w:rPr>
          <w:spacing w:val="-9"/>
        </w:rPr>
        <w:t xml:space="preserve"> </w:t>
      </w:r>
      <w:r>
        <w:t>needs,</w:t>
      </w:r>
      <w:r>
        <w:rPr>
          <w:spacing w:val="-11"/>
        </w:rPr>
        <w:t xml:space="preserve"> </w:t>
      </w:r>
      <w:r>
        <w:t>aspirations</w:t>
      </w:r>
      <w:r>
        <w:rPr>
          <w:spacing w:val="-9"/>
        </w:rPr>
        <w:t xml:space="preserve"> </w:t>
      </w:r>
      <w:r>
        <w:t>and values of</w:t>
      </w:r>
      <w:r>
        <w:rPr>
          <w:spacing w:val="-2"/>
        </w:rPr>
        <w:t xml:space="preserve"> </w:t>
      </w:r>
      <w:r>
        <w:t>the Tasmanian</w:t>
      </w:r>
      <w:r>
        <w:rPr>
          <w:spacing w:val="-2"/>
        </w:rPr>
        <w:t xml:space="preserve"> </w:t>
      </w:r>
      <w:r>
        <w:t>community’</w:t>
      </w:r>
      <w:r>
        <w:rPr>
          <w:spacing w:val="-2"/>
        </w:rPr>
        <w:t xml:space="preserve"> </w:t>
      </w:r>
      <w:r>
        <w:t>and</w:t>
      </w:r>
      <w:r>
        <w:rPr>
          <w:spacing w:val="-2"/>
        </w:rPr>
        <w:t xml:space="preserve"> </w:t>
      </w:r>
      <w:r>
        <w:t>provide Tasmanians</w:t>
      </w:r>
      <w:r>
        <w:rPr>
          <w:spacing w:val="-2"/>
        </w:rPr>
        <w:t xml:space="preserve"> </w:t>
      </w:r>
      <w:r>
        <w:t>with</w:t>
      </w:r>
      <w:r>
        <w:rPr>
          <w:spacing w:val="-2"/>
        </w:rPr>
        <w:t xml:space="preserve"> </w:t>
      </w:r>
      <w:r>
        <w:t>‘legal</w:t>
      </w:r>
      <w:r>
        <w:rPr>
          <w:spacing w:val="-1"/>
        </w:rPr>
        <w:t xml:space="preserve"> </w:t>
      </w:r>
      <w:r>
        <w:t>guarantees</w:t>
      </w:r>
      <w:r>
        <w:rPr>
          <w:spacing w:val="-2"/>
        </w:rPr>
        <w:t xml:space="preserve"> </w:t>
      </w:r>
      <w:r>
        <w:t>for</w:t>
      </w:r>
      <w:r>
        <w:rPr>
          <w:spacing w:val="-2"/>
        </w:rPr>
        <w:t xml:space="preserve"> </w:t>
      </w:r>
      <w:r>
        <w:t>rights</w:t>
      </w:r>
      <w:r>
        <w:rPr>
          <w:spacing w:val="-2"/>
        </w:rPr>
        <w:t xml:space="preserve"> </w:t>
      </w:r>
      <w:r>
        <w:t>… in a comprehensive and easily accessible format’.</w:t>
      </w:r>
    </w:p>
    <w:p w14:paraId="7CB25C1C" w14:textId="77777777" w:rsidR="008A4099" w:rsidRDefault="006A6EE2">
      <w:pPr>
        <w:pStyle w:val="BodyText"/>
        <w:spacing w:before="223"/>
        <w:ind w:left="160"/>
        <w:jc w:val="both"/>
      </w:pPr>
      <w:r>
        <w:t>Key</w:t>
      </w:r>
      <w:r>
        <w:rPr>
          <w:spacing w:val="-4"/>
        </w:rPr>
        <w:t xml:space="preserve"> </w:t>
      </w:r>
      <w:r>
        <w:t>amongst</w:t>
      </w:r>
      <w:r>
        <w:rPr>
          <w:spacing w:val="-2"/>
        </w:rPr>
        <w:t xml:space="preserve"> </w:t>
      </w:r>
      <w:r>
        <w:t>the</w:t>
      </w:r>
      <w:r>
        <w:rPr>
          <w:spacing w:val="-3"/>
        </w:rPr>
        <w:t xml:space="preserve"> </w:t>
      </w:r>
      <w:r>
        <w:t>TLRI’s</w:t>
      </w:r>
      <w:r>
        <w:rPr>
          <w:spacing w:val="-5"/>
        </w:rPr>
        <w:t xml:space="preserve"> </w:t>
      </w:r>
      <w:r>
        <w:t>recommendations</w:t>
      </w:r>
      <w:r>
        <w:rPr>
          <w:spacing w:val="-4"/>
        </w:rPr>
        <w:t xml:space="preserve"> </w:t>
      </w:r>
      <w:r>
        <w:t>in</w:t>
      </w:r>
      <w:r>
        <w:rPr>
          <w:spacing w:val="-6"/>
        </w:rPr>
        <w:t xml:space="preserve"> </w:t>
      </w:r>
      <w:r>
        <w:t>the</w:t>
      </w:r>
      <w:r>
        <w:rPr>
          <w:spacing w:val="-5"/>
        </w:rPr>
        <w:t xml:space="preserve"> </w:t>
      </w:r>
      <w:r>
        <w:t>2007</w:t>
      </w:r>
      <w:r>
        <w:rPr>
          <w:spacing w:val="-6"/>
        </w:rPr>
        <w:t xml:space="preserve"> </w:t>
      </w:r>
      <w:r>
        <w:t>Final</w:t>
      </w:r>
      <w:r>
        <w:rPr>
          <w:spacing w:val="-2"/>
        </w:rPr>
        <w:t xml:space="preserve"> </w:t>
      </w:r>
      <w:r>
        <w:t>Report</w:t>
      </w:r>
      <w:r>
        <w:rPr>
          <w:spacing w:val="-2"/>
        </w:rPr>
        <w:t xml:space="preserve"> were:</w:t>
      </w:r>
    </w:p>
    <w:p w14:paraId="7CB25C1D" w14:textId="77777777" w:rsidR="008A4099" w:rsidRDefault="006A6EE2">
      <w:pPr>
        <w:pStyle w:val="ListParagraph"/>
        <w:numPr>
          <w:ilvl w:val="0"/>
          <w:numId w:val="12"/>
        </w:numPr>
        <w:tabs>
          <w:tab w:val="left" w:pos="872"/>
        </w:tabs>
        <w:spacing w:before="219"/>
        <w:ind w:left="872" w:hanging="354"/>
      </w:pPr>
      <w:r>
        <w:t>That</w:t>
      </w:r>
      <w:r>
        <w:rPr>
          <w:spacing w:val="-14"/>
        </w:rPr>
        <w:t xml:space="preserve"> </w:t>
      </w:r>
      <w:r>
        <w:t>a</w:t>
      </w:r>
      <w:r>
        <w:rPr>
          <w:spacing w:val="-10"/>
        </w:rPr>
        <w:t xml:space="preserve"> </w:t>
      </w:r>
      <w:r>
        <w:t>Charter</w:t>
      </w:r>
      <w:r>
        <w:rPr>
          <w:spacing w:val="-10"/>
        </w:rPr>
        <w:t xml:space="preserve"> </w:t>
      </w:r>
      <w:r>
        <w:t>of</w:t>
      </w:r>
      <w:r>
        <w:rPr>
          <w:spacing w:val="-10"/>
        </w:rPr>
        <w:t xml:space="preserve"> </w:t>
      </w:r>
      <w:r>
        <w:t>Human</w:t>
      </w:r>
      <w:r>
        <w:rPr>
          <w:spacing w:val="-13"/>
        </w:rPr>
        <w:t xml:space="preserve"> </w:t>
      </w:r>
      <w:r>
        <w:t>Rights</w:t>
      </w:r>
      <w:r>
        <w:rPr>
          <w:spacing w:val="-13"/>
        </w:rPr>
        <w:t xml:space="preserve"> </w:t>
      </w:r>
      <w:r>
        <w:t>and</w:t>
      </w:r>
      <w:r>
        <w:rPr>
          <w:spacing w:val="-13"/>
        </w:rPr>
        <w:t xml:space="preserve"> </w:t>
      </w:r>
      <w:r>
        <w:t>Responsibilities</w:t>
      </w:r>
      <w:r>
        <w:rPr>
          <w:spacing w:val="-12"/>
        </w:rPr>
        <w:t xml:space="preserve"> </w:t>
      </w:r>
      <w:r>
        <w:t>be</w:t>
      </w:r>
      <w:r>
        <w:rPr>
          <w:spacing w:val="-12"/>
        </w:rPr>
        <w:t xml:space="preserve"> </w:t>
      </w:r>
      <w:r>
        <w:t>enacted</w:t>
      </w:r>
      <w:r>
        <w:rPr>
          <w:spacing w:val="-13"/>
        </w:rPr>
        <w:t xml:space="preserve"> </w:t>
      </w:r>
      <w:r>
        <w:t>in</w:t>
      </w:r>
      <w:r>
        <w:rPr>
          <w:spacing w:val="-13"/>
        </w:rPr>
        <w:t xml:space="preserve"> </w:t>
      </w:r>
      <w:r>
        <w:t>Tasmania</w:t>
      </w:r>
      <w:r>
        <w:rPr>
          <w:spacing w:val="-13"/>
        </w:rPr>
        <w:t xml:space="preserve"> </w:t>
      </w:r>
      <w:r>
        <w:t>and</w:t>
      </w:r>
      <w:r>
        <w:rPr>
          <w:spacing w:val="-13"/>
        </w:rPr>
        <w:t xml:space="preserve"> </w:t>
      </w:r>
      <w:r>
        <w:t>that</w:t>
      </w:r>
      <w:r>
        <w:rPr>
          <w:spacing w:val="-12"/>
        </w:rPr>
        <w:t xml:space="preserve"> </w:t>
      </w:r>
      <w:r>
        <w:t>it</w:t>
      </w:r>
      <w:r>
        <w:rPr>
          <w:spacing w:val="-11"/>
        </w:rPr>
        <w:t xml:space="preserve"> </w:t>
      </w:r>
      <w:r>
        <w:rPr>
          <w:spacing w:val="-2"/>
        </w:rPr>
        <w:t>should:</w:t>
      </w:r>
    </w:p>
    <w:p w14:paraId="7CB25C1E" w14:textId="77777777" w:rsidR="008A4099" w:rsidRDefault="006A6EE2">
      <w:pPr>
        <w:pStyle w:val="ListParagraph"/>
        <w:numPr>
          <w:ilvl w:val="1"/>
          <w:numId w:val="12"/>
        </w:numPr>
        <w:tabs>
          <w:tab w:val="left" w:pos="1600"/>
        </w:tabs>
        <w:spacing w:before="122" w:line="235" w:lineRule="auto"/>
        <w:ind w:right="676"/>
      </w:pPr>
      <w:r>
        <w:t xml:space="preserve">be based on the dialogue model operating in the Australian Capital Territory (ACT) under the </w:t>
      </w:r>
      <w:r>
        <w:rPr>
          <w:i/>
        </w:rPr>
        <w:t xml:space="preserve">Human Rights Act 2004 </w:t>
      </w:r>
      <w:r>
        <w:t xml:space="preserve">(ACT), in Victoria under the </w:t>
      </w:r>
      <w:r>
        <w:rPr>
          <w:i/>
        </w:rPr>
        <w:t xml:space="preserve">Charter of Human Rights and Responsibilities 2006 </w:t>
      </w:r>
      <w:r>
        <w:t xml:space="preserve">(Vic), and in the United Kingdom pursuant to the </w:t>
      </w:r>
      <w:r>
        <w:rPr>
          <w:i/>
        </w:rPr>
        <w:t xml:space="preserve">Human Rights Act 1998 </w:t>
      </w:r>
      <w:r>
        <w:t>(UK), which preserves the sovereignty of Parliament in relation to law making;</w:t>
      </w:r>
    </w:p>
    <w:p w14:paraId="7CB25C1F" w14:textId="77777777" w:rsidR="008A4099" w:rsidRDefault="006A6EE2">
      <w:pPr>
        <w:pStyle w:val="ListParagraph"/>
        <w:numPr>
          <w:ilvl w:val="1"/>
          <w:numId w:val="12"/>
        </w:numPr>
        <w:tabs>
          <w:tab w:val="left" w:pos="1600"/>
        </w:tabs>
        <w:spacing w:before="128" w:line="232" w:lineRule="auto"/>
        <w:ind w:right="680"/>
      </w:pPr>
      <w:r>
        <w:t>require</w:t>
      </w:r>
      <w:r>
        <w:rPr>
          <w:spacing w:val="-5"/>
        </w:rPr>
        <w:t xml:space="preserve"> </w:t>
      </w:r>
      <w:r>
        <w:t>effective</w:t>
      </w:r>
      <w:r>
        <w:rPr>
          <w:spacing w:val="-5"/>
        </w:rPr>
        <w:t xml:space="preserve"> </w:t>
      </w:r>
      <w:r>
        <w:t>scrutiny</w:t>
      </w:r>
      <w:r>
        <w:rPr>
          <w:spacing w:val="-5"/>
        </w:rPr>
        <w:t xml:space="preserve"> </w:t>
      </w:r>
      <w:r>
        <w:t>of</w:t>
      </w:r>
      <w:r>
        <w:rPr>
          <w:spacing w:val="-6"/>
        </w:rPr>
        <w:t xml:space="preserve"> </w:t>
      </w:r>
      <w:r>
        <w:t>the</w:t>
      </w:r>
      <w:r>
        <w:rPr>
          <w:spacing w:val="-5"/>
        </w:rPr>
        <w:t xml:space="preserve"> </w:t>
      </w:r>
      <w:r>
        <w:t>human</w:t>
      </w:r>
      <w:r>
        <w:rPr>
          <w:spacing w:val="-5"/>
        </w:rPr>
        <w:t xml:space="preserve"> </w:t>
      </w:r>
      <w:r>
        <w:t>rights</w:t>
      </w:r>
      <w:r>
        <w:rPr>
          <w:spacing w:val="-5"/>
        </w:rPr>
        <w:t xml:space="preserve"> </w:t>
      </w:r>
      <w:r>
        <w:t>implications</w:t>
      </w:r>
      <w:r>
        <w:rPr>
          <w:spacing w:val="-5"/>
        </w:rPr>
        <w:t xml:space="preserve"> </w:t>
      </w:r>
      <w:r>
        <w:t>of</w:t>
      </w:r>
      <w:r>
        <w:rPr>
          <w:spacing w:val="-5"/>
        </w:rPr>
        <w:t xml:space="preserve"> </w:t>
      </w:r>
      <w:r>
        <w:t>all</w:t>
      </w:r>
      <w:r>
        <w:rPr>
          <w:spacing w:val="-5"/>
        </w:rPr>
        <w:t xml:space="preserve"> </w:t>
      </w:r>
      <w:r>
        <w:t>legislation</w:t>
      </w:r>
      <w:r>
        <w:rPr>
          <w:spacing w:val="-5"/>
        </w:rPr>
        <w:t xml:space="preserve"> </w:t>
      </w:r>
      <w:r>
        <w:t>before</w:t>
      </w:r>
      <w:r>
        <w:rPr>
          <w:spacing w:val="-5"/>
        </w:rPr>
        <w:t xml:space="preserve"> </w:t>
      </w:r>
      <w:r>
        <w:t>it</w:t>
      </w:r>
      <w:r>
        <w:rPr>
          <w:spacing w:val="-5"/>
        </w:rPr>
        <w:t xml:space="preserve"> </w:t>
      </w:r>
      <w:r>
        <w:t>is enacted and require laws that are enacted to be interpreted as far as possible in a way that is compatible with human rights;</w:t>
      </w:r>
    </w:p>
    <w:p w14:paraId="7CB25C20" w14:textId="77777777" w:rsidR="008A4099" w:rsidRDefault="006A6EE2">
      <w:pPr>
        <w:pStyle w:val="ListParagraph"/>
        <w:numPr>
          <w:ilvl w:val="1"/>
          <w:numId w:val="12"/>
        </w:numPr>
        <w:tabs>
          <w:tab w:val="left" w:pos="1600"/>
        </w:tabs>
        <w:spacing w:before="130" w:line="225" w:lineRule="auto"/>
        <w:ind w:right="675"/>
      </w:pPr>
      <w:r>
        <w:t>require public authorities, defined broadly to include government-funded entities providing</w:t>
      </w:r>
      <w:r>
        <w:rPr>
          <w:spacing w:val="-3"/>
        </w:rPr>
        <w:t xml:space="preserve"> </w:t>
      </w:r>
      <w:r>
        <w:t>public</w:t>
      </w:r>
      <w:r>
        <w:rPr>
          <w:spacing w:val="-3"/>
        </w:rPr>
        <w:t xml:space="preserve"> </w:t>
      </w:r>
      <w:r>
        <w:t>services,</w:t>
      </w:r>
      <w:r>
        <w:rPr>
          <w:spacing w:val="-3"/>
        </w:rPr>
        <w:t xml:space="preserve"> </w:t>
      </w:r>
      <w:r>
        <w:t>to</w:t>
      </w:r>
      <w:r>
        <w:rPr>
          <w:spacing w:val="-3"/>
        </w:rPr>
        <w:t xml:space="preserve"> </w:t>
      </w:r>
      <w:r>
        <w:t>act</w:t>
      </w:r>
      <w:r>
        <w:rPr>
          <w:spacing w:val="-5"/>
        </w:rPr>
        <w:t xml:space="preserve"> </w:t>
      </w:r>
      <w:r>
        <w:t>consistently</w:t>
      </w:r>
      <w:r>
        <w:rPr>
          <w:spacing w:val="-3"/>
        </w:rPr>
        <w:t xml:space="preserve"> </w:t>
      </w:r>
      <w:r>
        <w:t>with</w:t>
      </w:r>
      <w:r>
        <w:rPr>
          <w:spacing w:val="-6"/>
        </w:rPr>
        <w:t xml:space="preserve"> </w:t>
      </w:r>
      <w:r>
        <w:t>the</w:t>
      </w:r>
      <w:r>
        <w:rPr>
          <w:spacing w:val="-5"/>
        </w:rPr>
        <w:t xml:space="preserve"> </w:t>
      </w:r>
      <w:r>
        <w:t>Charter</w:t>
      </w:r>
      <w:r>
        <w:rPr>
          <w:spacing w:val="-2"/>
        </w:rPr>
        <w:t xml:space="preserve"> </w:t>
      </w:r>
      <w:r>
        <w:t>when</w:t>
      </w:r>
      <w:r>
        <w:rPr>
          <w:spacing w:val="-5"/>
        </w:rPr>
        <w:t xml:space="preserve"> </w:t>
      </w:r>
      <w:r>
        <w:t>making</w:t>
      </w:r>
      <w:r>
        <w:rPr>
          <w:spacing w:val="-3"/>
        </w:rPr>
        <w:t xml:space="preserve"> </w:t>
      </w:r>
      <w:r>
        <w:t>decisions;</w:t>
      </w:r>
    </w:p>
    <w:p w14:paraId="7CB25C21" w14:textId="77777777" w:rsidR="008A4099" w:rsidRDefault="006A6EE2">
      <w:pPr>
        <w:pStyle w:val="ListParagraph"/>
        <w:numPr>
          <w:ilvl w:val="1"/>
          <w:numId w:val="12"/>
        </w:numPr>
        <w:tabs>
          <w:tab w:val="left" w:pos="1600"/>
        </w:tabs>
        <w:spacing w:before="123" w:line="237" w:lineRule="auto"/>
        <w:ind w:right="681"/>
      </w:pPr>
      <w:r>
        <w:t>allow the Tasmanian Supreme Court to declare legislation and regulations to be incompatible with human rights protected by the Charter. For legislation, the TLRI recommended that the declaration be referred to Parliament for consideration and response within seven months and, if no action is taken, for the legislation to become inoperative. For subordinate legislation, the TLRI recommended that the Court be empowered to invalidate an incompatible instrument with immediate effect.</w:t>
      </w:r>
    </w:p>
    <w:p w14:paraId="7CB25C22" w14:textId="77777777" w:rsidR="008A4099" w:rsidRDefault="006A6EE2">
      <w:pPr>
        <w:pStyle w:val="ListParagraph"/>
        <w:numPr>
          <w:ilvl w:val="1"/>
          <w:numId w:val="12"/>
        </w:numPr>
        <w:tabs>
          <w:tab w:val="left" w:pos="1600"/>
        </w:tabs>
        <w:spacing w:before="123" w:line="228" w:lineRule="auto"/>
        <w:ind w:right="683"/>
      </w:pPr>
      <w:r>
        <w:t>require courts to interpret all Tasmanian laws (statute and common law), as far as possible, in a manner that complies with human rights;</w:t>
      </w:r>
    </w:p>
    <w:p w14:paraId="7CB25C23" w14:textId="77777777" w:rsidR="008A4099" w:rsidRDefault="006A6EE2">
      <w:pPr>
        <w:pStyle w:val="ListParagraph"/>
        <w:numPr>
          <w:ilvl w:val="1"/>
          <w:numId w:val="12"/>
        </w:numPr>
        <w:tabs>
          <w:tab w:val="left" w:pos="1600"/>
        </w:tabs>
        <w:spacing w:before="124" w:line="232" w:lineRule="auto"/>
        <w:ind w:right="680"/>
      </w:pPr>
      <w:r>
        <w:t>allow parliament to enact ‘override declarations’, in exceptional circumstances and subject</w:t>
      </w:r>
      <w:r>
        <w:rPr>
          <w:spacing w:val="-11"/>
        </w:rPr>
        <w:t xml:space="preserve"> </w:t>
      </w:r>
      <w:r>
        <w:t>to</w:t>
      </w:r>
      <w:r>
        <w:rPr>
          <w:spacing w:val="-10"/>
        </w:rPr>
        <w:t xml:space="preserve"> </w:t>
      </w:r>
      <w:r>
        <w:t>periodic</w:t>
      </w:r>
      <w:r>
        <w:rPr>
          <w:spacing w:val="-9"/>
        </w:rPr>
        <w:t xml:space="preserve"> </w:t>
      </w:r>
      <w:r>
        <w:t>review,</w:t>
      </w:r>
      <w:r>
        <w:rPr>
          <w:spacing w:val="-12"/>
        </w:rPr>
        <w:t xml:space="preserve"> </w:t>
      </w:r>
      <w:r>
        <w:t>allowing</w:t>
      </w:r>
      <w:r>
        <w:rPr>
          <w:spacing w:val="-12"/>
        </w:rPr>
        <w:t xml:space="preserve"> </w:t>
      </w:r>
      <w:r>
        <w:t>legislation</w:t>
      </w:r>
      <w:r>
        <w:rPr>
          <w:spacing w:val="-12"/>
        </w:rPr>
        <w:t xml:space="preserve"> </w:t>
      </w:r>
      <w:r>
        <w:t>to</w:t>
      </w:r>
      <w:r>
        <w:rPr>
          <w:spacing w:val="-10"/>
        </w:rPr>
        <w:t xml:space="preserve"> </w:t>
      </w:r>
      <w:r>
        <w:t>operate</w:t>
      </w:r>
      <w:r>
        <w:rPr>
          <w:spacing w:val="-9"/>
        </w:rPr>
        <w:t xml:space="preserve"> </w:t>
      </w:r>
      <w:r>
        <w:t>despite</w:t>
      </w:r>
      <w:r>
        <w:rPr>
          <w:spacing w:val="-12"/>
        </w:rPr>
        <w:t xml:space="preserve"> </w:t>
      </w:r>
      <w:r>
        <w:t>an</w:t>
      </w:r>
      <w:r>
        <w:rPr>
          <w:spacing w:val="-9"/>
        </w:rPr>
        <w:t xml:space="preserve"> </w:t>
      </w:r>
      <w:r>
        <w:t>acknowledgement that it will restrict rights protected by the Charter;</w:t>
      </w:r>
    </w:p>
    <w:p w14:paraId="7CB25C24" w14:textId="77777777" w:rsidR="008A4099" w:rsidRDefault="006A6EE2">
      <w:pPr>
        <w:pStyle w:val="ListParagraph"/>
        <w:numPr>
          <w:ilvl w:val="1"/>
          <w:numId w:val="12"/>
        </w:numPr>
        <w:tabs>
          <w:tab w:val="left" w:pos="1600"/>
        </w:tabs>
        <w:spacing w:before="122" w:line="235" w:lineRule="auto"/>
        <w:ind w:right="678"/>
      </w:pPr>
      <w:r>
        <w:t>provide</w:t>
      </w:r>
      <w:r>
        <w:rPr>
          <w:spacing w:val="-14"/>
        </w:rPr>
        <w:t xml:space="preserve"> </w:t>
      </w:r>
      <w:r>
        <w:t>standing</w:t>
      </w:r>
      <w:r>
        <w:rPr>
          <w:spacing w:val="-13"/>
        </w:rPr>
        <w:t xml:space="preserve"> </w:t>
      </w:r>
      <w:r>
        <w:t>for</w:t>
      </w:r>
      <w:r>
        <w:rPr>
          <w:spacing w:val="-13"/>
        </w:rPr>
        <w:t xml:space="preserve"> </w:t>
      </w:r>
      <w:r>
        <w:t>any</w:t>
      </w:r>
      <w:r>
        <w:rPr>
          <w:spacing w:val="-14"/>
        </w:rPr>
        <w:t xml:space="preserve"> </w:t>
      </w:r>
      <w:r>
        <w:t>person</w:t>
      </w:r>
      <w:r>
        <w:rPr>
          <w:spacing w:val="-11"/>
        </w:rPr>
        <w:t xml:space="preserve"> </w:t>
      </w:r>
      <w:r>
        <w:t>affected,</w:t>
      </w:r>
      <w:r>
        <w:rPr>
          <w:spacing w:val="-12"/>
        </w:rPr>
        <w:t xml:space="preserve"> </w:t>
      </w:r>
      <w:r>
        <w:t>or</w:t>
      </w:r>
      <w:r>
        <w:rPr>
          <w:spacing w:val="-14"/>
        </w:rPr>
        <w:t xml:space="preserve"> </w:t>
      </w:r>
      <w:r>
        <w:t>likely</w:t>
      </w:r>
      <w:r>
        <w:rPr>
          <w:spacing w:val="-12"/>
        </w:rPr>
        <w:t xml:space="preserve"> </w:t>
      </w:r>
      <w:r>
        <w:t>to</w:t>
      </w:r>
      <w:r>
        <w:rPr>
          <w:spacing w:val="-12"/>
        </w:rPr>
        <w:t xml:space="preserve"> </w:t>
      </w:r>
      <w:r>
        <w:t>be</w:t>
      </w:r>
      <w:r>
        <w:rPr>
          <w:spacing w:val="-14"/>
        </w:rPr>
        <w:t xml:space="preserve"> </w:t>
      </w:r>
      <w:r>
        <w:t>affected,</w:t>
      </w:r>
      <w:r>
        <w:rPr>
          <w:spacing w:val="-12"/>
        </w:rPr>
        <w:t xml:space="preserve"> </w:t>
      </w:r>
      <w:r>
        <w:t>by</w:t>
      </w:r>
      <w:r>
        <w:rPr>
          <w:spacing w:val="-12"/>
        </w:rPr>
        <w:t xml:space="preserve"> </w:t>
      </w:r>
      <w:r>
        <w:t>a</w:t>
      </w:r>
      <w:r>
        <w:rPr>
          <w:spacing w:val="-14"/>
        </w:rPr>
        <w:t xml:space="preserve"> </w:t>
      </w:r>
      <w:r>
        <w:t>breach</w:t>
      </w:r>
      <w:r>
        <w:rPr>
          <w:spacing w:val="-14"/>
        </w:rPr>
        <w:t xml:space="preserve"> </w:t>
      </w:r>
      <w:r>
        <w:t>of</w:t>
      </w:r>
      <w:r>
        <w:rPr>
          <w:spacing w:val="-12"/>
        </w:rPr>
        <w:t xml:space="preserve"> </w:t>
      </w:r>
      <w:r>
        <w:t>Charter rights</w:t>
      </w:r>
      <w:r>
        <w:rPr>
          <w:spacing w:val="-14"/>
        </w:rPr>
        <w:t xml:space="preserve"> </w:t>
      </w:r>
      <w:r>
        <w:t>by</w:t>
      </w:r>
      <w:r>
        <w:rPr>
          <w:spacing w:val="-14"/>
        </w:rPr>
        <w:t xml:space="preserve"> </w:t>
      </w:r>
      <w:r>
        <w:t>a</w:t>
      </w:r>
      <w:r>
        <w:rPr>
          <w:spacing w:val="-14"/>
        </w:rPr>
        <w:t xml:space="preserve"> </w:t>
      </w:r>
      <w:r>
        <w:t>public</w:t>
      </w:r>
      <w:r>
        <w:rPr>
          <w:spacing w:val="-13"/>
        </w:rPr>
        <w:t xml:space="preserve"> </w:t>
      </w:r>
      <w:r>
        <w:t>authority</w:t>
      </w:r>
      <w:r>
        <w:rPr>
          <w:spacing w:val="-14"/>
        </w:rPr>
        <w:t xml:space="preserve"> </w:t>
      </w:r>
      <w:r>
        <w:t>to</w:t>
      </w:r>
      <w:r>
        <w:rPr>
          <w:spacing w:val="-14"/>
        </w:rPr>
        <w:t xml:space="preserve"> </w:t>
      </w:r>
      <w:r>
        <w:t>bring</w:t>
      </w:r>
      <w:r>
        <w:rPr>
          <w:spacing w:val="-14"/>
        </w:rPr>
        <w:t xml:space="preserve"> </w:t>
      </w:r>
      <w:r>
        <w:t>proceedings</w:t>
      </w:r>
      <w:r>
        <w:rPr>
          <w:spacing w:val="-13"/>
        </w:rPr>
        <w:t xml:space="preserve"> </w:t>
      </w:r>
      <w:r>
        <w:t>against</w:t>
      </w:r>
      <w:r>
        <w:rPr>
          <w:spacing w:val="-14"/>
        </w:rPr>
        <w:t xml:space="preserve"> </w:t>
      </w:r>
      <w:r>
        <w:t>that</w:t>
      </w:r>
      <w:r>
        <w:rPr>
          <w:spacing w:val="-13"/>
        </w:rPr>
        <w:t xml:space="preserve"> </w:t>
      </w:r>
      <w:r>
        <w:t>authority</w:t>
      </w:r>
      <w:r>
        <w:rPr>
          <w:spacing w:val="-14"/>
        </w:rPr>
        <w:t xml:space="preserve"> </w:t>
      </w:r>
      <w:r>
        <w:t>in</w:t>
      </w:r>
      <w:r>
        <w:rPr>
          <w:spacing w:val="-13"/>
        </w:rPr>
        <w:t xml:space="preserve"> </w:t>
      </w:r>
      <w:r>
        <w:t>the</w:t>
      </w:r>
      <w:r>
        <w:rPr>
          <w:spacing w:val="-14"/>
        </w:rPr>
        <w:t xml:space="preserve"> </w:t>
      </w:r>
      <w:r>
        <w:t>Tasmanian Supreme Court, and allow the Court to make orders for any remedy it considers just and appropriate, including an award of damages; and</w:t>
      </w:r>
    </w:p>
    <w:p w14:paraId="7CB25C25" w14:textId="77777777" w:rsidR="008A4099" w:rsidRDefault="006A6EE2">
      <w:pPr>
        <w:pStyle w:val="ListParagraph"/>
        <w:numPr>
          <w:ilvl w:val="1"/>
          <w:numId w:val="12"/>
        </w:numPr>
        <w:tabs>
          <w:tab w:val="left" w:pos="1600"/>
        </w:tabs>
        <w:spacing w:before="130" w:line="225" w:lineRule="auto"/>
        <w:ind w:right="678"/>
      </w:pPr>
      <w:r>
        <w:t>establish</w:t>
      </w:r>
      <w:r>
        <w:rPr>
          <w:spacing w:val="-14"/>
        </w:rPr>
        <w:t xml:space="preserve"> </w:t>
      </w:r>
      <w:r>
        <w:t>an</w:t>
      </w:r>
      <w:r>
        <w:rPr>
          <w:spacing w:val="-14"/>
        </w:rPr>
        <w:t xml:space="preserve"> </w:t>
      </w:r>
      <w:r>
        <w:t>independent</w:t>
      </w:r>
      <w:r>
        <w:rPr>
          <w:spacing w:val="-14"/>
        </w:rPr>
        <w:t xml:space="preserve"> </w:t>
      </w:r>
      <w:r>
        <w:t>Tasmanian</w:t>
      </w:r>
      <w:r>
        <w:rPr>
          <w:spacing w:val="-13"/>
        </w:rPr>
        <w:t xml:space="preserve"> </w:t>
      </w:r>
      <w:r>
        <w:t>Human</w:t>
      </w:r>
      <w:r>
        <w:rPr>
          <w:spacing w:val="-14"/>
        </w:rPr>
        <w:t xml:space="preserve"> </w:t>
      </w:r>
      <w:r>
        <w:t>Rights</w:t>
      </w:r>
      <w:r>
        <w:rPr>
          <w:spacing w:val="-14"/>
        </w:rPr>
        <w:t xml:space="preserve"> </w:t>
      </w:r>
      <w:r>
        <w:t>Commissioner</w:t>
      </w:r>
      <w:r>
        <w:rPr>
          <w:spacing w:val="-14"/>
        </w:rPr>
        <w:t xml:space="preserve"> </w:t>
      </w:r>
      <w:r>
        <w:t>and</w:t>
      </w:r>
      <w:r>
        <w:rPr>
          <w:spacing w:val="-13"/>
        </w:rPr>
        <w:t xml:space="preserve"> </w:t>
      </w:r>
      <w:r>
        <w:t>a</w:t>
      </w:r>
      <w:r>
        <w:rPr>
          <w:spacing w:val="-14"/>
        </w:rPr>
        <w:t xml:space="preserve"> </w:t>
      </w:r>
      <w:r>
        <w:t>Human</w:t>
      </w:r>
      <w:r>
        <w:rPr>
          <w:spacing w:val="-14"/>
        </w:rPr>
        <w:t xml:space="preserve"> </w:t>
      </w:r>
      <w:r>
        <w:t>Rights Unit within the Department of Justice to provide advice across government.</w:t>
      </w:r>
    </w:p>
    <w:p w14:paraId="7CB25C26" w14:textId="77777777" w:rsidR="008A4099" w:rsidRDefault="008A4099">
      <w:pPr>
        <w:spacing w:line="225" w:lineRule="auto"/>
        <w:jc w:val="both"/>
        <w:sectPr w:rsidR="008A4099" w:rsidSect="00D43B2D">
          <w:headerReference w:type="even" r:id="rId37"/>
          <w:headerReference w:type="default" r:id="rId38"/>
          <w:footerReference w:type="even" r:id="rId39"/>
          <w:footerReference w:type="default" r:id="rId40"/>
          <w:pgSz w:w="11910" w:h="16840"/>
          <w:pgMar w:top="980" w:right="760" w:bottom="940" w:left="1280" w:header="718" w:footer="753" w:gutter="0"/>
          <w:pgNumType w:start="15"/>
          <w:cols w:space="720"/>
        </w:sectPr>
      </w:pPr>
    </w:p>
    <w:p w14:paraId="7CB25C27" w14:textId="77777777" w:rsidR="008A4099" w:rsidRDefault="008A4099">
      <w:pPr>
        <w:pStyle w:val="BodyText"/>
        <w:spacing w:before="196"/>
      </w:pPr>
    </w:p>
    <w:p w14:paraId="7CB25C28" w14:textId="77777777" w:rsidR="008A4099" w:rsidRDefault="006A6EE2">
      <w:pPr>
        <w:pStyle w:val="BodyText"/>
        <w:spacing w:before="1"/>
        <w:ind w:left="160"/>
        <w:jc w:val="both"/>
      </w:pPr>
      <w:r>
        <w:t>In</w:t>
      </w:r>
      <w:r>
        <w:rPr>
          <w:spacing w:val="-5"/>
        </w:rPr>
        <w:t xml:space="preserve"> </w:t>
      </w:r>
      <w:r>
        <w:t>updating</w:t>
      </w:r>
      <w:r>
        <w:rPr>
          <w:spacing w:val="-3"/>
        </w:rPr>
        <w:t xml:space="preserve"> </w:t>
      </w:r>
      <w:r>
        <w:t>and</w:t>
      </w:r>
      <w:r>
        <w:rPr>
          <w:spacing w:val="-3"/>
        </w:rPr>
        <w:t xml:space="preserve"> </w:t>
      </w:r>
      <w:r>
        <w:t>reviewing</w:t>
      </w:r>
      <w:r>
        <w:rPr>
          <w:spacing w:val="-6"/>
        </w:rPr>
        <w:t xml:space="preserve"> </w:t>
      </w:r>
      <w:r>
        <w:t>the</w:t>
      </w:r>
      <w:r>
        <w:rPr>
          <w:spacing w:val="-3"/>
        </w:rPr>
        <w:t xml:space="preserve"> </w:t>
      </w:r>
      <w:r>
        <w:t>2007</w:t>
      </w:r>
      <w:r>
        <w:rPr>
          <w:spacing w:val="-2"/>
        </w:rPr>
        <w:t xml:space="preserve"> </w:t>
      </w:r>
      <w:r>
        <w:t>Final</w:t>
      </w:r>
      <w:r>
        <w:rPr>
          <w:spacing w:val="-2"/>
        </w:rPr>
        <w:t xml:space="preserve"> </w:t>
      </w:r>
      <w:r>
        <w:t>report,</w:t>
      </w:r>
      <w:r>
        <w:rPr>
          <w:spacing w:val="-6"/>
        </w:rPr>
        <w:t xml:space="preserve"> </w:t>
      </w:r>
      <w:r>
        <w:t>the</w:t>
      </w:r>
      <w:r>
        <w:rPr>
          <w:spacing w:val="-5"/>
        </w:rPr>
        <w:t xml:space="preserve"> </w:t>
      </w:r>
      <w:r>
        <w:t>research</w:t>
      </w:r>
      <w:r>
        <w:rPr>
          <w:spacing w:val="-2"/>
        </w:rPr>
        <w:t xml:space="preserve"> </w:t>
      </w:r>
      <w:r>
        <w:t>questions</w:t>
      </w:r>
      <w:r>
        <w:rPr>
          <w:spacing w:val="-3"/>
        </w:rPr>
        <w:t xml:space="preserve"> </w:t>
      </w:r>
      <w:r>
        <w:t>set</w:t>
      </w:r>
      <w:r>
        <w:rPr>
          <w:spacing w:val="-2"/>
        </w:rPr>
        <w:t xml:space="preserve"> </w:t>
      </w:r>
      <w:r>
        <w:t>for</w:t>
      </w:r>
      <w:r>
        <w:rPr>
          <w:spacing w:val="-5"/>
        </w:rPr>
        <w:t xml:space="preserve"> </w:t>
      </w:r>
      <w:r>
        <w:t>this</w:t>
      </w:r>
      <w:r>
        <w:rPr>
          <w:spacing w:val="-5"/>
        </w:rPr>
        <w:t xml:space="preserve"> </w:t>
      </w:r>
      <w:r>
        <w:t>review</w:t>
      </w:r>
      <w:r>
        <w:rPr>
          <w:spacing w:val="-2"/>
        </w:rPr>
        <w:t xml:space="preserve"> </w:t>
      </w:r>
      <w:r>
        <w:rPr>
          <w:spacing w:val="-4"/>
        </w:rPr>
        <w:t>are:</w:t>
      </w:r>
    </w:p>
    <w:p w14:paraId="7CB25C29" w14:textId="77777777" w:rsidR="008A4099" w:rsidRDefault="006A6EE2">
      <w:pPr>
        <w:pStyle w:val="ListParagraph"/>
        <w:numPr>
          <w:ilvl w:val="0"/>
          <w:numId w:val="12"/>
        </w:numPr>
        <w:tabs>
          <w:tab w:val="left" w:pos="871"/>
          <w:tab w:val="left" w:pos="873"/>
        </w:tabs>
        <w:spacing w:before="218"/>
        <w:ind w:right="681"/>
      </w:pPr>
      <w:r>
        <w:t>To</w:t>
      </w:r>
      <w:r>
        <w:rPr>
          <w:spacing w:val="-8"/>
        </w:rPr>
        <w:t xml:space="preserve"> </w:t>
      </w:r>
      <w:r>
        <w:t>review</w:t>
      </w:r>
      <w:r>
        <w:rPr>
          <w:spacing w:val="-10"/>
        </w:rPr>
        <w:t xml:space="preserve"> </w:t>
      </w:r>
      <w:r>
        <w:t>and</w:t>
      </w:r>
      <w:r>
        <w:rPr>
          <w:spacing w:val="-9"/>
        </w:rPr>
        <w:t xml:space="preserve"> </w:t>
      </w:r>
      <w:r>
        <w:t>report</w:t>
      </w:r>
      <w:r>
        <w:rPr>
          <w:spacing w:val="-8"/>
        </w:rPr>
        <w:t xml:space="preserve"> </w:t>
      </w:r>
      <w:r>
        <w:t>on</w:t>
      </w:r>
      <w:r>
        <w:rPr>
          <w:spacing w:val="-10"/>
        </w:rPr>
        <w:t xml:space="preserve"> </w:t>
      </w:r>
      <w:r>
        <w:t>developments</w:t>
      </w:r>
      <w:r>
        <w:rPr>
          <w:spacing w:val="-9"/>
        </w:rPr>
        <w:t xml:space="preserve"> </w:t>
      </w:r>
      <w:r>
        <w:t>in</w:t>
      </w:r>
      <w:r>
        <w:rPr>
          <w:spacing w:val="-7"/>
        </w:rPr>
        <w:t xml:space="preserve"> </w:t>
      </w:r>
      <w:r>
        <w:t>Australian</w:t>
      </w:r>
      <w:r>
        <w:rPr>
          <w:spacing w:val="-9"/>
        </w:rPr>
        <w:t xml:space="preserve"> </w:t>
      </w:r>
      <w:r>
        <w:t>human</w:t>
      </w:r>
      <w:r>
        <w:rPr>
          <w:spacing w:val="-9"/>
        </w:rPr>
        <w:t xml:space="preserve"> </w:t>
      </w:r>
      <w:r>
        <w:t>rights</w:t>
      </w:r>
      <w:r>
        <w:rPr>
          <w:spacing w:val="-9"/>
        </w:rPr>
        <w:t xml:space="preserve"> </w:t>
      </w:r>
      <w:r>
        <w:t>law</w:t>
      </w:r>
      <w:r>
        <w:rPr>
          <w:spacing w:val="-10"/>
        </w:rPr>
        <w:t xml:space="preserve"> </w:t>
      </w:r>
      <w:r>
        <w:t>and</w:t>
      </w:r>
      <w:r>
        <w:rPr>
          <w:spacing w:val="-9"/>
        </w:rPr>
        <w:t xml:space="preserve"> </w:t>
      </w:r>
      <w:r>
        <w:t>practice</w:t>
      </w:r>
      <w:r>
        <w:rPr>
          <w:spacing w:val="-7"/>
        </w:rPr>
        <w:t xml:space="preserve"> </w:t>
      </w:r>
      <w:r>
        <w:t>that</w:t>
      </w:r>
      <w:r>
        <w:rPr>
          <w:spacing w:val="-8"/>
        </w:rPr>
        <w:t xml:space="preserve"> </w:t>
      </w:r>
      <w:r>
        <w:t>bear</w:t>
      </w:r>
      <w:r>
        <w:rPr>
          <w:spacing w:val="-8"/>
        </w:rPr>
        <w:t xml:space="preserve"> </w:t>
      </w:r>
      <w:r>
        <w:t>on the TLRI’s recommendations in 2007 for a Tasmanian Human Rights Act.</w:t>
      </w:r>
    </w:p>
    <w:p w14:paraId="7CB25C2A" w14:textId="77777777" w:rsidR="008A4099" w:rsidRDefault="006A6EE2">
      <w:pPr>
        <w:pStyle w:val="ListParagraph"/>
        <w:numPr>
          <w:ilvl w:val="0"/>
          <w:numId w:val="12"/>
        </w:numPr>
        <w:tabs>
          <w:tab w:val="left" w:pos="872"/>
        </w:tabs>
        <w:spacing w:before="119"/>
        <w:ind w:left="872" w:hanging="354"/>
      </w:pPr>
      <w:r>
        <w:t>In</w:t>
      </w:r>
      <w:r>
        <w:rPr>
          <w:spacing w:val="-3"/>
        </w:rPr>
        <w:t xml:space="preserve"> </w:t>
      </w:r>
      <w:r>
        <w:t>preparing</w:t>
      </w:r>
      <w:r>
        <w:rPr>
          <w:spacing w:val="-5"/>
        </w:rPr>
        <w:t xml:space="preserve"> </w:t>
      </w:r>
      <w:r>
        <w:t>this</w:t>
      </w:r>
      <w:r>
        <w:rPr>
          <w:spacing w:val="-4"/>
        </w:rPr>
        <w:t xml:space="preserve"> </w:t>
      </w:r>
      <w:r>
        <w:t>report,</w:t>
      </w:r>
      <w:r>
        <w:rPr>
          <w:spacing w:val="-4"/>
        </w:rPr>
        <w:t xml:space="preserve"> </w:t>
      </w:r>
      <w:r>
        <w:t>the</w:t>
      </w:r>
      <w:r>
        <w:rPr>
          <w:spacing w:val="-4"/>
        </w:rPr>
        <w:t xml:space="preserve"> </w:t>
      </w:r>
      <w:r>
        <w:t>TLRI</w:t>
      </w:r>
      <w:r>
        <w:rPr>
          <w:spacing w:val="-4"/>
        </w:rPr>
        <w:t xml:space="preserve"> </w:t>
      </w:r>
      <w:r>
        <w:rPr>
          <w:spacing w:val="-2"/>
        </w:rPr>
        <w:t>will:</w:t>
      </w:r>
    </w:p>
    <w:p w14:paraId="7CB25C2B" w14:textId="77777777" w:rsidR="008A4099" w:rsidRDefault="006A6EE2">
      <w:pPr>
        <w:pStyle w:val="ListParagraph"/>
        <w:numPr>
          <w:ilvl w:val="1"/>
          <w:numId w:val="12"/>
        </w:numPr>
        <w:tabs>
          <w:tab w:val="left" w:pos="1600"/>
        </w:tabs>
        <w:spacing w:before="124" w:line="232" w:lineRule="auto"/>
        <w:ind w:right="678"/>
      </w:pPr>
      <w:r>
        <w:t>consider if developments since 2007 require amendments or improvements to the TLRI’s</w:t>
      </w:r>
      <w:r>
        <w:rPr>
          <w:spacing w:val="-8"/>
        </w:rPr>
        <w:t xml:space="preserve"> </w:t>
      </w:r>
      <w:r>
        <w:t>original</w:t>
      </w:r>
      <w:r>
        <w:rPr>
          <w:spacing w:val="-9"/>
        </w:rPr>
        <w:t xml:space="preserve"> </w:t>
      </w:r>
      <w:r>
        <w:t>model.</w:t>
      </w:r>
      <w:r>
        <w:rPr>
          <w:spacing w:val="-11"/>
        </w:rPr>
        <w:t xml:space="preserve"> </w:t>
      </w:r>
      <w:r>
        <w:t>In</w:t>
      </w:r>
      <w:r>
        <w:rPr>
          <w:spacing w:val="-8"/>
        </w:rPr>
        <w:t xml:space="preserve"> </w:t>
      </w:r>
      <w:r>
        <w:t>particular,</w:t>
      </w:r>
      <w:r>
        <w:rPr>
          <w:spacing w:val="-8"/>
        </w:rPr>
        <w:t xml:space="preserve"> </w:t>
      </w:r>
      <w:r>
        <w:t>it</w:t>
      </w:r>
      <w:r>
        <w:rPr>
          <w:spacing w:val="-7"/>
        </w:rPr>
        <w:t xml:space="preserve"> </w:t>
      </w:r>
      <w:r>
        <w:t>will</w:t>
      </w:r>
      <w:r>
        <w:rPr>
          <w:spacing w:val="-7"/>
        </w:rPr>
        <w:t xml:space="preserve"> </w:t>
      </w:r>
      <w:r>
        <w:t>consider</w:t>
      </w:r>
      <w:r>
        <w:rPr>
          <w:spacing w:val="-9"/>
        </w:rPr>
        <w:t xml:space="preserve"> </w:t>
      </w:r>
      <w:r>
        <w:t>the</w:t>
      </w:r>
      <w:r>
        <w:rPr>
          <w:spacing w:val="-8"/>
        </w:rPr>
        <w:t xml:space="preserve"> </w:t>
      </w:r>
      <w:r>
        <w:t>experience</w:t>
      </w:r>
      <w:r>
        <w:rPr>
          <w:spacing w:val="-8"/>
        </w:rPr>
        <w:t xml:space="preserve"> </w:t>
      </w:r>
      <w:r>
        <w:t>in</w:t>
      </w:r>
      <w:r>
        <w:rPr>
          <w:spacing w:val="-8"/>
        </w:rPr>
        <w:t xml:space="preserve"> </w:t>
      </w:r>
      <w:r>
        <w:t>other</w:t>
      </w:r>
      <w:r>
        <w:rPr>
          <w:spacing w:val="-9"/>
        </w:rPr>
        <w:t xml:space="preserve"> </w:t>
      </w:r>
      <w:r>
        <w:t>Australian jurisdictions with human rights statutes;</w:t>
      </w:r>
    </w:p>
    <w:p w14:paraId="7CB25C2C" w14:textId="77777777" w:rsidR="008A4099" w:rsidRDefault="006A6EE2">
      <w:pPr>
        <w:pStyle w:val="ListParagraph"/>
        <w:numPr>
          <w:ilvl w:val="1"/>
          <w:numId w:val="12"/>
        </w:numPr>
        <w:tabs>
          <w:tab w:val="left" w:pos="1600"/>
        </w:tabs>
        <w:spacing w:before="126" w:line="232" w:lineRule="auto"/>
        <w:ind w:right="680"/>
      </w:pPr>
      <w:r>
        <w:t>consider if developments since 2007 make a state Human Rights Act more or less necessary. In particular, it will consider the extent to which human rights are today more or less understood, respected and protected; and</w:t>
      </w:r>
    </w:p>
    <w:p w14:paraId="7CB25C2D" w14:textId="77777777" w:rsidR="008A4099" w:rsidRDefault="006A6EE2">
      <w:pPr>
        <w:pStyle w:val="ListParagraph"/>
        <w:numPr>
          <w:ilvl w:val="1"/>
          <w:numId w:val="12"/>
        </w:numPr>
        <w:tabs>
          <w:tab w:val="left" w:pos="1600"/>
        </w:tabs>
        <w:spacing w:before="129" w:line="225" w:lineRule="auto"/>
        <w:ind w:right="680"/>
      </w:pPr>
      <w:r>
        <w:t>seek the input of legal experts, government representatives and peak community bodies, as necessary to inform the above considerations.</w:t>
      </w:r>
    </w:p>
    <w:p w14:paraId="7CB25C2E" w14:textId="77777777" w:rsidR="008A4099" w:rsidRDefault="006A6EE2">
      <w:pPr>
        <w:pStyle w:val="BodyText"/>
        <w:spacing w:before="223"/>
        <w:ind w:left="160" w:right="681"/>
        <w:jc w:val="both"/>
      </w:pPr>
      <w:r>
        <w:t>In response to these questions, this Research Paper reviews relevant legislative and policy responses, focussing on the following key areas:</w:t>
      </w:r>
    </w:p>
    <w:p w14:paraId="7CB25C2F" w14:textId="77777777" w:rsidR="008A4099" w:rsidRDefault="006A6EE2">
      <w:pPr>
        <w:pStyle w:val="ListParagraph"/>
        <w:numPr>
          <w:ilvl w:val="0"/>
          <w:numId w:val="12"/>
        </w:numPr>
        <w:tabs>
          <w:tab w:val="left" w:pos="873"/>
        </w:tabs>
        <w:spacing w:before="219"/>
        <w:ind w:hanging="355"/>
        <w:jc w:val="left"/>
      </w:pPr>
      <w:r>
        <w:t>response</w:t>
      </w:r>
      <w:r>
        <w:rPr>
          <w:spacing w:val="-5"/>
        </w:rPr>
        <w:t xml:space="preserve"> </w:t>
      </w:r>
      <w:r>
        <w:t>to</w:t>
      </w:r>
      <w:r>
        <w:rPr>
          <w:spacing w:val="-6"/>
        </w:rPr>
        <w:t xml:space="preserve"> </w:t>
      </w:r>
      <w:r>
        <w:t>the</w:t>
      </w:r>
      <w:r>
        <w:rPr>
          <w:spacing w:val="-3"/>
        </w:rPr>
        <w:t xml:space="preserve"> </w:t>
      </w:r>
      <w:r>
        <w:t>COVID-19</w:t>
      </w:r>
      <w:r>
        <w:rPr>
          <w:spacing w:val="-2"/>
        </w:rPr>
        <w:t xml:space="preserve"> pandemic;</w:t>
      </w:r>
    </w:p>
    <w:p w14:paraId="7CB25C30" w14:textId="77777777" w:rsidR="008A4099" w:rsidRDefault="006A6EE2">
      <w:pPr>
        <w:pStyle w:val="ListParagraph"/>
        <w:numPr>
          <w:ilvl w:val="0"/>
          <w:numId w:val="12"/>
        </w:numPr>
        <w:tabs>
          <w:tab w:val="left" w:pos="873"/>
        </w:tabs>
        <w:spacing w:before="120"/>
        <w:ind w:hanging="355"/>
        <w:jc w:val="left"/>
      </w:pPr>
      <w:r>
        <w:t>political</w:t>
      </w:r>
      <w:r>
        <w:rPr>
          <w:spacing w:val="-5"/>
        </w:rPr>
        <w:t xml:space="preserve"> </w:t>
      </w:r>
      <w:r>
        <w:t>communication</w:t>
      </w:r>
      <w:r>
        <w:rPr>
          <w:spacing w:val="-8"/>
        </w:rPr>
        <w:t xml:space="preserve"> </w:t>
      </w:r>
      <w:r>
        <w:t>and</w:t>
      </w:r>
      <w:r>
        <w:rPr>
          <w:spacing w:val="-5"/>
        </w:rPr>
        <w:t xml:space="preserve"> </w:t>
      </w:r>
      <w:r>
        <w:rPr>
          <w:spacing w:val="-2"/>
        </w:rPr>
        <w:t>protest;</w:t>
      </w:r>
    </w:p>
    <w:p w14:paraId="7CB25C31" w14:textId="77777777" w:rsidR="008A4099" w:rsidRDefault="006A6EE2">
      <w:pPr>
        <w:pStyle w:val="ListParagraph"/>
        <w:numPr>
          <w:ilvl w:val="0"/>
          <w:numId w:val="12"/>
        </w:numPr>
        <w:tabs>
          <w:tab w:val="left" w:pos="873"/>
        </w:tabs>
        <w:spacing w:before="119"/>
        <w:ind w:hanging="355"/>
        <w:jc w:val="left"/>
      </w:pPr>
      <w:r>
        <w:t>protection</w:t>
      </w:r>
      <w:r>
        <w:rPr>
          <w:spacing w:val="-5"/>
        </w:rPr>
        <w:t xml:space="preserve"> </w:t>
      </w:r>
      <w:r>
        <w:t>of</w:t>
      </w:r>
      <w:r>
        <w:rPr>
          <w:spacing w:val="-2"/>
        </w:rPr>
        <w:t xml:space="preserve"> privacy;</w:t>
      </w:r>
    </w:p>
    <w:p w14:paraId="7CB25C32" w14:textId="77777777" w:rsidR="008A4099" w:rsidRDefault="006A6EE2">
      <w:pPr>
        <w:pStyle w:val="ListParagraph"/>
        <w:numPr>
          <w:ilvl w:val="0"/>
          <w:numId w:val="12"/>
        </w:numPr>
        <w:tabs>
          <w:tab w:val="left" w:pos="873"/>
        </w:tabs>
        <w:spacing w:before="119"/>
        <w:ind w:hanging="355"/>
        <w:jc w:val="left"/>
      </w:pPr>
      <w:r>
        <w:t>prisoners’</w:t>
      </w:r>
      <w:r>
        <w:rPr>
          <w:spacing w:val="-9"/>
        </w:rPr>
        <w:t xml:space="preserve"> </w:t>
      </w:r>
      <w:r>
        <w:rPr>
          <w:spacing w:val="-2"/>
        </w:rPr>
        <w:t>rights;</w:t>
      </w:r>
    </w:p>
    <w:p w14:paraId="7CB25C33" w14:textId="77777777" w:rsidR="008A4099" w:rsidRDefault="006A6EE2">
      <w:pPr>
        <w:pStyle w:val="ListParagraph"/>
        <w:numPr>
          <w:ilvl w:val="0"/>
          <w:numId w:val="12"/>
        </w:numPr>
        <w:tabs>
          <w:tab w:val="left" w:pos="873"/>
        </w:tabs>
        <w:spacing w:before="120"/>
        <w:ind w:hanging="355"/>
        <w:jc w:val="left"/>
      </w:pPr>
      <w:r>
        <w:t>housing</w:t>
      </w:r>
      <w:r>
        <w:rPr>
          <w:spacing w:val="-4"/>
        </w:rPr>
        <w:t xml:space="preserve"> </w:t>
      </w:r>
      <w:r>
        <w:t>and</w:t>
      </w:r>
      <w:r>
        <w:rPr>
          <w:spacing w:val="-5"/>
        </w:rPr>
        <w:t xml:space="preserve"> </w:t>
      </w:r>
      <w:r>
        <w:t>homelessness;</w:t>
      </w:r>
      <w:r>
        <w:rPr>
          <w:spacing w:val="-4"/>
        </w:rPr>
        <w:t xml:space="preserve"> </w:t>
      </w:r>
      <w:r>
        <w:rPr>
          <w:spacing w:val="-5"/>
        </w:rPr>
        <w:t>and</w:t>
      </w:r>
    </w:p>
    <w:p w14:paraId="7CB25C34" w14:textId="77777777" w:rsidR="008A4099" w:rsidRDefault="006A6EE2">
      <w:pPr>
        <w:pStyle w:val="ListParagraph"/>
        <w:numPr>
          <w:ilvl w:val="0"/>
          <w:numId w:val="12"/>
        </w:numPr>
        <w:tabs>
          <w:tab w:val="left" w:pos="873"/>
        </w:tabs>
        <w:spacing w:before="119"/>
        <w:ind w:hanging="355"/>
        <w:jc w:val="left"/>
      </w:pPr>
      <w:r>
        <w:t>religion</w:t>
      </w:r>
      <w:r>
        <w:rPr>
          <w:spacing w:val="-4"/>
        </w:rPr>
        <w:t xml:space="preserve"> </w:t>
      </w:r>
      <w:r>
        <w:t>and</w:t>
      </w:r>
      <w:r>
        <w:rPr>
          <w:spacing w:val="-3"/>
        </w:rPr>
        <w:t xml:space="preserve"> </w:t>
      </w:r>
      <w:r>
        <w:rPr>
          <w:spacing w:val="-2"/>
        </w:rPr>
        <w:t>discrimination.</w:t>
      </w:r>
    </w:p>
    <w:p w14:paraId="7CB25C35" w14:textId="77777777" w:rsidR="008A4099" w:rsidRDefault="006A6EE2">
      <w:pPr>
        <w:pStyle w:val="BodyText"/>
        <w:spacing w:before="219"/>
        <w:ind w:left="160" w:right="678"/>
        <w:jc w:val="both"/>
      </w:pPr>
      <w:r>
        <w:t>This Research Paper does not review all human rights issues that have arisen in the Review Period. Rather,</w:t>
      </w:r>
      <w:r>
        <w:rPr>
          <w:spacing w:val="-12"/>
        </w:rPr>
        <w:t xml:space="preserve"> </w:t>
      </w:r>
      <w:r>
        <w:t>discussion</w:t>
      </w:r>
      <w:r>
        <w:rPr>
          <w:spacing w:val="-14"/>
        </w:rPr>
        <w:t xml:space="preserve"> </w:t>
      </w:r>
      <w:r>
        <w:t>of</w:t>
      </w:r>
      <w:r>
        <w:rPr>
          <w:spacing w:val="-13"/>
        </w:rPr>
        <w:t xml:space="preserve"> </w:t>
      </w:r>
      <w:r>
        <w:t>these</w:t>
      </w:r>
      <w:r>
        <w:rPr>
          <w:spacing w:val="-14"/>
        </w:rPr>
        <w:t xml:space="preserve"> </w:t>
      </w:r>
      <w:r>
        <w:t>issues</w:t>
      </w:r>
      <w:r>
        <w:rPr>
          <w:spacing w:val="-13"/>
        </w:rPr>
        <w:t xml:space="preserve"> </w:t>
      </w:r>
      <w:r>
        <w:t>provides</w:t>
      </w:r>
      <w:r>
        <w:rPr>
          <w:spacing w:val="-13"/>
        </w:rPr>
        <w:t xml:space="preserve"> </w:t>
      </w:r>
      <w:r>
        <w:t>insight</w:t>
      </w:r>
      <w:r>
        <w:rPr>
          <w:spacing w:val="-13"/>
        </w:rPr>
        <w:t xml:space="preserve"> </w:t>
      </w:r>
      <w:r>
        <w:t>into</w:t>
      </w:r>
      <w:r>
        <w:rPr>
          <w:spacing w:val="-14"/>
        </w:rPr>
        <w:t xml:space="preserve"> </w:t>
      </w:r>
      <w:r>
        <w:t>the</w:t>
      </w:r>
      <w:r>
        <w:rPr>
          <w:spacing w:val="-12"/>
        </w:rPr>
        <w:t xml:space="preserve"> </w:t>
      </w:r>
      <w:r>
        <w:t>different</w:t>
      </w:r>
      <w:r>
        <w:rPr>
          <w:spacing w:val="-13"/>
        </w:rPr>
        <w:t xml:space="preserve"> </w:t>
      </w:r>
      <w:r>
        <w:t>approaches</w:t>
      </w:r>
      <w:r>
        <w:rPr>
          <w:spacing w:val="-14"/>
        </w:rPr>
        <w:t xml:space="preserve"> </w:t>
      </w:r>
      <w:r>
        <w:t>adopted</w:t>
      </w:r>
      <w:r>
        <w:rPr>
          <w:spacing w:val="-14"/>
        </w:rPr>
        <w:t xml:space="preserve"> </w:t>
      </w:r>
      <w:r>
        <w:t>in</w:t>
      </w:r>
      <w:r>
        <w:rPr>
          <w:spacing w:val="-13"/>
        </w:rPr>
        <w:t xml:space="preserve"> </w:t>
      </w:r>
      <w:r>
        <w:t>human</w:t>
      </w:r>
      <w:r>
        <w:rPr>
          <w:spacing w:val="-14"/>
        </w:rPr>
        <w:t xml:space="preserve"> </w:t>
      </w:r>
      <w:r>
        <w:t>rights and</w:t>
      </w:r>
      <w:r>
        <w:rPr>
          <w:spacing w:val="-1"/>
        </w:rPr>
        <w:t xml:space="preserve"> </w:t>
      </w:r>
      <w:r>
        <w:t>non-human</w:t>
      </w:r>
      <w:r>
        <w:rPr>
          <w:spacing w:val="-1"/>
        </w:rPr>
        <w:t xml:space="preserve"> </w:t>
      </w:r>
      <w:r>
        <w:t>rights</w:t>
      </w:r>
      <w:r>
        <w:rPr>
          <w:spacing w:val="-3"/>
        </w:rPr>
        <w:t xml:space="preserve"> </w:t>
      </w:r>
      <w:r>
        <w:t>jurisdictions.</w:t>
      </w:r>
      <w:r>
        <w:rPr>
          <w:spacing w:val="-1"/>
        </w:rPr>
        <w:t xml:space="preserve"> </w:t>
      </w:r>
      <w:r>
        <w:t>Neither</w:t>
      </w:r>
      <w:r>
        <w:rPr>
          <w:spacing w:val="-2"/>
        </w:rPr>
        <w:t xml:space="preserve"> </w:t>
      </w:r>
      <w:r>
        <w:t>does</w:t>
      </w:r>
      <w:r>
        <w:rPr>
          <w:spacing w:val="-3"/>
        </w:rPr>
        <w:t xml:space="preserve"> </w:t>
      </w:r>
      <w:r>
        <w:t>this</w:t>
      </w:r>
      <w:r>
        <w:rPr>
          <w:spacing w:val="-3"/>
        </w:rPr>
        <w:t xml:space="preserve"> </w:t>
      </w:r>
      <w:r>
        <w:t>Research</w:t>
      </w:r>
      <w:r>
        <w:rPr>
          <w:spacing w:val="-1"/>
        </w:rPr>
        <w:t xml:space="preserve"> </w:t>
      </w:r>
      <w:r>
        <w:t>Paper offer</w:t>
      </w:r>
      <w:r>
        <w:rPr>
          <w:spacing w:val="-2"/>
        </w:rPr>
        <w:t xml:space="preserve"> </w:t>
      </w:r>
      <w:r>
        <w:t>a</w:t>
      </w:r>
      <w:r>
        <w:rPr>
          <w:spacing w:val="-1"/>
        </w:rPr>
        <w:t xml:space="preserve"> </w:t>
      </w:r>
      <w:r>
        <w:t>comprehensive</w:t>
      </w:r>
      <w:r>
        <w:rPr>
          <w:spacing w:val="-3"/>
        </w:rPr>
        <w:t xml:space="preserve"> </w:t>
      </w:r>
      <w:r>
        <w:t>review</w:t>
      </w:r>
      <w:r>
        <w:rPr>
          <w:spacing w:val="-2"/>
        </w:rPr>
        <w:t xml:space="preserve"> </w:t>
      </w:r>
      <w:r>
        <w:t>of how</w:t>
      </w:r>
      <w:r>
        <w:rPr>
          <w:spacing w:val="-3"/>
        </w:rPr>
        <w:t xml:space="preserve"> </w:t>
      </w:r>
      <w:r>
        <w:t>these</w:t>
      </w:r>
      <w:r>
        <w:rPr>
          <w:spacing w:val="-2"/>
        </w:rPr>
        <w:t xml:space="preserve"> </w:t>
      </w:r>
      <w:r>
        <w:t>issues</w:t>
      </w:r>
      <w:r>
        <w:rPr>
          <w:spacing w:val="-2"/>
        </w:rPr>
        <w:t xml:space="preserve"> </w:t>
      </w:r>
      <w:r>
        <w:t>have</w:t>
      </w:r>
      <w:r>
        <w:rPr>
          <w:spacing w:val="-2"/>
        </w:rPr>
        <w:t xml:space="preserve"> </w:t>
      </w:r>
      <w:r>
        <w:t>been</w:t>
      </w:r>
      <w:r>
        <w:rPr>
          <w:spacing w:val="-4"/>
        </w:rPr>
        <w:t xml:space="preserve"> </w:t>
      </w:r>
      <w:r>
        <w:t>tackled</w:t>
      </w:r>
      <w:r>
        <w:rPr>
          <w:spacing w:val="-4"/>
        </w:rPr>
        <w:t xml:space="preserve"> </w:t>
      </w:r>
      <w:r>
        <w:t>in</w:t>
      </w:r>
      <w:r>
        <w:rPr>
          <w:spacing w:val="-5"/>
        </w:rPr>
        <w:t xml:space="preserve"> </w:t>
      </w:r>
      <w:r>
        <w:t>jurisdictions</w:t>
      </w:r>
      <w:r>
        <w:rPr>
          <w:spacing w:val="-2"/>
        </w:rPr>
        <w:t xml:space="preserve"> </w:t>
      </w:r>
      <w:r>
        <w:t>with</w:t>
      </w:r>
      <w:r>
        <w:rPr>
          <w:spacing w:val="-2"/>
        </w:rPr>
        <w:t xml:space="preserve"> </w:t>
      </w:r>
      <w:r>
        <w:t>a</w:t>
      </w:r>
      <w:r>
        <w:rPr>
          <w:spacing w:val="-2"/>
        </w:rPr>
        <w:t xml:space="preserve"> </w:t>
      </w:r>
      <w:r>
        <w:t>human</w:t>
      </w:r>
      <w:r>
        <w:rPr>
          <w:spacing w:val="-4"/>
        </w:rPr>
        <w:t xml:space="preserve"> </w:t>
      </w:r>
      <w:r>
        <w:t>rights</w:t>
      </w:r>
      <w:r>
        <w:rPr>
          <w:spacing w:val="-4"/>
        </w:rPr>
        <w:t xml:space="preserve"> </w:t>
      </w:r>
      <w:r>
        <w:t>enactment.</w:t>
      </w:r>
      <w:r>
        <w:rPr>
          <w:spacing w:val="-2"/>
        </w:rPr>
        <w:t xml:space="preserve"> </w:t>
      </w:r>
      <w:r>
        <w:t>Instead,</w:t>
      </w:r>
      <w:r>
        <w:rPr>
          <w:spacing w:val="-5"/>
        </w:rPr>
        <w:t xml:space="preserve"> </w:t>
      </w:r>
      <w:r>
        <w:t>it</w:t>
      </w:r>
      <w:r>
        <w:rPr>
          <w:spacing w:val="-1"/>
        </w:rPr>
        <w:t xml:space="preserve"> </w:t>
      </w:r>
      <w:r>
        <w:t>provides a sample of approaches that have been influenced by legislative human rights frameworks.</w:t>
      </w:r>
    </w:p>
    <w:p w14:paraId="7CB25C36" w14:textId="77777777" w:rsidR="008A4099" w:rsidRDefault="006A6EE2">
      <w:pPr>
        <w:pStyle w:val="BodyText"/>
        <w:spacing w:before="219" w:line="244" w:lineRule="auto"/>
        <w:ind w:left="160" w:right="682"/>
        <w:jc w:val="both"/>
      </w:pPr>
      <w:r>
        <w:t>Significant areas have been omitted from this Research Paper, principally because they have been the subject of other full, independent reports. These are:</w:t>
      </w:r>
    </w:p>
    <w:p w14:paraId="7CB25C37" w14:textId="77777777" w:rsidR="008A4099" w:rsidRDefault="006A6EE2">
      <w:pPr>
        <w:pStyle w:val="ListParagraph"/>
        <w:numPr>
          <w:ilvl w:val="0"/>
          <w:numId w:val="12"/>
        </w:numPr>
        <w:tabs>
          <w:tab w:val="left" w:pos="873"/>
        </w:tabs>
        <w:spacing w:before="212"/>
        <w:ind w:hanging="355"/>
        <w:jc w:val="left"/>
      </w:pPr>
      <w:r>
        <w:t>achieving</w:t>
      </w:r>
      <w:r>
        <w:rPr>
          <w:spacing w:val="-9"/>
        </w:rPr>
        <w:t xml:space="preserve"> </w:t>
      </w:r>
      <w:r>
        <w:t>reconciliation</w:t>
      </w:r>
      <w:r>
        <w:rPr>
          <w:spacing w:val="-6"/>
        </w:rPr>
        <w:t xml:space="preserve"> </w:t>
      </w:r>
      <w:r>
        <w:t>with</w:t>
      </w:r>
      <w:r>
        <w:rPr>
          <w:spacing w:val="-7"/>
        </w:rPr>
        <w:t xml:space="preserve"> </w:t>
      </w:r>
      <w:r>
        <w:t>Tasmania’s</w:t>
      </w:r>
      <w:r>
        <w:rPr>
          <w:spacing w:val="-6"/>
        </w:rPr>
        <w:t xml:space="preserve"> </w:t>
      </w:r>
      <w:r>
        <w:t>First</w:t>
      </w:r>
      <w:r>
        <w:rPr>
          <w:spacing w:val="-6"/>
        </w:rPr>
        <w:t xml:space="preserve"> </w:t>
      </w:r>
      <w:r>
        <w:t>Nations</w:t>
      </w:r>
      <w:r>
        <w:rPr>
          <w:spacing w:val="-8"/>
        </w:rPr>
        <w:t xml:space="preserve"> </w:t>
      </w:r>
      <w:r>
        <w:t>peoples;</w:t>
      </w:r>
      <w:r>
        <w:rPr>
          <w:spacing w:val="-8"/>
        </w:rPr>
        <w:t xml:space="preserve"> </w:t>
      </w:r>
      <w:r>
        <w:rPr>
          <w:spacing w:val="-5"/>
        </w:rPr>
        <w:t>and</w:t>
      </w:r>
    </w:p>
    <w:p w14:paraId="7CB25C38" w14:textId="77777777" w:rsidR="008A4099" w:rsidRDefault="006A6EE2">
      <w:pPr>
        <w:pStyle w:val="ListParagraph"/>
        <w:numPr>
          <w:ilvl w:val="0"/>
          <w:numId w:val="12"/>
        </w:numPr>
        <w:tabs>
          <w:tab w:val="left" w:pos="873"/>
        </w:tabs>
        <w:spacing w:before="119"/>
        <w:ind w:hanging="355"/>
        <w:jc w:val="left"/>
      </w:pPr>
      <w:r>
        <w:t>child</w:t>
      </w:r>
      <w:r>
        <w:rPr>
          <w:spacing w:val="-5"/>
        </w:rPr>
        <w:t xml:space="preserve"> </w:t>
      </w:r>
      <w:r>
        <w:t>sexual</w:t>
      </w:r>
      <w:r>
        <w:rPr>
          <w:spacing w:val="-3"/>
        </w:rPr>
        <w:t xml:space="preserve"> </w:t>
      </w:r>
      <w:r>
        <w:t>abuse</w:t>
      </w:r>
      <w:r>
        <w:rPr>
          <w:spacing w:val="-6"/>
        </w:rPr>
        <w:t xml:space="preserve"> </w:t>
      </w:r>
      <w:r>
        <w:t>in</w:t>
      </w:r>
      <w:r>
        <w:rPr>
          <w:spacing w:val="-4"/>
        </w:rPr>
        <w:t xml:space="preserve"> </w:t>
      </w:r>
      <w:r>
        <w:t>institutional</w:t>
      </w:r>
      <w:r>
        <w:rPr>
          <w:spacing w:val="-5"/>
        </w:rPr>
        <w:t xml:space="preserve"> </w:t>
      </w:r>
      <w:r>
        <w:rPr>
          <w:spacing w:val="-2"/>
        </w:rPr>
        <w:t>settings.</w:t>
      </w:r>
    </w:p>
    <w:p w14:paraId="7CB25C39" w14:textId="77777777" w:rsidR="008A4099" w:rsidRDefault="006A6EE2">
      <w:pPr>
        <w:pStyle w:val="BodyText"/>
        <w:spacing w:before="219"/>
        <w:ind w:left="160" w:right="676"/>
        <w:jc w:val="both"/>
      </w:pPr>
      <w:r>
        <w:t>In</w:t>
      </w:r>
      <w:r>
        <w:rPr>
          <w:spacing w:val="-4"/>
        </w:rPr>
        <w:t xml:space="preserve"> </w:t>
      </w:r>
      <w:r>
        <w:t>this</w:t>
      </w:r>
      <w:r>
        <w:rPr>
          <w:spacing w:val="-5"/>
        </w:rPr>
        <w:t xml:space="preserve"> </w:t>
      </w:r>
      <w:r>
        <w:t>context,</w:t>
      </w:r>
      <w:r>
        <w:rPr>
          <w:spacing w:val="-6"/>
        </w:rPr>
        <w:t xml:space="preserve"> </w:t>
      </w:r>
      <w:r>
        <w:t>it</w:t>
      </w:r>
      <w:r>
        <w:rPr>
          <w:spacing w:val="-5"/>
        </w:rPr>
        <w:t xml:space="preserve"> </w:t>
      </w:r>
      <w:r>
        <w:t>is</w:t>
      </w:r>
      <w:r>
        <w:rPr>
          <w:spacing w:val="-5"/>
        </w:rPr>
        <w:t xml:space="preserve"> </w:t>
      </w:r>
      <w:r>
        <w:t>important</w:t>
      </w:r>
      <w:r>
        <w:rPr>
          <w:spacing w:val="-5"/>
        </w:rPr>
        <w:t xml:space="preserve"> </w:t>
      </w:r>
      <w:r>
        <w:t>to</w:t>
      </w:r>
      <w:r>
        <w:rPr>
          <w:spacing w:val="-6"/>
        </w:rPr>
        <w:t xml:space="preserve"> </w:t>
      </w:r>
      <w:r>
        <w:t>stress</w:t>
      </w:r>
      <w:r>
        <w:rPr>
          <w:spacing w:val="-5"/>
        </w:rPr>
        <w:t xml:space="preserve"> </w:t>
      </w:r>
      <w:r>
        <w:t>that</w:t>
      </w:r>
      <w:r>
        <w:rPr>
          <w:spacing w:val="-5"/>
        </w:rPr>
        <w:t xml:space="preserve"> </w:t>
      </w:r>
      <w:r>
        <w:t>this</w:t>
      </w:r>
      <w:r>
        <w:rPr>
          <w:spacing w:val="-6"/>
        </w:rPr>
        <w:t xml:space="preserve"> </w:t>
      </w:r>
      <w:r>
        <w:t>review</w:t>
      </w:r>
      <w:r>
        <w:rPr>
          <w:spacing w:val="-9"/>
        </w:rPr>
        <w:t xml:space="preserve"> </w:t>
      </w:r>
      <w:r>
        <w:t>was</w:t>
      </w:r>
      <w:r>
        <w:rPr>
          <w:spacing w:val="-3"/>
        </w:rPr>
        <w:t xml:space="preserve"> </w:t>
      </w:r>
      <w:r>
        <w:t>not</w:t>
      </w:r>
      <w:r>
        <w:rPr>
          <w:spacing w:val="-5"/>
        </w:rPr>
        <w:t xml:space="preserve"> </w:t>
      </w:r>
      <w:r>
        <w:t>given</w:t>
      </w:r>
      <w:r>
        <w:rPr>
          <w:spacing w:val="-6"/>
        </w:rPr>
        <w:t xml:space="preserve"> </w:t>
      </w:r>
      <w:r>
        <w:t>to</w:t>
      </w:r>
      <w:r>
        <w:rPr>
          <w:spacing w:val="-6"/>
        </w:rPr>
        <w:t xml:space="preserve"> </w:t>
      </w:r>
      <w:r>
        <w:t>the</w:t>
      </w:r>
      <w:r>
        <w:rPr>
          <w:spacing w:val="-3"/>
        </w:rPr>
        <w:t xml:space="preserve"> </w:t>
      </w:r>
      <w:r>
        <w:t>TLRI</w:t>
      </w:r>
      <w:r>
        <w:rPr>
          <w:spacing w:val="-8"/>
        </w:rPr>
        <w:t xml:space="preserve"> </w:t>
      </w:r>
      <w:r>
        <w:t>to</w:t>
      </w:r>
      <w:r>
        <w:rPr>
          <w:spacing w:val="-4"/>
        </w:rPr>
        <w:t xml:space="preserve"> </w:t>
      </w:r>
      <w:r>
        <w:t>reopen</w:t>
      </w:r>
      <w:r>
        <w:rPr>
          <w:spacing w:val="-6"/>
        </w:rPr>
        <w:t xml:space="preserve"> </w:t>
      </w:r>
      <w:r>
        <w:t>the</w:t>
      </w:r>
      <w:r>
        <w:rPr>
          <w:spacing w:val="-6"/>
        </w:rPr>
        <w:t xml:space="preserve"> </w:t>
      </w:r>
      <w:r>
        <w:t>original reference</w:t>
      </w:r>
      <w:r>
        <w:rPr>
          <w:spacing w:val="-8"/>
        </w:rPr>
        <w:t xml:space="preserve"> </w:t>
      </w:r>
      <w:r>
        <w:t>or</w:t>
      </w:r>
      <w:r>
        <w:rPr>
          <w:spacing w:val="-8"/>
        </w:rPr>
        <w:t xml:space="preserve"> </w:t>
      </w:r>
      <w:r>
        <w:t>to</w:t>
      </w:r>
      <w:r>
        <w:rPr>
          <w:spacing w:val="-6"/>
        </w:rPr>
        <w:t xml:space="preserve"> </w:t>
      </w:r>
      <w:r>
        <w:t>be</w:t>
      </w:r>
      <w:r>
        <w:rPr>
          <w:spacing w:val="-6"/>
        </w:rPr>
        <w:t xml:space="preserve"> </w:t>
      </w:r>
      <w:r>
        <w:t>undertaken</w:t>
      </w:r>
      <w:r>
        <w:rPr>
          <w:spacing w:val="-6"/>
        </w:rPr>
        <w:t xml:space="preserve"> </w:t>
      </w:r>
      <w:r>
        <w:t>in</w:t>
      </w:r>
      <w:r>
        <w:rPr>
          <w:spacing w:val="-9"/>
        </w:rPr>
        <w:t xml:space="preserve"> </w:t>
      </w:r>
      <w:r>
        <w:t>the</w:t>
      </w:r>
      <w:r>
        <w:rPr>
          <w:spacing w:val="-8"/>
        </w:rPr>
        <w:t xml:space="preserve"> </w:t>
      </w:r>
      <w:r>
        <w:t>manner</w:t>
      </w:r>
      <w:r>
        <w:rPr>
          <w:spacing w:val="-6"/>
        </w:rPr>
        <w:t xml:space="preserve"> </w:t>
      </w:r>
      <w:r>
        <w:t>of</w:t>
      </w:r>
      <w:r>
        <w:rPr>
          <w:spacing w:val="-6"/>
        </w:rPr>
        <w:t xml:space="preserve"> </w:t>
      </w:r>
      <w:r>
        <w:t>a</w:t>
      </w:r>
      <w:r>
        <w:rPr>
          <w:spacing w:val="-8"/>
        </w:rPr>
        <w:t xml:space="preserve"> </w:t>
      </w:r>
      <w:r>
        <w:t>full</w:t>
      </w:r>
      <w:r>
        <w:rPr>
          <w:spacing w:val="-7"/>
        </w:rPr>
        <w:t xml:space="preserve"> </w:t>
      </w:r>
      <w:r>
        <w:t>reference.</w:t>
      </w:r>
      <w:r>
        <w:rPr>
          <w:spacing w:val="-6"/>
        </w:rPr>
        <w:t xml:space="preserve"> </w:t>
      </w:r>
      <w:r>
        <w:t>It</w:t>
      </w:r>
      <w:r>
        <w:rPr>
          <w:spacing w:val="-7"/>
        </w:rPr>
        <w:t xml:space="preserve"> </w:t>
      </w:r>
      <w:r>
        <w:t>has</w:t>
      </w:r>
      <w:r>
        <w:rPr>
          <w:spacing w:val="-8"/>
        </w:rPr>
        <w:t xml:space="preserve"> </w:t>
      </w:r>
      <w:r>
        <w:t>a</w:t>
      </w:r>
      <w:r>
        <w:rPr>
          <w:spacing w:val="-8"/>
        </w:rPr>
        <w:t xml:space="preserve"> </w:t>
      </w:r>
      <w:r>
        <w:t>more</w:t>
      </w:r>
      <w:r>
        <w:rPr>
          <w:spacing w:val="-8"/>
        </w:rPr>
        <w:t xml:space="preserve"> </w:t>
      </w:r>
      <w:r>
        <w:t>limited</w:t>
      </w:r>
      <w:r>
        <w:rPr>
          <w:spacing w:val="-6"/>
        </w:rPr>
        <w:t xml:space="preserve"> </w:t>
      </w:r>
      <w:r>
        <w:t>scope</w:t>
      </w:r>
      <w:r>
        <w:rPr>
          <w:spacing w:val="-6"/>
        </w:rPr>
        <w:t xml:space="preserve"> </w:t>
      </w:r>
      <w:r>
        <w:t>as</w:t>
      </w:r>
      <w:r>
        <w:rPr>
          <w:spacing w:val="-6"/>
        </w:rPr>
        <w:t xml:space="preserve"> </w:t>
      </w:r>
      <w:r>
        <w:t>a</w:t>
      </w:r>
      <w:r>
        <w:rPr>
          <w:spacing w:val="-8"/>
        </w:rPr>
        <w:t xml:space="preserve"> </w:t>
      </w:r>
      <w:r>
        <w:t>research paper confined to exploring questions about how events and human rights developments since 2007 may</w:t>
      </w:r>
      <w:r>
        <w:rPr>
          <w:spacing w:val="-2"/>
        </w:rPr>
        <w:t xml:space="preserve"> </w:t>
      </w:r>
      <w:r>
        <w:t>have</w:t>
      </w:r>
      <w:r>
        <w:rPr>
          <w:spacing w:val="-2"/>
        </w:rPr>
        <w:t xml:space="preserve"> </w:t>
      </w:r>
      <w:r>
        <w:t>relevance</w:t>
      </w:r>
      <w:r>
        <w:rPr>
          <w:spacing w:val="-2"/>
        </w:rPr>
        <w:t xml:space="preserve"> </w:t>
      </w:r>
      <w:r>
        <w:t>and</w:t>
      </w:r>
      <w:r>
        <w:rPr>
          <w:spacing w:val="-2"/>
        </w:rPr>
        <w:t xml:space="preserve"> </w:t>
      </w:r>
      <w:r>
        <w:t>import</w:t>
      </w:r>
      <w:r>
        <w:rPr>
          <w:spacing w:val="-3"/>
        </w:rPr>
        <w:t xml:space="preserve"> </w:t>
      </w:r>
      <w:r>
        <w:t>for</w:t>
      </w:r>
      <w:r>
        <w:rPr>
          <w:spacing w:val="-3"/>
        </w:rPr>
        <w:t xml:space="preserve"> </w:t>
      </w:r>
      <w:r>
        <w:t>the</w:t>
      </w:r>
      <w:r>
        <w:rPr>
          <w:spacing w:val="-2"/>
        </w:rPr>
        <w:t xml:space="preserve"> </w:t>
      </w:r>
      <w:r>
        <w:t>recommendations</w:t>
      </w:r>
      <w:r>
        <w:rPr>
          <w:spacing w:val="-2"/>
        </w:rPr>
        <w:t xml:space="preserve"> </w:t>
      </w:r>
      <w:r>
        <w:t>made</w:t>
      </w:r>
      <w:r>
        <w:rPr>
          <w:spacing w:val="-2"/>
        </w:rPr>
        <w:t xml:space="preserve"> </w:t>
      </w:r>
      <w:r>
        <w:t>in</w:t>
      </w:r>
      <w:r>
        <w:rPr>
          <w:spacing w:val="-4"/>
        </w:rPr>
        <w:t xml:space="preserve"> </w:t>
      </w:r>
      <w:r>
        <w:t>the</w:t>
      </w:r>
      <w:r>
        <w:rPr>
          <w:spacing w:val="-2"/>
        </w:rPr>
        <w:t xml:space="preserve"> </w:t>
      </w:r>
      <w:r>
        <w:t>2007</w:t>
      </w:r>
      <w:r>
        <w:rPr>
          <w:spacing w:val="-2"/>
        </w:rPr>
        <w:t xml:space="preserve"> </w:t>
      </w:r>
      <w:r>
        <w:t>Final</w:t>
      </w:r>
      <w:r>
        <w:rPr>
          <w:spacing w:val="-3"/>
        </w:rPr>
        <w:t xml:space="preserve"> </w:t>
      </w:r>
      <w:r>
        <w:t>Report.</w:t>
      </w:r>
      <w:r>
        <w:rPr>
          <w:spacing w:val="-2"/>
        </w:rPr>
        <w:t xml:space="preserve"> </w:t>
      </w:r>
      <w:r>
        <w:t>Accordingly, the TLRI</w:t>
      </w:r>
      <w:r>
        <w:rPr>
          <w:spacing w:val="-2"/>
        </w:rPr>
        <w:t xml:space="preserve"> </w:t>
      </w:r>
      <w:r>
        <w:t>did not undertake</w:t>
      </w:r>
      <w:r>
        <w:rPr>
          <w:spacing w:val="-2"/>
        </w:rPr>
        <w:t xml:space="preserve"> </w:t>
      </w:r>
      <w:r>
        <w:t>a full</w:t>
      </w:r>
      <w:r>
        <w:rPr>
          <w:spacing w:val="-1"/>
        </w:rPr>
        <w:t xml:space="preserve"> </w:t>
      </w:r>
      <w:r>
        <w:t>community</w:t>
      </w:r>
      <w:r>
        <w:rPr>
          <w:spacing w:val="-2"/>
        </w:rPr>
        <w:t xml:space="preserve"> </w:t>
      </w:r>
      <w:r>
        <w:t>consultation of the kind</w:t>
      </w:r>
      <w:r>
        <w:rPr>
          <w:spacing w:val="-2"/>
        </w:rPr>
        <w:t xml:space="preserve"> </w:t>
      </w:r>
      <w:r>
        <w:t>undertaken</w:t>
      </w:r>
      <w:r>
        <w:rPr>
          <w:spacing w:val="-2"/>
        </w:rPr>
        <w:t xml:space="preserve"> </w:t>
      </w:r>
      <w:r>
        <w:t>in the</w:t>
      </w:r>
      <w:r>
        <w:rPr>
          <w:spacing w:val="-2"/>
        </w:rPr>
        <w:t xml:space="preserve"> </w:t>
      </w:r>
      <w:r>
        <w:t>preparation</w:t>
      </w:r>
      <w:r>
        <w:rPr>
          <w:spacing w:val="-2"/>
        </w:rPr>
        <w:t xml:space="preserve"> </w:t>
      </w:r>
      <w:r>
        <w:t>of the 2007 Final Report. The TLRI did, however, receive advice from those who gave the reference to the Institute (see Appendix C); it also had the benefit of assistance and oversight in the preparation of this</w:t>
      </w:r>
      <w:r>
        <w:rPr>
          <w:spacing w:val="-6"/>
        </w:rPr>
        <w:t xml:space="preserve"> </w:t>
      </w:r>
      <w:r>
        <w:t>Research</w:t>
      </w:r>
      <w:r>
        <w:rPr>
          <w:spacing w:val="-7"/>
        </w:rPr>
        <w:t xml:space="preserve"> </w:t>
      </w:r>
      <w:r>
        <w:t>Paper</w:t>
      </w:r>
      <w:r>
        <w:rPr>
          <w:spacing w:val="-6"/>
        </w:rPr>
        <w:t xml:space="preserve"> </w:t>
      </w:r>
      <w:r>
        <w:t>from</w:t>
      </w:r>
      <w:r>
        <w:rPr>
          <w:spacing w:val="-6"/>
        </w:rPr>
        <w:t xml:space="preserve"> </w:t>
      </w:r>
      <w:r>
        <w:t>an</w:t>
      </w:r>
      <w:r>
        <w:rPr>
          <w:spacing w:val="-7"/>
        </w:rPr>
        <w:t xml:space="preserve"> </w:t>
      </w:r>
      <w:r>
        <w:t>Expert</w:t>
      </w:r>
      <w:r>
        <w:rPr>
          <w:spacing w:val="-6"/>
        </w:rPr>
        <w:t xml:space="preserve"> </w:t>
      </w:r>
      <w:r>
        <w:t>Advisory</w:t>
      </w:r>
      <w:r>
        <w:rPr>
          <w:spacing w:val="-7"/>
        </w:rPr>
        <w:t xml:space="preserve"> </w:t>
      </w:r>
      <w:r>
        <w:t>Group.</w:t>
      </w:r>
      <w:r>
        <w:rPr>
          <w:position w:val="7"/>
          <w:sz w:val="13"/>
        </w:rPr>
        <w:t>1</w:t>
      </w:r>
      <w:r>
        <w:rPr>
          <w:spacing w:val="-3"/>
          <w:position w:val="7"/>
          <w:sz w:val="13"/>
        </w:rPr>
        <w:t xml:space="preserve"> </w:t>
      </w:r>
      <w:r>
        <w:t>The</w:t>
      </w:r>
      <w:r>
        <w:rPr>
          <w:spacing w:val="-7"/>
        </w:rPr>
        <w:t xml:space="preserve"> </w:t>
      </w:r>
      <w:r>
        <w:t>TLRI</w:t>
      </w:r>
      <w:r>
        <w:rPr>
          <w:spacing w:val="-9"/>
        </w:rPr>
        <w:t xml:space="preserve"> </w:t>
      </w:r>
      <w:r>
        <w:t>also</w:t>
      </w:r>
      <w:r>
        <w:rPr>
          <w:spacing w:val="-6"/>
        </w:rPr>
        <w:t xml:space="preserve"> </w:t>
      </w:r>
      <w:r>
        <w:t>considered</w:t>
      </w:r>
      <w:r>
        <w:rPr>
          <w:spacing w:val="-7"/>
        </w:rPr>
        <w:t xml:space="preserve"> </w:t>
      </w:r>
      <w:r>
        <w:t>developments</w:t>
      </w:r>
      <w:r>
        <w:rPr>
          <w:spacing w:val="-9"/>
        </w:rPr>
        <w:t xml:space="preserve"> </w:t>
      </w:r>
      <w:r>
        <w:t>in</w:t>
      </w:r>
      <w:r>
        <w:rPr>
          <w:spacing w:val="-7"/>
        </w:rPr>
        <w:t xml:space="preserve"> </w:t>
      </w:r>
      <w:r>
        <w:t>other jurisdictions to inform its views and the recommendations set out in this Research Paper.</w:t>
      </w:r>
    </w:p>
    <w:p w14:paraId="7CB25C3A" w14:textId="77777777" w:rsidR="008A4099" w:rsidRDefault="006A6EE2">
      <w:pPr>
        <w:pStyle w:val="BodyText"/>
        <w:spacing w:before="220"/>
        <w:ind w:left="160" w:right="676"/>
        <w:jc w:val="both"/>
      </w:pPr>
      <w:r>
        <w:t>This</w:t>
      </w:r>
      <w:r>
        <w:rPr>
          <w:spacing w:val="-11"/>
        </w:rPr>
        <w:t xml:space="preserve"> </w:t>
      </w:r>
      <w:r>
        <w:t>Research</w:t>
      </w:r>
      <w:r>
        <w:rPr>
          <w:spacing w:val="-12"/>
        </w:rPr>
        <w:t xml:space="preserve"> </w:t>
      </w:r>
      <w:r>
        <w:t>Paper</w:t>
      </w:r>
      <w:r>
        <w:rPr>
          <w:spacing w:val="-11"/>
        </w:rPr>
        <w:t xml:space="preserve"> </w:t>
      </w:r>
      <w:r>
        <w:t>reviews</w:t>
      </w:r>
      <w:r>
        <w:rPr>
          <w:spacing w:val="-11"/>
        </w:rPr>
        <w:t xml:space="preserve"> </w:t>
      </w:r>
      <w:r>
        <w:t>the</w:t>
      </w:r>
      <w:r>
        <w:rPr>
          <w:spacing w:val="-14"/>
        </w:rPr>
        <w:t xml:space="preserve"> </w:t>
      </w:r>
      <w:r>
        <w:t>recommendations</w:t>
      </w:r>
      <w:r>
        <w:rPr>
          <w:spacing w:val="-11"/>
        </w:rPr>
        <w:t xml:space="preserve"> </w:t>
      </w:r>
      <w:r>
        <w:t>contained</w:t>
      </w:r>
      <w:r>
        <w:rPr>
          <w:spacing w:val="-14"/>
        </w:rPr>
        <w:t xml:space="preserve"> </w:t>
      </w:r>
      <w:r>
        <w:t>in</w:t>
      </w:r>
      <w:r>
        <w:rPr>
          <w:spacing w:val="-14"/>
        </w:rPr>
        <w:t xml:space="preserve"> </w:t>
      </w:r>
      <w:r>
        <w:t>the</w:t>
      </w:r>
      <w:r>
        <w:rPr>
          <w:spacing w:val="-13"/>
        </w:rPr>
        <w:t xml:space="preserve"> </w:t>
      </w:r>
      <w:r>
        <w:t>2007</w:t>
      </w:r>
      <w:r>
        <w:rPr>
          <w:spacing w:val="-12"/>
        </w:rPr>
        <w:t xml:space="preserve"> </w:t>
      </w:r>
      <w:r>
        <w:t>Final</w:t>
      </w:r>
      <w:r>
        <w:rPr>
          <w:spacing w:val="-11"/>
        </w:rPr>
        <w:t xml:space="preserve"> </w:t>
      </w:r>
      <w:r>
        <w:t>Report</w:t>
      </w:r>
      <w:r>
        <w:rPr>
          <w:spacing w:val="-13"/>
        </w:rPr>
        <w:t xml:space="preserve"> </w:t>
      </w:r>
      <w:r>
        <w:t>in</w:t>
      </w:r>
      <w:r>
        <w:rPr>
          <w:spacing w:val="-12"/>
        </w:rPr>
        <w:t xml:space="preserve"> </w:t>
      </w:r>
      <w:r>
        <w:t>view</w:t>
      </w:r>
      <w:r>
        <w:rPr>
          <w:spacing w:val="-12"/>
        </w:rPr>
        <w:t xml:space="preserve"> </w:t>
      </w:r>
      <w:r>
        <w:t>of</w:t>
      </w:r>
      <w:r>
        <w:rPr>
          <w:spacing w:val="-11"/>
        </w:rPr>
        <w:t xml:space="preserve"> </w:t>
      </w:r>
      <w:r>
        <w:t>events and</w:t>
      </w:r>
      <w:r>
        <w:rPr>
          <w:spacing w:val="24"/>
        </w:rPr>
        <w:t xml:space="preserve"> </w:t>
      </w:r>
      <w:r>
        <w:t>experience</w:t>
      </w:r>
      <w:r>
        <w:rPr>
          <w:spacing w:val="22"/>
        </w:rPr>
        <w:t xml:space="preserve"> </w:t>
      </w:r>
      <w:r>
        <w:t>involving</w:t>
      </w:r>
      <w:r>
        <w:rPr>
          <w:spacing w:val="22"/>
        </w:rPr>
        <w:t xml:space="preserve"> </w:t>
      </w:r>
      <w:r>
        <w:t>human</w:t>
      </w:r>
      <w:r>
        <w:rPr>
          <w:spacing w:val="23"/>
        </w:rPr>
        <w:t xml:space="preserve"> </w:t>
      </w:r>
      <w:r>
        <w:t>rights</w:t>
      </w:r>
      <w:r>
        <w:rPr>
          <w:spacing w:val="22"/>
        </w:rPr>
        <w:t xml:space="preserve"> </w:t>
      </w:r>
      <w:r>
        <w:t>that</w:t>
      </w:r>
      <w:r>
        <w:rPr>
          <w:spacing w:val="25"/>
        </w:rPr>
        <w:t xml:space="preserve"> </w:t>
      </w:r>
      <w:r>
        <w:t>have</w:t>
      </w:r>
      <w:r>
        <w:rPr>
          <w:spacing w:val="24"/>
        </w:rPr>
        <w:t xml:space="preserve"> </w:t>
      </w:r>
      <w:r>
        <w:t>occurred</w:t>
      </w:r>
      <w:r>
        <w:rPr>
          <w:spacing w:val="25"/>
        </w:rPr>
        <w:t xml:space="preserve"> </w:t>
      </w:r>
      <w:r>
        <w:t>in</w:t>
      </w:r>
      <w:r>
        <w:rPr>
          <w:spacing w:val="22"/>
        </w:rPr>
        <w:t xml:space="preserve"> </w:t>
      </w:r>
      <w:r>
        <w:t>the</w:t>
      </w:r>
      <w:r>
        <w:rPr>
          <w:spacing w:val="24"/>
        </w:rPr>
        <w:t xml:space="preserve"> </w:t>
      </w:r>
      <w:r>
        <w:t>period</w:t>
      </w:r>
      <w:r>
        <w:rPr>
          <w:spacing w:val="24"/>
        </w:rPr>
        <w:t xml:space="preserve"> </w:t>
      </w:r>
      <w:r>
        <w:t>2007</w:t>
      </w:r>
      <w:r>
        <w:rPr>
          <w:spacing w:val="23"/>
        </w:rPr>
        <w:t xml:space="preserve"> </w:t>
      </w:r>
      <w:r>
        <w:t>to</w:t>
      </w:r>
      <w:r>
        <w:rPr>
          <w:spacing w:val="24"/>
        </w:rPr>
        <w:t xml:space="preserve"> </w:t>
      </w:r>
      <w:r>
        <w:t>2022</w:t>
      </w:r>
      <w:r>
        <w:rPr>
          <w:spacing w:val="24"/>
        </w:rPr>
        <w:t xml:space="preserve"> </w:t>
      </w:r>
      <w:r>
        <w:t>(the</w:t>
      </w:r>
      <w:r>
        <w:rPr>
          <w:spacing w:val="25"/>
        </w:rPr>
        <w:t xml:space="preserve"> </w:t>
      </w:r>
      <w:r>
        <w:rPr>
          <w:spacing w:val="-2"/>
        </w:rPr>
        <w:t>Review</w:t>
      </w:r>
    </w:p>
    <w:p w14:paraId="7CB25C3B" w14:textId="77777777" w:rsidR="008A4099" w:rsidRDefault="006A6EE2">
      <w:pPr>
        <w:pStyle w:val="BodyText"/>
        <w:spacing w:before="131"/>
        <w:rPr>
          <w:sz w:val="20"/>
        </w:rPr>
      </w:pPr>
      <w:r>
        <w:rPr>
          <w:noProof/>
        </w:rPr>
        <mc:AlternateContent>
          <mc:Choice Requires="wps">
            <w:drawing>
              <wp:anchor distT="0" distB="0" distL="0" distR="0" simplePos="0" relativeHeight="487587840" behindDoc="1" locked="0" layoutInCell="1" allowOverlap="1" wp14:anchorId="7CB265D9" wp14:editId="7CB265DA">
                <wp:simplePos x="0" y="0"/>
                <wp:positionH relativeFrom="page">
                  <wp:posOffset>914704</wp:posOffset>
                </wp:positionH>
                <wp:positionV relativeFrom="paragraph">
                  <wp:posOffset>245056</wp:posOffset>
                </wp:positionV>
                <wp:extent cx="182943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B39108" id="Graphic 24" o:spid="_x0000_s1026" style="position:absolute;margin-left:1in;margin-top:19.3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" path="m1829054,l,,,7619r1829054,l1829054,xe" fillcolor="black" stroked="f">
                <v:path arrowok="t"/>
                <w10:wrap type="topAndBottom" anchorx="page"/>
              </v:shape>
            </w:pict>
          </mc:Fallback>
        </mc:AlternateContent>
      </w:r>
    </w:p>
    <w:p w14:paraId="7CB25C3C" w14:textId="77777777" w:rsidR="008A4099" w:rsidRDefault="006A6EE2">
      <w:pPr>
        <w:spacing w:before="112"/>
        <w:ind w:left="160"/>
        <w:rPr>
          <w:sz w:val="18"/>
        </w:rPr>
      </w:pPr>
      <w:r>
        <w:rPr>
          <w:sz w:val="18"/>
          <w:vertAlign w:val="superscript"/>
        </w:rPr>
        <w:t>1</w:t>
      </w:r>
      <w:r>
        <w:rPr>
          <w:spacing w:val="-1"/>
          <w:sz w:val="18"/>
        </w:rPr>
        <w:t xml:space="preserve"> </w:t>
      </w:r>
      <w:r>
        <w:rPr>
          <w:sz w:val="18"/>
        </w:rPr>
        <w:t>See</w:t>
      </w:r>
      <w:r>
        <w:rPr>
          <w:spacing w:val="-2"/>
          <w:sz w:val="18"/>
        </w:rPr>
        <w:t xml:space="preserve"> </w:t>
      </w:r>
      <w:r>
        <w:rPr>
          <w:sz w:val="18"/>
        </w:rPr>
        <w:t>the</w:t>
      </w:r>
      <w:r>
        <w:rPr>
          <w:spacing w:val="-2"/>
          <w:sz w:val="18"/>
        </w:rPr>
        <w:t xml:space="preserve"> </w:t>
      </w:r>
      <w:r>
        <w:rPr>
          <w:sz w:val="18"/>
        </w:rPr>
        <w:t>Acknowledgments</w:t>
      </w:r>
      <w:r>
        <w:rPr>
          <w:spacing w:val="-1"/>
          <w:sz w:val="18"/>
        </w:rPr>
        <w:t xml:space="preserve"> </w:t>
      </w:r>
      <w:r>
        <w:rPr>
          <w:sz w:val="18"/>
        </w:rPr>
        <w:t>section of</w:t>
      </w:r>
      <w:r>
        <w:rPr>
          <w:spacing w:val="-3"/>
          <w:sz w:val="18"/>
        </w:rPr>
        <w:t xml:space="preserve"> </w:t>
      </w:r>
      <w:r>
        <w:rPr>
          <w:sz w:val="18"/>
        </w:rPr>
        <w:t xml:space="preserve">this Research </w:t>
      </w:r>
      <w:r>
        <w:rPr>
          <w:spacing w:val="-2"/>
          <w:sz w:val="18"/>
        </w:rPr>
        <w:t>Paper.</w:t>
      </w:r>
    </w:p>
    <w:p w14:paraId="7CB25C3D" w14:textId="77777777" w:rsidR="008A4099" w:rsidRDefault="008A4099">
      <w:pPr>
        <w:rPr>
          <w:sz w:val="18"/>
        </w:rPr>
        <w:sectPr w:rsidR="008A4099" w:rsidSect="00D43B2D">
          <w:pgSz w:w="11910" w:h="16840"/>
          <w:pgMar w:top="980" w:right="760" w:bottom="940" w:left="1280" w:header="718" w:footer="753" w:gutter="0"/>
          <w:cols w:space="720"/>
        </w:sectPr>
      </w:pPr>
    </w:p>
    <w:p w14:paraId="7CB25C3E" w14:textId="77777777" w:rsidR="008A4099" w:rsidRDefault="008A4099">
      <w:pPr>
        <w:pStyle w:val="BodyText"/>
        <w:spacing w:before="194"/>
      </w:pPr>
    </w:p>
    <w:p w14:paraId="7CB25C3F" w14:textId="77777777" w:rsidR="008A4099" w:rsidRDefault="006A6EE2">
      <w:pPr>
        <w:pStyle w:val="BodyText"/>
        <w:ind w:left="160" w:right="675"/>
        <w:jc w:val="both"/>
      </w:pPr>
      <w:r>
        <w:t>Period) in both Tasmania and those Australian jurisdictions with human rights enactments. It also addresses</w:t>
      </w:r>
      <w:r>
        <w:rPr>
          <w:spacing w:val="-11"/>
        </w:rPr>
        <w:t xml:space="preserve"> </w:t>
      </w:r>
      <w:r>
        <w:t>the</w:t>
      </w:r>
      <w:r>
        <w:rPr>
          <w:spacing w:val="-11"/>
        </w:rPr>
        <w:t xml:space="preserve"> </w:t>
      </w:r>
      <w:r>
        <w:t>question</w:t>
      </w:r>
      <w:r>
        <w:rPr>
          <w:spacing w:val="-11"/>
        </w:rPr>
        <w:t xml:space="preserve"> </w:t>
      </w:r>
      <w:r>
        <w:t>of</w:t>
      </w:r>
      <w:r>
        <w:rPr>
          <w:spacing w:val="-11"/>
        </w:rPr>
        <w:t xml:space="preserve"> </w:t>
      </w:r>
      <w:r>
        <w:t>whether</w:t>
      </w:r>
      <w:r>
        <w:rPr>
          <w:spacing w:val="-11"/>
        </w:rPr>
        <w:t xml:space="preserve"> </w:t>
      </w:r>
      <w:r>
        <w:t>the</w:t>
      </w:r>
      <w:r>
        <w:rPr>
          <w:spacing w:val="-11"/>
        </w:rPr>
        <w:t xml:space="preserve"> </w:t>
      </w:r>
      <w:r>
        <w:t>recommendations</w:t>
      </w:r>
      <w:r>
        <w:rPr>
          <w:spacing w:val="-11"/>
        </w:rPr>
        <w:t xml:space="preserve"> </w:t>
      </w:r>
      <w:r>
        <w:t>made</w:t>
      </w:r>
      <w:r>
        <w:rPr>
          <w:spacing w:val="-13"/>
        </w:rPr>
        <w:t xml:space="preserve"> </w:t>
      </w:r>
      <w:r>
        <w:t>in</w:t>
      </w:r>
      <w:r>
        <w:rPr>
          <w:spacing w:val="-11"/>
        </w:rPr>
        <w:t xml:space="preserve"> </w:t>
      </w:r>
      <w:r>
        <w:t>the</w:t>
      </w:r>
      <w:r>
        <w:rPr>
          <w:spacing w:val="-11"/>
        </w:rPr>
        <w:t xml:space="preserve"> </w:t>
      </w:r>
      <w:r>
        <w:t>2007</w:t>
      </w:r>
      <w:r>
        <w:rPr>
          <w:spacing w:val="-11"/>
        </w:rPr>
        <w:t xml:space="preserve"> </w:t>
      </w:r>
      <w:r>
        <w:t>Report</w:t>
      </w:r>
      <w:r>
        <w:rPr>
          <w:spacing w:val="-11"/>
        </w:rPr>
        <w:t xml:space="preserve"> </w:t>
      </w:r>
      <w:r>
        <w:t>require</w:t>
      </w:r>
      <w:r>
        <w:rPr>
          <w:spacing w:val="-11"/>
        </w:rPr>
        <w:t xml:space="preserve"> </w:t>
      </w:r>
      <w:r>
        <w:t>updating.</w:t>
      </w:r>
      <w:r>
        <w:rPr>
          <w:spacing w:val="-11"/>
        </w:rPr>
        <w:t xml:space="preserve"> </w:t>
      </w:r>
      <w:r>
        <w:t>This Research</w:t>
      </w:r>
      <w:r>
        <w:rPr>
          <w:spacing w:val="-2"/>
        </w:rPr>
        <w:t xml:space="preserve"> </w:t>
      </w:r>
      <w:r>
        <w:t>Paper</w:t>
      </w:r>
      <w:r>
        <w:rPr>
          <w:spacing w:val="-1"/>
        </w:rPr>
        <w:t xml:space="preserve"> </w:t>
      </w:r>
      <w:r>
        <w:t>does</w:t>
      </w:r>
      <w:r>
        <w:rPr>
          <w:spacing w:val="-2"/>
        </w:rPr>
        <w:t xml:space="preserve"> </w:t>
      </w:r>
      <w:r>
        <w:t>not</w:t>
      </w:r>
      <w:r>
        <w:rPr>
          <w:spacing w:val="-1"/>
        </w:rPr>
        <w:t xml:space="preserve"> </w:t>
      </w:r>
      <w:r>
        <w:t>review</w:t>
      </w:r>
      <w:r>
        <w:rPr>
          <w:spacing w:val="-2"/>
        </w:rPr>
        <w:t xml:space="preserve"> </w:t>
      </w:r>
      <w:r>
        <w:t>all</w:t>
      </w:r>
      <w:r>
        <w:rPr>
          <w:spacing w:val="-1"/>
        </w:rPr>
        <w:t xml:space="preserve"> </w:t>
      </w:r>
      <w:r>
        <w:t>the</w:t>
      </w:r>
      <w:r>
        <w:rPr>
          <w:spacing w:val="-2"/>
        </w:rPr>
        <w:t xml:space="preserve"> </w:t>
      </w:r>
      <w:r>
        <w:t>recommendations</w:t>
      </w:r>
      <w:r>
        <w:rPr>
          <w:spacing w:val="-2"/>
        </w:rPr>
        <w:t xml:space="preserve"> </w:t>
      </w:r>
      <w:r>
        <w:t>made</w:t>
      </w:r>
      <w:r>
        <w:rPr>
          <w:spacing w:val="-2"/>
        </w:rPr>
        <w:t xml:space="preserve"> </w:t>
      </w:r>
      <w:r>
        <w:t>in</w:t>
      </w:r>
      <w:r>
        <w:rPr>
          <w:spacing w:val="-5"/>
        </w:rPr>
        <w:t xml:space="preserve"> </w:t>
      </w:r>
      <w:r>
        <w:t>the</w:t>
      </w:r>
      <w:r>
        <w:rPr>
          <w:spacing w:val="-2"/>
        </w:rPr>
        <w:t xml:space="preserve"> </w:t>
      </w:r>
      <w:r>
        <w:t>2007</w:t>
      </w:r>
      <w:r>
        <w:rPr>
          <w:spacing w:val="-2"/>
        </w:rPr>
        <w:t xml:space="preserve"> </w:t>
      </w:r>
      <w:r>
        <w:t>Report,</w:t>
      </w:r>
      <w:r>
        <w:rPr>
          <w:spacing w:val="-2"/>
        </w:rPr>
        <w:t xml:space="preserve"> </w:t>
      </w:r>
      <w:r>
        <w:t>and</w:t>
      </w:r>
      <w:r>
        <w:rPr>
          <w:spacing w:val="-2"/>
        </w:rPr>
        <w:t xml:space="preserve"> </w:t>
      </w:r>
      <w:r>
        <w:t>only</w:t>
      </w:r>
      <w:r>
        <w:rPr>
          <w:spacing w:val="-5"/>
        </w:rPr>
        <w:t xml:space="preserve"> </w:t>
      </w:r>
      <w:r>
        <w:t>considers those to which events and experience since 2007 are relevant.</w:t>
      </w:r>
    </w:p>
    <w:p w14:paraId="7CB25C40" w14:textId="77777777" w:rsidR="008A4099" w:rsidRDefault="006A6EE2">
      <w:pPr>
        <w:pStyle w:val="BodyText"/>
        <w:spacing w:before="220"/>
        <w:ind w:left="160" w:right="674"/>
        <w:jc w:val="both"/>
      </w:pPr>
      <w:r>
        <w:t>The experience in Tasmania and other jurisdictions since 2007 points to the continued need for a comprehensive human rights framework. Accordingly, it remains the view of the TLRI that there is a need</w:t>
      </w:r>
      <w:r>
        <w:rPr>
          <w:spacing w:val="-5"/>
        </w:rPr>
        <w:t xml:space="preserve"> </w:t>
      </w:r>
      <w:r>
        <w:t>for</w:t>
      </w:r>
      <w:r>
        <w:rPr>
          <w:spacing w:val="-4"/>
        </w:rPr>
        <w:t xml:space="preserve"> </w:t>
      </w:r>
      <w:r>
        <w:t>a</w:t>
      </w:r>
      <w:r>
        <w:rPr>
          <w:spacing w:val="-2"/>
        </w:rPr>
        <w:t xml:space="preserve"> </w:t>
      </w:r>
      <w:r>
        <w:t>Human</w:t>
      </w:r>
      <w:r>
        <w:rPr>
          <w:spacing w:val="-2"/>
        </w:rPr>
        <w:t xml:space="preserve"> </w:t>
      </w:r>
      <w:r>
        <w:t>Rights</w:t>
      </w:r>
      <w:r>
        <w:rPr>
          <w:spacing w:val="-2"/>
        </w:rPr>
        <w:t xml:space="preserve"> </w:t>
      </w:r>
      <w:r>
        <w:t>Act</w:t>
      </w:r>
      <w:r>
        <w:rPr>
          <w:spacing w:val="-1"/>
        </w:rPr>
        <w:t xml:space="preserve"> </w:t>
      </w:r>
      <w:r>
        <w:t>for</w:t>
      </w:r>
      <w:r>
        <w:rPr>
          <w:spacing w:val="-2"/>
        </w:rPr>
        <w:t xml:space="preserve"> </w:t>
      </w:r>
      <w:r>
        <w:t>Tasmania</w:t>
      </w:r>
      <w:r>
        <w:rPr>
          <w:spacing w:val="-4"/>
        </w:rPr>
        <w:t xml:space="preserve"> </w:t>
      </w:r>
      <w:r>
        <w:t>in</w:t>
      </w:r>
      <w:r>
        <w:rPr>
          <w:spacing w:val="-2"/>
        </w:rPr>
        <w:t xml:space="preserve"> </w:t>
      </w:r>
      <w:r>
        <w:t>seeking</w:t>
      </w:r>
      <w:r>
        <w:rPr>
          <w:spacing w:val="-5"/>
        </w:rPr>
        <w:t xml:space="preserve"> </w:t>
      </w:r>
      <w:r>
        <w:t>to</w:t>
      </w:r>
      <w:r>
        <w:rPr>
          <w:spacing w:val="-2"/>
        </w:rPr>
        <w:t xml:space="preserve"> </w:t>
      </w:r>
      <w:r>
        <w:t>protect</w:t>
      </w:r>
      <w:r>
        <w:rPr>
          <w:spacing w:val="-1"/>
        </w:rPr>
        <w:t xml:space="preserve"> </w:t>
      </w:r>
      <w:r>
        <w:t>human</w:t>
      </w:r>
      <w:r>
        <w:rPr>
          <w:spacing w:val="-4"/>
        </w:rPr>
        <w:t xml:space="preserve"> </w:t>
      </w:r>
      <w:r>
        <w:t>rights,</w:t>
      </w:r>
      <w:r>
        <w:rPr>
          <w:spacing w:val="-2"/>
        </w:rPr>
        <w:t xml:space="preserve"> </w:t>
      </w:r>
      <w:r>
        <w:t>develop</w:t>
      </w:r>
      <w:r>
        <w:rPr>
          <w:spacing w:val="-5"/>
        </w:rPr>
        <w:t xml:space="preserve"> </w:t>
      </w:r>
      <w:r>
        <w:t>a</w:t>
      </w:r>
      <w:r>
        <w:rPr>
          <w:spacing w:val="-2"/>
        </w:rPr>
        <w:t xml:space="preserve"> </w:t>
      </w:r>
      <w:r>
        <w:t>human</w:t>
      </w:r>
      <w:r>
        <w:rPr>
          <w:spacing w:val="-4"/>
        </w:rPr>
        <w:t xml:space="preserve"> </w:t>
      </w:r>
      <w:r>
        <w:t>rights culture across government, and to frame parliamentary debate. A human rights enactment provides a consistent and transparent framework for discussion of human rights implications in the development of policies and legislation, as well as their implementation. It also helps frame relationships between the community, individuals, public authorities, legislators, and all arms of government – Parliament, the</w:t>
      </w:r>
      <w:r>
        <w:rPr>
          <w:spacing w:val="-8"/>
        </w:rPr>
        <w:t xml:space="preserve"> </w:t>
      </w:r>
      <w:r>
        <w:t>Executive,</w:t>
      </w:r>
      <w:r>
        <w:rPr>
          <w:spacing w:val="-8"/>
        </w:rPr>
        <w:t xml:space="preserve"> </w:t>
      </w:r>
      <w:r>
        <w:t>and</w:t>
      </w:r>
      <w:r>
        <w:rPr>
          <w:spacing w:val="-9"/>
        </w:rPr>
        <w:t xml:space="preserve"> </w:t>
      </w:r>
      <w:r>
        <w:t>Courts</w:t>
      </w:r>
      <w:r>
        <w:rPr>
          <w:spacing w:val="-11"/>
        </w:rPr>
        <w:t xml:space="preserve"> </w:t>
      </w:r>
      <w:r>
        <w:t>and</w:t>
      </w:r>
      <w:r>
        <w:rPr>
          <w:spacing w:val="-9"/>
        </w:rPr>
        <w:t xml:space="preserve"> </w:t>
      </w:r>
      <w:r>
        <w:t>Tribunals.</w:t>
      </w:r>
      <w:r>
        <w:rPr>
          <w:spacing w:val="-8"/>
        </w:rPr>
        <w:t xml:space="preserve"> </w:t>
      </w:r>
      <w:r>
        <w:t>Accordingly,</w:t>
      </w:r>
      <w:r>
        <w:rPr>
          <w:spacing w:val="-13"/>
        </w:rPr>
        <w:t xml:space="preserve"> </w:t>
      </w:r>
      <w:r>
        <w:t>the</w:t>
      </w:r>
      <w:r>
        <w:rPr>
          <w:spacing w:val="-8"/>
        </w:rPr>
        <w:t xml:space="preserve"> </w:t>
      </w:r>
      <w:r>
        <w:t>TLRI</w:t>
      </w:r>
      <w:r>
        <w:rPr>
          <w:spacing w:val="-10"/>
        </w:rPr>
        <w:t xml:space="preserve"> </w:t>
      </w:r>
      <w:r>
        <w:t>maintains</w:t>
      </w:r>
      <w:r>
        <w:rPr>
          <w:spacing w:val="-11"/>
        </w:rPr>
        <w:t xml:space="preserve"> </w:t>
      </w:r>
      <w:r>
        <w:t>its</w:t>
      </w:r>
      <w:r>
        <w:rPr>
          <w:spacing w:val="-8"/>
        </w:rPr>
        <w:t xml:space="preserve"> </w:t>
      </w:r>
      <w:r>
        <w:t>view</w:t>
      </w:r>
      <w:r>
        <w:rPr>
          <w:spacing w:val="-12"/>
        </w:rPr>
        <w:t xml:space="preserve"> </w:t>
      </w:r>
      <w:r>
        <w:t>in</w:t>
      </w:r>
      <w:r>
        <w:rPr>
          <w:spacing w:val="-11"/>
        </w:rPr>
        <w:t xml:space="preserve"> </w:t>
      </w:r>
      <w:r>
        <w:t>relation</w:t>
      </w:r>
      <w:r>
        <w:rPr>
          <w:spacing w:val="-11"/>
        </w:rPr>
        <w:t xml:space="preserve"> </w:t>
      </w:r>
      <w:r>
        <w:t>to</w:t>
      </w:r>
      <w:r>
        <w:rPr>
          <w:spacing w:val="-11"/>
        </w:rPr>
        <w:t xml:space="preserve"> </w:t>
      </w:r>
      <w:r>
        <w:t>its</w:t>
      </w:r>
      <w:r>
        <w:rPr>
          <w:spacing w:val="-8"/>
        </w:rPr>
        <w:t xml:space="preserve"> </w:t>
      </w:r>
      <w:r>
        <w:t>key recommendations in the 2007 Final report and makes further recommendations with a view to strengthening some recommendations.</w:t>
      </w:r>
    </w:p>
    <w:p w14:paraId="7CB25C41" w14:textId="77777777" w:rsidR="008A4099" w:rsidRDefault="008A4099">
      <w:pPr>
        <w:pStyle w:val="BodyText"/>
        <w:spacing w:before="229"/>
      </w:pPr>
    </w:p>
    <w:p w14:paraId="7CB25C42" w14:textId="77777777" w:rsidR="008A4099" w:rsidRDefault="006A6EE2">
      <w:pPr>
        <w:pStyle w:val="Heading6"/>
        <w:spacing w:before="1"/>
      </w:pPr>
      <w:r>
        <w:t>Developments</w:t>
      </w:r>
      <w:r>
        <w:rPr>
          <w:spacing w:val="-6"/>
        </w:rPr>
        <w:t xml:space="preserve"> </w:t>
      </w:r>
      <w:r>
        <w:t>in</w:t>
      </w:r>
      <w:r>
        <w:rPr>
          <w:spacing w:val="-4"/>
        </w:rPr>
        <w:t xml:space="preserve"> </w:t>
      </w:r>
      <w:r>
        <w:t>other</w:t>
      </w:r>
      <w:r>
        <w:rPr>
          <w:spacing w:val="-4"/>
        </w:rPr>
        <w:t xml:space="preserve"> </w:t>
      </w:r>
      <w:r>
        <w:rPr>
          <w:spacing w:val="-2"/>
        </w:rPr>
        <w:t>jurisdictions</w:t>
      </w:r>
    </w:p>
    <w:p w14:paraId="7CB25C43" w14:textId="77777777" w:rsidR="008A4099" w:rsidRDefault="006A6EE2">
      <w:pPr>
        <w:pStyle w:val="BodyText"/>
        <w:spacing w:before="217"/>
        <w:ind w:left="160" w:right="675"/>
        <w:jc w:val="both"/>
      </w:pPr>
      <w:r>
        <w:t>In the 17 years since the 2007 Final Report was published, there have been several human rights developments in other Australian</w:t>
      </w:r>
      <w:r>
        <w:rPr>
          <w:spacing w:val="-2"/>
        </w:rPr>
        <w:t xml:space="preserve"> </w:t>
      </w:r>
      <w:r>
        <w:t>jurisdictions. Human</w:t>
      </w:r>
      <w:r>
        <w:rPr>
          <w:spacing w:val="-2"/>
        </w:rPr>
        <w:t xml:space="preserve"> </w:t>
      </w:r>
      <w:r>
        <w:t xml:space="preserve">rights enactments have also been referenced in judicial proceedings. The </w:t>
      </w:r>
      <w:r>
        <w:rPr>
          <w:i/>
        </w:rPr>
        <w:t xml:space="preserve">Charter of Human Rights and Responsibilities Act 2006 </w:t>
      </w:r>
      <w:r>
        <w:t>(Vic) (‘Vic Human Rights Charter’) was subject to comprehensive statutory reviews in 2011 and 2015, which identified areas to improve its operation, including strengthening</w:t>
      </w:r>
      <w:r>
        <w:rPr>
          <w:spacing w:val="-2"/>
        </w:rPr>
        <w:t xml:space="preserve"> </w:t>
      </w:r>
      <w:r>
        <w:t>the consequences for breaches of human rights and removing barriers for people to obtain redress for breaches of their rights. Several of the recommendations made in these reviews mirror the recommendations of the TLRI in the 2007 Final Report.</w:t>
      </w:r>
      <w:r>
        <w:rPr>
          <w:position w:val="7"/>
          <w:sz w:val="13"/>
        </w:rPr>
        <w:t xml:space="preserve">2 </w:t>
      </w:r>
      <w:r>
        <w:t>It should be noted that, notwithstanding the reviews, the Vic Human Rights Charter remains largely unchanged.</w:t>
      </w:r>
    </w:p>
    <w:p w14:paraId="7CB25C44" w14:textId="77777777" w:rsidR="008A4099" w:rsidRDefault="006A6EE2">
      <w:pPr>
        <w:pStyle w:val="BodyText"/>
        <w:spacing w:before="222"/>
        <w:ind w:left="160" w:right="675"/>
        <w:jc w:val="both"/>
      </w:pPr>
      <w:r>
        <w:t xml:space="preserve">The </w:t>
      </w:r>
      <w:r>
        <w:rPr>
          <w:i/>
        </w:rPr>
        <w:t xml:space="preserve">Human Rights Act 2004 </w:t>
      </w:r>
      <w:r>
        <w:t>(ACT) (‘ACT Human Rights Act’) has also been reviewed, resulting in amendments made with a view to strengthening rights. Reforms include imposing a positive duty on public authorities to act compatibly with human rights obligations and expanding the rights protected to</w:t>
      </w:r>
      <w:r>
        <w:rPr>
          <w:spacing w:val="-12"/>
        </w:rPr>
        <w:t xml:space="preserve"> </w:t>
      </w:r>
      <w:r>
        <w:t>include</w:t>
      </w:r>
      <w:r>
        <w:rPr>
          <w:spacing w:val="-14"/>
        </w:rPr>
        <w:t xml:space="preserve"> </w:t>
      </w:r>
      <w:r>
        <w:t>the</w:t>
      </w:r>
      <w:r>
        <w:rPr>
          <w:spacing w:val="-14"/>
        </w:rPr>
        <w:t xml:space="preserve"> </w:t>
      </w:r>
      <w:r>
        <w:t>right</w:t>
      </w:r>
      <w:r>
        <w:rPr>
          <w:spacing w:val="-13"/>
        </w:rPr>
        <w:t xml:space="preserve"> </w:t>
      </w:r>
      <w:r>
        <w:t>to</w:t>
      </w:r>
      <w:r>
        <w:rPr>
          <w:spacing w:val="-12"/>
        </w:rPr>
        <w:t xml:space="preserve"> </w:t>
      </w:r>
      <w:r>
        <w:t>education,</w:t>
      </w:r>
      <w:r>
        <w:rPr>
          <w:spacing w:val="-14"/>
        </w:rPr>
        <w:t xml:space="preserve"> </w:t>
      </w:r>
      <w:r>
        <w:t>distinct</w:t>
      </w:r>
      <w:r>
        <w:rPr>
          <w:spacing w:val="-11"/>
        </w:rPr>
        <w:t xml:space="preserve"> </w:t>
      </w:r>
      <w:r>
        <w:t>cultural</w:t>
      </w:r>
      <w:r>
        <w:rPr>
          <w:spacing w:val="-11"/>
        </w:rPr>
        <w:t xml:space="preserve"> </w:t>
      </w:r>
      <w:r>
        <w:t>rights</w:t>
      </w:r>
      <w:r>
        <w:rPr>
          <w:spacing w:val="-14"/>
        </w:rPr>
        <w:t xml:space="preserve"> </w:t>
      </w:r>
      <w:r>
        <w:t>of</w:t>
      </w:r>
      <w:r>
        <w:rPr>
          <w:spacing w:val="-11"/>
        </w:rPr>
        <w:t xml:space="preserve"> </w:t>
      </w:r>
      <w:r>
        <w:t>Aboriginal</w:t>
      </w:r>
      <w:r>
        <w:rPr>
          <w:spacing w:val="-11"/>
        </w:rPr>
        <w:t xml:space="preserve"> </w:t>
      </w:r>
      <w:r>
        <w:t>and</w:t>
      </w:r>
      <w:r>
        <w:rPr>
          <w:spacing w:val="-12"/>
        </w:rPr>
        <w:t xml:space="preserve"> </w:t>
      </w:r>
      <w:r>
        <w:t>Torres</w:t>
      </w:r>
      <w:r>
        <w:rPr>
          <w:spacing w:val="-11"/>
        </w:rPr>
        <w:t xml:space="preserve"> </w:t>
      </w:r>
      <w:r>
        <w:t>Strait</w:t>
      </w:r>
      <w:r>
        <w:rPr>
          <w:spacing w:val="-11"/>
        </w:rPr>
        <w:t xml:space="preserve"> </w:t>
      </w:r>
      <w:r>
        <w:t>Islander</w:t>
      </w:r>
      <w:r>
        <w:rPr>
          <w:spacing w:val="-11"/>
        </w:rPr>
        <w:t xml:space="preserve"> </w:t>
      </w:r>
      <w:r>
        <w:t>peoples, the right to work, and workers’ rights. The ACT Government has committed to include a right to a healthy environment as a protected right under the ACT Human Rights Act and has also introduced legislation that would insert that right into the ACT Charter.</w:t>
      </w:r>
      <w:r>
        <w:rPr>
          <w:position w:val="7"/>
          <w:sz w:val="13"/>
        </w:rPr>
        <w:t>3</w:t>
      </w:r>
      <w:r>
        <w:rPr>
          <w:spacing w:val="39"/>
          <w:position w:val="7"/>
          <w:sz w:val="13"/>
        </w:rPr>
        <w:t xml:space="preserve"> </w:t>
      </w:r>
      <w:r>
        <w:t>Significantly such amendments would correspond with recommendations made by the TLRI for a Tasmanian Charter of Rights in its 2007 Final Report.</w:t>
      </w:r>
    </w:p>
    <w:p w14:paraId="7CB25C45" w14:textId="77777777" w:rsidR="008A4099" w:rsidRDefault="006A6EE2">
      <w:pPr>
        <w:pStyle w:val="BodyText"/>
        <w:spacing w:before="219"/>
        <w:ind w:left="160" w:right="677"/>
        <w:jc w:val="both"/>
      </w:pPr>
      <w:r>
        <w:t>The ACT</w:t>
      </w:r>
      <w:r>
        <w:rPr>
          <w:spacing w:val="-1"/>
        </w:rPr>
        <w:t xml:space="preserve"> </w:t>
      </w:r>
      <w:r>
        <w:t>Human</w:t>
      </w:r>
      <w:r>
        <w:rPr>
          <w:spacing w:val="-2"/>
        </w:rPr>
        <w:t xml:space="preserve"> </w:t>
      </w:r>
      <w:r>
        <w:t>Rights</w:t>
      </w:r>
      <w:r>
        <w:rPr>
          <w:spacing w:val="-2"/>
        </w:rPr>
        <w:t xml:space="preserve"> </w:t>
      </w:r>
      <w:r>
        <w:t>Act was also</w:t>
      </w:r>
      <w:r>
        <w:rPr>
          <w:spacing w:val="-2"/>
        </w:rPr>
        <w:t xml:space="preserve"> </w:t>
      </w:r>
      <w:r>
        <w:t>amended</w:t>
      </w:r>
      <w:r>
        <w:rPr>
          <w:spacing w:val="-2"/>
        </w:rPr>
        <w:t xml:space="preserve"> </w:t>
      </w:r>
      <w:r>
        <w:t>to</w:t>
      </w:r>
      <w:r>
        <w:rPr>
          <w:spacing w:val="-3"/>
        </w:rPr>
        <w:t xml:space="preserve"> </w:t>
      </w:r>
      <w:r>
        <w:t>provide</w:t>
      </w:r>
      <w:r>
        <w:rPr>
          <w:spacing w:val="-2"/>
        </w:rPr>
        <w:t xml:space="preserve"> </w:t>
      </w:r>
      <w:r>
        <w:t>an</w:t>
      </w:r>
      <w:r>
        <w:rPr>
          <w:spacing w:val="-2"/>
        </w:rPr>
        <w:t xml:space="preserve"> </w:t>
      </w:r>
      <w:r>
        <w:t>independent</w:t>
      </w:r>
      <w:r>
        <w:rPr>
          <w:spacing w:val="-1"/>
        </w:rPr>
        <w:t xml:space="preserve"> </w:t>
      </w:r>
      <w:r>
        <w:t>and direct</w:t>
      </w:r>
      <w:r>
        <w:rPr>
          <w:spacing w:val="-1"/>
        </w:rPr>
        <w:t xml:space="preserve"> </w:t>
      </w:r>
      <w:r>
        <w:t>right</w:t>
      </w:r>
      <w:r>
        <w:rPr>
          <w:spacing w:val="-1"/>
        </w:rPr>
        <w:t xml:space="preserve"> </w:t>
      </w:r>
      <w:r>
        <w:t>of action</w:t>
      </w:r>
      <w:r>
        <w:rPr>
          <w:spacing w:val="-2"/>
        </w:rPr>
        <w:t xml:space="preserve"> </w:t>
      </w:r>
      <w:r>
        <w:t>in the Supreme Court to people affected by breaches of the Act. This goes beyond the causes of action available in other jurisdictions in Australia with human rights legislation, which continue to require human</w:t>
      </w:r>
      <w:r>
        <w:rPr>
          <w:spacing w:val="-2"/>
        </w:rPr>
        <w:t xml:space="preserve"> </w:t>
      </w:r>
      <w:r>
        <w:t>rights claims to ‘piggy-back’ on existing causes</w:t>
      </w:r>
      <w:r>
        <w:rPr>
          <w:spacing w:val="-2"/>
        </w:rPr>
        <w:t xml:space="preserve"> </w:t>
      </w:r>
      <w:r>
        <w:t>actions available under other legislation or the common</w:t>
      </w:r>
      <w:r>
        <w:rPr>
          <w:spacing w:val="-4"/>
        </w:rPr>
        <w:t xml:space="preserve"> </w:t>
      </w:r>
      <w:r>
        <w:t>law.</w:t>
      </w:r>
      <w:r>
        <w:rPr>
          <w:spacing w:val="-4"/>
        </w:rPr>
        <w:t xml:space="preserve"> </w:t>
      </w:r>
      <w:r>
        <w:t>The</w:t>
      </w:r>
      <w:r>
        <w:rPr>
          <w:spacing w:val="-1"/>
        </w:rPr>
        <w:t xml:space="preserve"> </w:t>
      </w:r>
      <w:r>
        <w:t>ACT</w:t>
      </w:r>
      <w:r>
        <w:rPr>
          <w:spacing w:val="-4"/>
        </w:rPr>
        <w:t xml:space="preserve"> </w:t>
      </w:r>
      <w:r>
        <w:t>reform</w:t>
      </w:r>
      <w:r>
        <w:rPr>
          <w:spacing w:val="-3"/>
        </w:rPr>
        <w:t xml:space="preserve"> </w:t>
      </w:r>
      <w:r>
        <w:t>to</w:t>
      </w:r>
      <w:r>
        <w:rPr>
          <w:spacing w:val="-4"/>
        </w:rPr>
        <w:t xml:space="preserve"> </w:t>
      </w:r>
      <w:r>
        <w:t>create</w:t>
      </w:r>
      <w:r>
        <w:rPr>
          <w:spacing w:val="-1"/>
        </w:rPr>
        <w:t xml:space="preserve"> </w:t>
      </w:r>
      <w:r>
        <w:t>a</w:t>
      </w:r>
      <w:r>
        <w:rPr>
          <w:spacing w:val="-3"/>
        </w:rPr>
        <w:t xml:space="preserve"> </w:t>
      </w:r>
      <w:r>
        <w:t>direct</w:t>
      </w:r>
      <w:r>
        <w:rPr>
          <w:spacing w:val="-3"/>
        </w:rPr>
        <w:t xml:space="preserve"> </w:t>
      </w:r>
      <w:r>
        <w:t>right</w:t>
      </w:r>
      <w:r>
        <w:rPr>
          <w:spacing w:val="-5"/>
        </w:rPr>
        <w:t xml:space="preserve"> </w:t>
      </w:r>
      <w:r>
        <w:t>of</w:t>
      </w:r>
      <w:r>
        <w:rPr>
          <w:spacing w:val="-1"/>
        </w:rPr>
        <w:t xml:space="preserve"> </w:t>
      </w:r>
      <w:r>
        <w:t>action</w:t>
      </w:r>
      <w:r>
        <w:rPr>
          <w:spacing w:val="-4"/>
        </w:rPr>
        <w:t xml:space="preserve"> </w:t>
      </w:r>
      <w:r>
        <w:t>is</w:t>
      </w:r>
      <w:r>
        <w:rPr>
          <w:spacing w:val="-3"/>
        </w:rPr>
        <w:t xml:space="preserve"> </w:t>
      </w:r>
      <w:r>
        <w:t>consistent with</w:t>
      </w:r>
      <w:r>
        <w:rPr>
          <w:spacing w:val="-4"/>
        </w:rPr>
        <w:t xml:space="preserve"> </w:t>
      </w:r>
      <w:r>
        <w:t>the</w:t>
      </w:r>
      <w:r>
        <w:rPr>
          <w:spacing w:val="-3"/>
        </w:rPr>
        <w:t xml:space="preserve"> </w:t>
      </w:r>
      <w:r>
        <w:t>approach</w:t>
      </w:r>
      <w:r>
        <w:rPr>
          <w:spacing w:val="-4"/>
        </w:rPr>
        <w:t xml:space="preserve"> </w:t>
      </w:r>
      <w:r>
        <w:t>that</w:t>
      </w:r>
      <w:r>
        <w:rPr>
          <w:spacing w:val="-3"/>
        </w:rPr>
        <w:t xml:space="preserve"> </w:t>
      </w:r>
      <w:r>
        <w:t>the TLRI recommended in the 2007 Final Report.</w:t>
      </w:r>
    </w:p>
    <w:p w14:paraId="7CB25C46" w14:textId="77777777" w:rsidR="008A4099" w:rsidRDefault="006A6EE2">
      <w:pPr>
        <w:pStyle w:val="BodyText"/>
        <w:spacing w:before="221"/>
        <w:ind w:left="160" w:right="677"/>
        <w:jc w:val="both"/>
      </w:pPr>
      <w:r>
        <w:t>At the</w:t>
      </w:r>
      <w:r>
        <w:rPr>
          <w:spacing w:val="-3"/>
        </w:rPr>
        <w:t xml:space="preserve"> </w:t>
      </w:r>
      <w:r>
        <w:t>federal</w:t>
      </w:r>
      <w:r>
        <w:rPr>
          <w:spacing w:val="-2"/>
        </w:rPr>
        <w:t xml:space="preserve"> </w:t>
      </w:r>
      <w:r>
        <w:t>level,</w:t>
      </w:r>
      <w:r>
        <w:rPr>
          <w:spacing w:val="-4"/>
        </w:rPr>
        <w:t xml:space="preserve"> </w:t>
      </w:r>
      <w:r>
        <w:t xml:space="preserve">the </w:t>
      </w:r>
      <w:r>
        <w:rPr>
          <w:i/>
        </w:rPr>
        <w:t>Human</w:t>
      </w:r>
      <w:r>
        <w:rPr>
          <w:i/>
          <w:spacing w:val="-1"/>
        </w:rPr>
        <w:t xml:space="preserve"> </w:t>
      </w:r>
      <w:r>
        <w:rPr>
          <w:i/>
        </w:rPr>
        <w:t>Rights</w:t>
      </w:r>
      <w:r>
        <w:rPr>
          <w:i/>
          <w:spacing w:val="-3"/>
        </w:rPr>
        <w:t xml:space="preserve"> </w:t>
      </w:r>
      <w:r>
        <w:rPr>
          <w:i/>
        </w:rPr>
        <w:t>(Parliamentary</w:t>
      </w:r>
      <w:r>
        <w:rPr>
          <w:i/>
          <w:spacing w:val="-3"/>
        </w:rPr>
        <w:t xml:space="preserve"> </w:t>
      </w:r>
      <w:r>
        <w:rPr>
          <w:i/>
        </w:rPr>
        <w:t>Scrutiny)</w:t>
      </w:r>
      <w:r>
        <w:rPr>
          <w:i/>
          <w:spacing w:val="-2"/>
        </w:rPr>
        <w:t xml:space="preserve"> </w:t>
      </w:r>
      <w:r>
        <w:rPr>
          <w:i/>
        </w:rPr>
        <w:t xml:space="preserve">Act 2011 </w:t>
      </w:r>
      <w:r>
        <w:t>(Cth)</w:t>
      </w:r>
      <w:r>
        <w:rPr>
          <w:spacing w:val="-3"/>
        </w:rPr>
        <w:t xml:space="preserve"> </w:t>
      </w:r>
      <w:r>
        <w:t>requires</w:t>
      </w:r>
      <w:r>
        <w:rPr>
          <w:spacing w:val="-3"/>
        </w:rPr>
        <w:t xml:space="preserve"> </w:t>
      </w:r>
      <w:r>
        <w:t>the</w:t>
      </w:r>
      <w:r>
        <w:rPr>
          <w:spacing w:val="-3"/>
        </w:rPr>
        <w:t xml:space="preserve"> </w:t>
      </w:r>
      <w:r>
        <w:t>impact of new Commonwealth legislation on human rights to be assessed by the Parliamentary Joint Committee on Human Rights (‘PJCHR’). This Act deals only with scrutiny of proposed legislation (Bills and legislative</w:t>
      </w:r>
      <w:r>
        <w:rPr>
          <w:spacing w:val="-11"/>
        </w:rPr>
        <w:t xml:space="preserve"> </w:t>
      </w:r>
      <w:r>
        <w:t>instruments),</w:t>
      </w:r>
      <w:r>
        <w:rPr>
          <w:spacing w:val="-9"/>
        </w:rPr>
        <w:t xml:space="preserve"> </w:t>
      </w:r>
      <w:r>
        <w:t>the</w:t>
      </w:r>
      <w:r>
        <w:rPr>
          <w:spacing w:val="-11"/>
        </w:rPr>
        <w:t xml:space="preserve"> </w:t>
      </w:r>
      <w:r>
        <w:t>utility</w:t>
      </w:r>
      <w:r>
        <w:rPr>
          <w:spacing w:val="-9"/>
        </w:rPr>
        <w:t xml:space="preserve"> </w:t>
      </w:r>
      <w:r>
        <w:t>of</w:t>
      </w:r>
      <w:r>
        <w:rPr>
          <w:spacing w:val="-8"/>
        </w:rPr>
        <w:t xml:space="preserve"> </w:t>
      </w:r>
      <w:r>
        <w:t>which</w:t>
      </w:r>
      <w:r>
        <w:rPr>
          <w:spacing w:val="-11"/>
        </w:rPr>
        <w:t xml:space="preserve"> </w:t>
      </w:r>
      <w:r>
        <w:t>is</w:t>
      </w:r>
      <w:r>
        <w:rPr>
          <w:spacing w:val="-8"/>
        </w:rPr>
        <w:t xml:space="preserve"> </w:t>
      </w:r>
      <w:r>
        <w:t>limited</w:t>
      </w:r>
      <w:r>
        <w:rPr>
          <w:spacing w:val="-11"/>
        </w:rPr>
        <w:t xml:space="preserve"> </w:t>
      </w:r>
      <w:r>
        <w:t>in</w:t>
      </w:r>
      <w:r>
        <w:rPr>
          <w:spacing w:val="-9"/>
        </w:rPr>
        <w:t xml:space="preserve"> </w:t>
      </w:r>
      <w:r>
        <w:t>practice</w:t>
      </w:r>
      <w:r>
        <w:rPr>
          <w:spacing w:val="-8"/>
        </w:rPr>
        <w:t xml:space="preserve"> </w:t>
      </w:r>
      <w:r>
        <w:t>due</w:t>
      </w:r>
      <w:r>
        <w:rPr>
          <w:spacing w:val="-8"/>
        </w:rPr>
        <w:t xml:space="preserve"> </w:t>
      </w:r>
      <w:r>
        <w:t>to</w:t>
      </w:r>
      <w:r>
        <w:rPr>
          <w:spacing w:val="-11"/>
        </w:rPr>
        <w:t xml:space="preserve"> </w:t>
      </w:r>
      <w:r>
        <w:t>the</w:t>
      </w:r>
      <w:r>
        <w:rPr>
          <w:spacing w:val="-8"/>
        </w:rPr>
        <w:t xml:space="preserve"> </w:t>
      </w:r>
      <w:r>
        <w:t>composition</w:t>
      </w:r>
      <w:r>
        <w:rPr>
          <w:spacing w:val="-9"/>
        </w:rPr>
        <w:t xml:space="preserve"> </w:t>
      </w:r>
      <w:r>
        <w:t>of</w:t>
      </w:r>
      <w:r>
        <w:rPr>
          <w:spacing w:val="-8"/>
        </w:rPr>
        <w:t xml:space="preserve"> </w:t>
      </w:r>
      <w:r>
        <w:t>the</w:t>
      </w:r>
      <w:r>
        <w:rPr>
          <w:spacing w:val="-8"/>
        </w:rPr>
        <w:t xml:space="preserve"> </w:t>
      </w:r>
      <w:r>
        <w:t>Scrutiny Committee</w:t>
      </w:r>
      <w:r>
        <w:rPr>
          <w:spacing w:val="-2"/>
        </w:rPr>
        <w:t xml:space="preserve"> </w:t>
      </w:r>
      <w:r>
        <w:t>and</w:t>
      </w:r>
      <w:r>
        <w:rPr>
          <w:spacing w:val="-4"/>
        </w:rPr>
        <w:t xml:space="preserve"> </w:t>
      </w:r>
      <w:r>
        <w:t>the</w:t>
      </w:r>
      <w:r>
        <w:rPr>
          <w:spacing w:val="-3"/>
        </w:rPr>
        <w:t xml:space="preserve"> </w:t>
      </w:r>
      <w:r>
        <w:t>fact</w:t>
      </w:r>
      <w:r>
        <w:rPr>
          <w:spacing w:val="-1"/>
        </w:rPr>
        <w:t xml:space="preserve"> </w:t>
      </w:r>
      <w:r>
        <w:t>that</w:t>
      </w:r>
      <w:r>
        <w:rPr>
          <w:spacing w:val="-3"/>
        </w:rPr>
        <w:t xml:space="preserve"> </w:t>
      </w:r>
      <w:r>
        <w:t>scrutiny</w:t>
      </w:r>
      <w:r>
        <w:rPr>
          <w:spacing w:val="-2"/>
        </w:rPr>
        <w:t xml:space="preserve"> </w:t>
      </w:r>
      <w:r>
        <w:t>is</w:t>
      </w:r>
      <w:r>
        <w:rPr>
          <w:spacing w:val="-2"/>
        </w:rPr>
        <w:t xml:space="preserve"> </w:t>
      </w:r>
      <w:r>
        <w:t>often</w:t>
      </w:r>
      <w:r>
        <w:rPr>
          <w:spacing w:val="-2"/>
        </w:rPr>
        <w:t xml:space="preserve"> </w:t>
      </w:r>
      <w:r>
        <w:t>completed</w:t>
      </w:r>
      <w:r>
        <w:rPr>
          <w:spacing w:val="-3"/>
        </w:rPr>
        <w:t xml:space="preserve"> </w:t>
      </w:r>
      <w:r>
        <w:t>only</w:t>
      </w:r>
      <w:r>
        <w:rPr>
          <w:spacing w:val="-2"/>
        </w:rPr>
        <w:t xml:space="preserve"> </w:t>
      </w:r>
      <w:r>
        <w:t>after</w:t>
      </w:r>
      <w:r>
        <w:rPr>
          <w:spacing w:val="-3"/>
        </w:rPr>
        <w:t xml:space="preserve"> </w:t>
      </w:r>
      <w:r>
        <w:t>legislation</w:t>
      </w:r>
      <w:r>
        <w:rPr>
          <w:spacing w:val="-2"/>
        </w:rPr>
        <w:t xml:space="preserve"> </w:t>
      </w:r>
      <w:r>
        <w:t>has</w:t>
      </w:r>
      <w:r>
        <w:rPr>
          <w:spacing w:val="-2"/>
        </w:rPr>
        <w:t xml:space="preserve"> </w:t>
      </w:r>
      <w:r>
        <w:t>already</w:t>
      </w:r>
      <w:r>
        <w:rPr>
          <w:spacing w:val="-4"/>
        </w:rPr>
        <w:t xml:space="preserve"> </w:t>
      </w:r>
      <w:r>
        <w:t>been</w:t>
      </w:r>
      <w:r>
        <w:rPr>
          <w:spacing w:val="-4"/>
        </w:rPr>
        <w:t xml:space="preserve"> </w:t>
      </w:r>
      <w:r>
        <w:t>debated and enacted. There is still no legislated national Charter of Rights.</w:t>
      </w:r>
    </w:p>
    <w:p w14:paraId="7CB25C47" w14:textId="77777777" w:rsidR="008A4099" w:rsidRDefault="006A6EE2">
      <w:pPr>
        <w:pStyle w:val="BodyText"/>
        <w:spacing w:before="175"/>
        <w:rPr>
          <w:sz w:val="20"/>
        </w:rPr>
      </w:pPr>
      <w:r>
        <w:rPr>
          <w:noProof/>
        </w:rPr>
        <mc:AlternateContent>
          <mc:Choice Requires="wps">
            <w:drawing>
              <wp:anchor distT="0" distB="0" distL="0" distR="0" simplePos="0" relativeHeight="487588352" behindDoc="1" locked="0" layoutInCell="1" allowOverlap="1" wp14:anchorId="7CB265DB" wp14:editId="7CB265DC">
                <wp:simplePos x="0" y="0"/>
                <wp:positionH relativeFrom="page">
                  <wp:posOffset>914704</wp:posOffset>
                </wp:positionH>
                <wp:positionV relativeFrom="paragraph">
                  <wp:posOffset>272878</wp:posOffset>
                </wp:positionV>
                <wp:extent cx="182943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A4805D" id="Graphic 25" o:spid="_x0000_s1026" style="position:absolute;margin-left:1in;margin-top:21.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" path="m1829054,l,,,7619r1829054,l1829054,xe" fillcolor="black" stroked="f">
                <v:path arrowok="t"/>
                <w10:wrap type="topAndBottom" anchorx="page"/>
              </v:shape>
            </w:pict>
          </mc:Fallback>
        </mc:AlternateContent>
      </w:r>
    </w:p>
    <w:p w14:paraId="7CB25C48" w14:textId="77777777" w:rsidR="008A4099" w:rsidRDefault="006A6EE2">
      <w:pPr>
        <w:spacing w:before="112"/>
        <w:ind w:left="160"/>
        <w:rPr>
          <w:sz w:val="18"/>
        </w:rPr>
      </w:pPr>
      <w:r>
        <w:rPr>
          <w:sz w:val="18"/>
          <w:vertAlign w:val="superscript"/>
        </w:rPr>
        <w:t>2</w:t>
      </w:r>
      <w:r>
        <w:rPr>
          <w:spacing w:val="-1"/>
          <w:sz w:val="18"/>
        </w:rPr>
        <w:t xml:space="preserve"> </w:t>
      </w:r>
      <w:r>
        <w:rPr>
          <w:sz w:val="18"/>
        </w:rPr>
        <w:t>See</w:t>
      </w:r>
      <w:r>
        <w:rPr>
          <w:spacing w:val="-1"/>
          <w:sz w:val="18"/>
        </w:rPr>
        <w:t xml:space="preserve"> </w:t>
      </w:r>
      <w:r>
        <w:rPr>
          <w:sz w:val="18"/>
        </w:rPr>
        <w:t>Parts 2</w:t>
      </w:r>
      <w:r>
        <w:rPr>
          <w:spacing w:val="1"/>
          <w:sz w:val="18"/>
        </w:rPr>
        <w:t xml:space="preserve"> </w:t>
      </w:r>
      <w:r>
        <w:rPr>
          <w:sz w:val="18"/>
        </w:rPr>
        <w:t>and</w:t>
      </w:r>
      <w:r>
        <w:rPr>
          <w:spacing w:val="-1"/>
          <w:sz w:val="18"/>
        </w:rPr>
        <w:t xml:space="preserve"> </w:t>
      </w:r>
      <w:r>
        <w:rPr>
          <w:sz w:val="18"/>
        </w:rPr>
        <w:t>3 of</w:t>
      </w:r>
      <w:r>
        <w:rPr>
          <w:spacing w:val="-2"/>
          <w:sz w:val="18"/>
        </w:rPr>
        <w:t xml:space="preserve"> </w:t>
      </w:r>
      <w:r>
        <w:rPr>
          <w:sz w:val="18"/>
        </w:rPr>
        <w:t>this</w:t>
      </w:r>
      <w:r>
        <w:rPr>
          <w:spacing w:val="-3"/>
          <w:sz w:val="18"/>
        </w:rPr>
        <w:t xml:space="preserve"> </w:t>
      </w:r>
      <w:r>
        <w:rPr>
          <w:sz w:val="18"/>
        </w:rPr>
        <w:t>Research</w:t>
      </w:r>
      <w:r>
        <w:rPr>
          <w:spacing w:val="1"/>
          <w:sz w:val="18"/>
        </w:rPr>
        <w:t xml:space="preserve"> </w:t>
      </w:r>
      <w:r>
        <w:rPr>
          <w:spacing w:val="-2"/>
          <w:sz w:val="18"/>
        </w:rPr>
        <w:t>Paper.</w:t>
      </w:r>
    </w:p>
    <w:p w14:paraId="7CB25C49" w14:textId="77777777" w:rsidR="008A4099" w:rsidRDefault="006A6EE2">
      <w:pPr>
        <w:spacing w:before="24"/>
        <w:ind w:left="160"/>
        <w:rPr>
          <w:sz w:val="18"/>
        </w:rPr>
      </w:pPr>
      <w:r>
        <w:rPr>
          <w:sz w:val="18"/>
          <w:vertAlign w:val="superscript"/>
        </w:rPr>
        <w:t>3</w:t>
      </w:r>
      <w:r>
        <w:rPr>
          <w:spacing w:val="-2"/>
          <w:sz w:val="18"/>
        </w:rPr>
        <w:t xml:space="preserve"> </w:t>
      </w:r>
      <w:r>
        <w:rPr>
          <w:sz w:val="18"/>
        </w:rPr>
        <w:t>See</w:t>
      </w:r>
      <w:r>
        <w:rPr>
          <w:spacing w:val="-1"/>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(Healthy</w:t>
      </w:r>
      <w:r>
        <w:rPr>
          <w:i/>
          <w:spacing w:val="-2"/>
          <w:sz w:val="18"/>
        </w:rPr>
        <w:t xml:space="preserve"> </w:t>
      </w:r>
      <w:r>
        <w:rPr>
          <w:i/>
          <w:sz w:val="18"/>
        </w:rPr>
        <w:t>Environment)</w:t>
      </w:r>
      <w:r>
        <w:rPr>
          <w:i/>
          <w:spacing w:val="-1"/>
          <w:sz w:val="18"/>
        </w:rPr>
        <w:t xml:space="preserve"> </w:t>
      </w:r>
      <w:r>
        <w:rPr>
          <w:i/>
          <w:sz w:val="18"/>
        </w:rPr>
        <w:t>Amendment</w:t>
      </w:r>
      <w:r>
        <w:rPr>
          <w:i/>
          <w:spacing w:val="-3"/>
          <w:sz w:val="18"/>
        </w:rPr>
        <w:t xml:space="preserve"> </w:t>
      </w:r>
      <w:r>
        <w:rPr>
          <w:i/>
          <w:sz w:val="18"/>
        </w:rPr>
        <w:t>Act</w:t>
      </w:r>
      <w:r>
        <w:rPr>
          <w:i/>
          <w:spacing w:val="-1"/>
          <w:sz w:val="18"/>
        </w:rPr>
        <w:t xml:space="preserve"> </w:t>
      </w:r>
      <w:r>
        <w:rPr>
          <w:i/>
          <w:sz w:val="18"/>
        </w:rPr>
        <w:t>2023</w:t>
      </w:r>
      <w:r>
        <w:rPr>
          <w:i/>
          <w:spacing w:val="5"/>
          <w:sz w:val="18"/>
        </w:rPr>
        <w:t xml:space="preserve"> </w:t>
      </w:r>
      <w:r>
        <w:rPr>
          <w:spacing w:val="-2"/>
          <w:sz w:val="18"/>
        </w:rPr>
        <w:t>(ACT).</w:t>
      </w:r>
    </w:p>
    <w:p w14:paraId="7CB25C4A" w14:textId="77777777" w:rsidR="008A4099" w:rsidRDefault="008A4099">
      <w:pPr>
        <w:rPr>
          <w:sz w:val="18"/>
        </w:rPr>
        <w:sectPr w:rsidR="008A4099" w:rsidSect="00D43B2D">
          <w:pgSz w:w="11910" w:h="16840"/>
          <w:pgMar w:top="980" w:right="760" w:bottom="940" w:left="1280" w:header="718" w:footer="753" w:gutter="0"/>
          <w:cols w:space="720"/>
        </w:sectPr>
      </w:pPr>
    </w:p>
    <w:p w14:paraId="7CB25C4B" w14:textId="77777777" w:rsidR="008A4099" w:rsidRDefault="008A4099">
      <w:pPr>
        <w:pStyle w:val="BodyText"/>
        <w:spacing w:before="194"/>
      </w:pPr>
    </w:p>
    <w:p w14:paraId="7CB25C4C" w14:textId="77777777" w:rsidR="008A4099" w:rsidRDefault="006A6EE2">
      <w:pPr>
        <w:pStyle w:val="BodyText"/>
        <w:ind w:left="160" w:right="675"/>
        <w:jc w:val="both"/>
      </w:pPr>
      <w:r>
        <w:t>In</w:t>
      </w:r>
      <w:r>
        <w:rPr>
          <w:spacing w:val="-7"/>
        </w:rPr>
        <w:t xml:space="preserve"> </w:t>
      </w:r>
      <w:r>
        <w:t>2019,</w:t>
      </w:r>
      <w:r>
        <w:rPr>
          <w:spacing w:val="-7"/>
        </w:rPr>
        <w:t xml:space="preserve"> </w:t>
      </w:r>
      <w:r>
        <w:t>Queensland</w:t>
      </w:r>
      <w:r>
        <w:rPr>
          <w:spacing w:val="-7"/>
        </w:rPr>
        <w:t xml:space="preserve"> </w:t>
      </w:r>
      <w:r>
        <w:t>became</w:t>
      </w:r>
      <w:r>
        <w:rPr>
          <w:spacing w:val="-7"/>
        </w:rPr>
        <w:t xml:space="preserve"> </w:t>
      </w:r>
      <w:r>
        <w:t>the</w:t>
      </w:r>
      <w:r>
        <w:rPr>
          <w:spacing w:val="-9"/>
        </w:rPr>
        <w:t xml:space="preserve"> </w:t>
      </w:r>
      <w:r>
        <w:t>third</w:t>
      </w:r>
      <w:r>
        <w:rPr>
          <w:spacing w:val="-10"/>
        </w:rPr>
        <w:t xml:space="preserve"> </w:t>
      </w:r>
      <w:r>
        <w:t>Australian</w:t>
      </w:r>
      <w:r>
        <w:rPr>
          <w:spacing w:val="-9"/>
        </w:rPr>
        <w:t xml:space="preserve"> </w:t>
      </w:r>
      <w:r>
        <w:t>jurisdiction</w:t>
      </w:r>
      <w:r>
        <w:rPr>
          <w:spacing w:val="-10"/>
        </w:rPr>
        <w:t xml:space="preserve"> </w:t>
      </w:r>
      <w:r>
        <w:t>to</w:t>
      </w:r>
      <w:r>
        <w:rPr>
          <w:spacing w:val="-10"/>
        </w:rPr>
        <w:t xml:space="preserve"> </w:t>
      </w:r>
      <w:r>
        <w:t>adopt</w:t>
      </w:r>
      <w:r>
        <w:rPr>
          <w:spacing w:val="-8"/>
        </w:rPr>
        <w:t xml:space="preserve"> </w:t>
      </w:r>
      <w:r>
        <w:t>a</w:t>
      </w:r>
      <w:r>
        <w:rPr>
          <w:spacing w:val="-9"/>
        </w:rPr>
        <w:t xml:space="preserve"> </w:t>
      </w:r>
      <w:r>
        <w:t>Human</w:t>
      </w:r>
      <w:r>
        <w:rPr>
          <w:spacing w:val="-7"/>
        </w:rPr>
        <w:t xml:space="preserve"> </w:t>
      </w:r>
      <w:r>
        <w:t>Rights</w:t>
      </w:r>
      <w:r>
        <w:rPr>
          <w:spacing w:val="-9"/>
        </w:rPr>
        <w:t xml:space="preserve"> </w:t>
      </w:r>
      <w:r>
        <w:t>Act,</w:t>
      </w:r>
      <w:r>
        <w:rPr>
          <w:position w:val="7"/>
          <w:sz w:val="13"/>
        </w:rPr>
        <w:t>4</w:t>
      </w:r>
      <w:r>
        <w:rPr>
          <w:spacing w:val="15"/>
          <w:position w:val="7"/>
          <w:sz w:val="13"/>
        </w:rPr>
        <w:t xml:space="preserve"> </w:t>
      </w:r>
      <w:r>
        <w:t>which</w:t>
      </w:r>
      <w:r>
        <w:rPr>
          <w:spacing w:val="-7"/>
        </w:rPr>
        <w:t xml:space="preserve"> </w:t>
      </w:r>
      <w:r>
        <w:t xml:space="preserve">was modelled closely on the ACT and Victorian laws. The </w:t>
      </w:r>
      <w:r>
        <w:rPr>
          <w:i/>
        </w:rPr>
        <w:t xml:space="preserve">Human Rights Act 2019 </w:t>
      </w:r>
      <w:r>
        <w:t>(Qld) (‘Qld Human Rights Act’) protects 23 human rights, including a right to education and a right to health services. A feature</w:t>
      </w:r>
      <w:r>
        <w:rPr>
          <w:spacing w:val="-14"/>
        </w:rPr>
        <w:t xml:space="preserve"> </w:t>
      </w:r>
      <w:r>
        <w:t>of</w:t>
      </w:r>
      <w:r>
        <w:rPr>
          <w:spacing w:val="-14"/>
        </w:rPr>
        <w:t xml:space="preserve"> </w:t>
      </w:r>
      <w:r>
        <w:t>the</w:t>
      </w:r>
      <w:r>
        <w:rPr>
          <w:spacing w:val="-13"/>
        </w:rPr>
        <w:t xml:space="preserve"> </w:t>
      </w:r>
      <w:r>
        <w:t>Queensland</w:t>
      </w:r>
      <w:r>
        <w:rPr>
          <w:spacing w:val="-14"/>
        </w:rPr>
        <w:t xml:space="preserve"> </w:t>
      </w:r>
      <w:r>
        <w:t>Human</w:t>
      </w:r>
      <w:r>
        <w:rPr>
          <w:spacing w:val="-13"/>
        </w:rPr>
        <w:t xml:space="preserve"> </w:t>
      </w:r>
      <w:r>
        <w:t>Rights</w:t>
      </w:r>
      <w:r>
        <w:rPr>
          <w:spacing w:val="-14"/>
        </w:rPr>
        <w:t xml:space="preserve"> </w:t>
      </w:r>
      <w:r>
        <w:t>Commission</w:t>
      </w:r>
      <w:r>
        <w:rPr>
          <w:spacing w:val="-13"/>
        </w:rPr>
        <w:t xml:space="preserve"> </w:t>
      </w:r>
      <w:r>
        <w:t>is</w:t>
      </w:r>
      <w:r>
        <w:rPr>
          <w:spacing w:val="-14"/>
        </w:rPr>
        <w:t xml:space="preserve"> </w:t>
      </w:r>
      <w:r>
        <w:t>that</w:t>
      </w:r>
      <w:r>
        <w:rPr>
          <w:spacing w:val="-12"/>
        </w:rPr>
        <w:t xml:space="preserve"> </w:t>
      </w:r>
      <w:r>
        <w:t>it</w:t>
      </w:r>
      <w:r>
        <w:rPr>
          <w:spacing w:val="-13"/>
        </w:rPr>
        <w:t xml:space="preserve"> </w:t>
      </w:r>
      <w:r>
        <w:t>provides</w:t>
      </w:r>
      <w:r>
        <w:rPr>
          <w:spacing w:val="-13"/>
        </w:rPr>
        <w:t xml:space="preserve"> </w:t>
      </w:r>
      <w:r>
        <w:t>a</w:t>
      </w:r>
      <w:r>
        <w:rPr>
          <w:spacing w:val="-14"/>
        </w:rPr>
        <w:t xml:space="preserve"> </w:t>
      </w:r>
      <w:r>
        <w:t>dispute</w:t>
      </w:r>
      <w:r>
        <w:rPr>
          <w:spacing w:val="-13"/>
        </w:rPr>
        <w:t xml:space="preserve"> </w:t>
      </w:r>
      <w:r>
        <w:t>resolution</w:t>
      </w:r>
      <w:r>
        <w:rPr>
          <w:spacing w:val="-14"/>
        </w:rPr>
        <w:t xml:space="preserve"> </w:t>
      </w:r>
      <w:r>
        <w:t>mechanism for alleged contraventions of rights. This mechanism, which constitutes a key difference between the Queensland regime and its Victorian and ACT counterparts, has been identified as providing a more accessible dispute resolution process.</w:t>
      </w:r>
    </w:p>
    <w:p w14:paraId="7CB25C4D" w14:textId="77777777" w:rsidR="008A4099" w:rsidRDefault="008A4099">
      <w:pPr>
        <w:pStyle w:val="BodyText"/>
        <w:spacing w:before="230"/>
      </w:pPr>
    </w:p>
    <w:p w14:paraId="7CB25C4E" w14:textId="77777777" w:rsidR="008A4099" w:rsidRDefault="006A6EE2">
      <w:pPr>
        <w:pStyle w:val="Heading6"/>
      </w:pPr>
      <w:r>
        <w:t>The</w:t>
      </w:r>
      <w:r>
        <w:rPr>
          <w:spacing w:val="-3"/>
        </w:rPr>
        <w:t xml:space="preserve"> </w:t>
      </w:r>
      <w:r>
        <w:t>value</w:t>
      </w:r>
      <w:r>
        <w:rPr>
          <w:spacing w:val="-2"/>
        </w:rPr>
        <w:t xml:space="preserve"> </w:t>
      </w:r>
      <w:r>
        <w:t>of</w:t>
      </w:r>
      <w:r>
        <w:rPr>
          <w:spacing w:val="-3"/>
        </w:rPr>
        <w:t xml:space="preserve"> </w:t>
      </w:r>
      <w:r>
        <w:t>a</w:t>
      </w:r>
      <w:r>
        <w:rPr>
          <w:spacing w:val="-3"/>
        </w:rPr>
        <w:t xml:space="preserve"> </w:t>
      </w:r>
      <w:r>
        <w:t>human</w:t>
      </w:r>
      <w:r>
        <w:rPr>
          <w:spacing w:val="-2"/>
        </w:rPr>
        <w:t xml:space="preserve"> </w:t>
      </w:r>
      <w:r>
        <w:t>rights</w:t>
      </w:r>
      <w:r>
        <w:rPr>
          <w:spacing w:val="-2"/>
        </w:rPr>
        <w:t xml:space="preserve"> enactment</w:t>
      </w:r>
    </w:p>
    <w:p w14:paraId="7CB25C4F" w14:textId="77777777" w:rsidR="008A4099" w:rsidRDefault="006A6EE2">
      <w:pPr>
        <w:pStyle w:val="BodyText"/>
        <w:spacing w:before="218"/>
        <w:ind w:left="160" w:right="675"/>
        <w:jc w:val="both"/>
      </w:pPr>
      <w:r>
        <w:t>While</w:t>
      </w:r>
      <w:r>
        <w:rPr>
          <w:spacing w:val="-12"/>
        </w:rPr>
        <w:t xml:space="preserve"> </w:t>
      </w:r>
      <w:r>
        <w:t>the</w:t>
      </w:r>
      <w:r>
        <w:rPr>
          <w:spacing w:val="-9"/>
        </w:rPr>
        <w:t xml:space="preserve"> </w:t>
      </w:r>
      <w:r>
        <w:t>absence</w:t>
      </w:r>
      <w:r>
        <w:rPr>
          <w:spacing w:val="-11"/>
        </w:rPr>
        <w:t xml:space="preserve"> </w:t>
      </w:r>
      <w:r>
        <w:t>of</w:t>
      </w:r>
      <w:r>
        <w:rPr>
          <w:spacing w:val="-11"/>
        </w:rPr>
        <w:t xml:space="preserve"> </w:t>
      </w:r>
      <w:r>
        <w:t>a</w:t>
      </w:r>
      <w:r>
        <w:rPr>
          <w:spacing w:val="-12"/>
        </w:rPr>
        <w:t xml:space="preserve"> </w:t>
      </w:r>
      <w:r>
        <w:t>single,</w:t>
      </w:r>
      <w:r>
        <w:rPr>
          <w:spacing w:val="-9"/>
        </w:rPr>
        <w:t xml:space="preserve"> </w:t>
      </w:r>
      <w:r>
        <w:t>dedicated</w:t>
      </w:r>
      <w:r>
        <w:rPr>
          <w:spacing w:val="-9"/>
        </w:rPr>
        <w:t xml:space="preserve"> </w:t>
      </w:r>
      <w:r>
        <w:t>human</w:t>
      </w:r>
      <w:r>
        <w:rPr>
          <w:spacing w:val="-12"/>
        </w:rPr>
        <w:t xml:space="preserve"> </w:t>
      </w:r>
      <w:r>
        <w:t>rights</w:t>
      </w:r>
      <w:r>
        <w:rPr>
          <w:spacing w:val="-12"/>
        </w:rPr>
        <w:t xml:space="preserve"> </w:t>
      </w:r>
      <w:r>
        <w:t>enactment</w:t>
      </w:r>
      <w:r>
        <w:rPr>
          <w:spacing w:val="-11"/>
        </w:rPr>
        <w:t xml:space="preserve"> </w:t>
      </w:r>
      <w:r>
        <w:t>in</w:t>
      </w:r>
      <w:r>
        <w:rPr>
          <w:spacing w:val="-12"/>
        </w:rPr>
        <w:t xml:space="preserve"> </w:t>
      </w:r>
      <w:r>
        <w:t>Tasmania</w:t>
      </w:r>
      <w:r>
        <w:rPr>
          <w:spacing w:val="-12"/>
        </w:rPr>
        <w:t xml:space="preserve"> </w:t>
      </w:r>
      <w:r>
        <w:t>has</w:t>
      </w:r>
      <w:r>
        <w:rPr>
          <w:spacing w:val="-9"/>
        </w:rPr>
        <w:t xml:space="preserve"> </w:t>
      </w:r>
      <w:r>
        <w:t>not</w:t>
      </w:r>
      <w:r>
        <w:rPr>
          <w:spacing w:val="-11"/>
        </w:rPr>
        <w:t xml:space="preserve"> </w:t>
      </w:r>
      <w:r>
        <w:t>meant</w:t>
      </w:r>
      <w:r>
        <w:rPr>
          <w:spacing w:val="-11"/>
        </w:rPr>
        <w:t xml:space="preserve"> </w:t>
      </w:r>
      <w:r>
        <w:t>that</w:t>
      </w:r>
      <w:r>
        <w:rPr>
          <w:spacing w:val="-11"/>
        </w:rPr>
        <w:t xml:space="preserve"> </w:t>
      </w:r>
      <w:r>
        <w:t>human rights</w:t>
      </w:r>
      <w:r>
        <w:rPr>
          <w:spacing w:val="-5"/>
        </w:rPr>
        <w:t xml:space="preserve"> </w:t>
      </w:r>
      <w:r>
        <w:t>are</w:t>
      </w:r>
      <w:r>
        <w:rPr>
          <w:spacing w:val="-6"/>
        </w:rPr>
        <w:t xml:space="preserve"> </w:t>
      </w:r>
      <w:r>
        <w:t>not</w:t>
      </w:r>
      <w:r>
        <w:rPr>
          <w:spacing w:val="-5"/>
        </w:rPr>
        <w:t xml:space="preserve"> </w:t>
      </w:r>
      <w:r>
        <w:t>considered</w:t>
      </w:r>
      <w:r>
        <w:rPr>
          <w:spacing w:val="-6"/>
        </w:rPr>
        <w:t xml:space="preserve"> </w:t>
      </w:r>
      <w:r>
        <w:t>in</w:t>
      </w:r>
      <w:r>
        <w:rPr>
          <w:spacing w:val="-9"/>
        </w:rPr>
        <w:t xml:space="preserve"> </w:t>
      </w:r>
      <w:r>
        <w:t>the</w:t>
      </w:r>
      <w:r>
        <w:rPr>
          <w:spacing w:val="-6"/>
        </w:rPr>
        <w:t xml:space="preserve"> </w:t>
      </w:r>
      <w:r>
        <w:t>development</w:t>
      </w:r>
      <w:r>
        <w:rPr>
          <w:spacing w:val="-5"/>
        </w:rPr>
        <w:t xml:space="preserve"> </w:t>
      </w:r>
      <w:r>
        <w:t>of</w:t>
      </w:r>
      <w:r>
        <w:rPr>
          <w:spacing w:val="-8"/>
        </w:rPr>
        <w:t xml:space="preserve"> </w:t>
      </w:r>
      <w:r>
        <w:t>legislation</w:t>
      </w:r>
      <w:r>
        <w:rPr>
          <w:spacing w:val="-6"/>
        </w:rPr>
        <w:t xml:space="preserve"> </w:t>
      </w:r>
      <w:r>
        <w:t>and</w:t>
      </w:r>
      <w:r>
        <w:rPr>
          <w:spacing w:val="-6"/>
        </w:rPr>
        <w:t xml:space="preserve"> </w:t>
      </w:r>
      <w:r>
        <w:t>policy</w:t>
      </w:r>
      <w:r>
        <w:rPr>
          <w:spacing w:val="-6"/>
        </w:rPr>
        <w:t xml:space="preserve"> </w:t>
      </w:r>
      <w:r>
        <w:t>or</w:t>
      </w:r>
      <w:r>
        <w:rPr>
          <w:spacing w:val="-8"/>
        </w:rPr>
        <w:t xml:space="preserve"> </w:t>
      </w:r>
      <w:r>
        <w:t>the</w:t>
      </w:r>
      <w:r>
        <w:rPr>
          <w:spacing w:val="-6"/>
        </w:rPr>
        <w:t xml:space="preserve"> </w:t>
      </w:r>
      <w:r>
        <w:t>decision-making</w:t>
      </w:r>
      <w:r>
        <w:rPr>
          <w:spacing w:val="-6"/>
        </w:rPr>
        <w:t xml:space="preserve"> </w:t>
      </w:r>
      <w:r>
        <w:t>processes of</w:t>
      </w:r>
      <w:r>
        <w:rPr>
          <w:spacing w:val="-3"/>
        </w:rPr>
        <w:t xml:space="preserve"> </w:t>
      </w:r>
      <w:r>
        <w:t>public</w:t>
      </w:r>
      <w:r>
        <w:rPr>
          <w:spacing w:val="-3"/>
        </w:rPr>
        <w:t xml:space="preserve"> </w:t>
      </w:r>
      <w:r>
        <w:t>authorities,</w:t>
      </w:r>
      <w:r>
        <w:rPr>
          <w:spacing w:val="-6"/>
        </w:rPr>
        <w:t xml:space="preserve"> </w:t>
      </w:r>
      <w:r>
        <w:t>the</w:t>
      </w:r>
      <w:r>
        <w:rPr>
          <w:spacing w:val="-6"/>
        </w:rPr>
        <w:t xml:space="preserve"> </w:t>
      </w:r>
      <w:r>
        <w:t>TLRI’s</w:t>
      </w:r>
      <w:r>
        <w:rPr>
          <w:spacing w:val="-3"/>
        </w:rPr>
        <w:t xml:space="preserve"> </w:t>
      </w:r>
      <w:r>
        <w:t>view</w:t>
      </w:r>
      <w:r>
        <w:rPr>
          <w:spacing w:val="-7"/>
        </w:rPr>
        <w:t xml:space="preserve"> </w:t>
      </w:r>
      <w:r>
        <w:t>is</w:t>
      </w:r>
      <w:r>
        <w:rPr>
          <w:spacing w:val="-6"/>
        </w:rPr>
        <w:t xml:space="preserve"> </w:t>
      </w:r>
      <w:r>
        <w:t>that</w:t>
      </w:r>
      <w:r>
        <w:rPr>
          <w:spacing w:val="-5"/>
        </w:rPr>
        <w:t xml:space="preserve"> </w:t>
      </w:r>
      <w:r>
        <w:t>a</w:t>
      </w:r>
      <w:r>
        <w:rPr>
          <w:spacing w:val="-6"/>
        </w:rPr>
        <w:t xml:space="preserve"> </w:t>
      </w:r>
      <w:r>
        <w:t>legislated</w:t>
      </w:r>
      <w:r>
        <w:rPr>
          <w:spacing w:val="-3"/>
        </w:rPr>
        <w:t xml:space="preserve"> </w:t>
      </w:r>
      <w:r>
        <w:t>mandate</w:t>
      </w:r>
      <w:r>
        <w:rPr>
          <w:spacing w:val="-6"/>
        </w:rPr>
        <w:t xml:space="preserve"> </w:t>
      </w:r>
      <w:r>
        <w:t>to</w:t>
      </w:r>
      <w:r>
        <w:rPr>
          <w:spacing w:val="-6"/>
        </w:rPr>
        <w:t xml:space="preserve"> </w:t>
      </w:r>
      <w:r>
        <w:t>require</w:t>
      </w:r>
      <w:r>
        <w:rPr>
          <w:spacing w:val="-6"/>
        </w:rPr>
        <w:t xml:space="preserve"> </w:t>
      </w:r>
      <w:r>
        <w:t>the</w:t>
      </w:r>
      <w:r>
        <w:rPr>
          <w:spacing w:val="-6"/>
        </w:rPr>
        <w:t xml:space="preserve"> </w:t>
      </w:r>
      <w:r>
        <w:t>evaluation</w:t>
      </w:r>
      <w:r>
        <w:rPr>
          <w:spacing w:val="-4"/>
        </w:rPr>
        <w:t xml:space="preserve"> </w:t>
      </w:r>
      <w:r>
        <w:t>of</w:t>
      </w:r>
      <w:r>
        <w:rPr>
          <w:spacing w:val="-3"/>
        </w:rPr>
        <w:t xml:space="preserve"> </w:t>
      </w:r>
      <w:r>
        <w:t>proposed statutory</w:t>
      </w:r>
      <w:r>
        <w:rPr>
          <w:spacing w:val="-11"/>
        </w:rPr>
        <w:t xml:space="preserve"> </w:t>
      </w:r>
      <w:r>
        <w:t>instruments</w:t>
      </w:r>
      <w:r>
        <w:rPr>
          <w:spacing w:val="-10"/>
        </w:rPr>
        <w:t xml:space="preserve"> </w:t>
      </w:r>
      <w:r>
        <w:t>for</w:t>
      </w:r>
      <w:r>
        <w:rPr>
          <w:spacing w:val="-10"/>
        </w:rPr>
        <w:t xml:space="preserve"> </w:t>
      </w:r>
      <w:r>
        <w:t>compliance</w:t>
      </w:r>
      <w:r>
        <w:rPr>
          <w:spacing w:val="-9"/>
        </w:rPr>
        <w:t xml:space="preserve"> </w:t>
      </w:r>
      <w:r>
        <w:t>with</w:t>
      </w:r>
      <w:r>
        <w:rPr>
          <w:spacing w:val="-9"/>
        </w:rPr>
        <w:t xml:space="preserve"> </w:t>
      </w:r>
      <w:r>
        <w:t>human</w:t>
      </w:r>
      <w:r>
        <w:rPr>
          <w:spacing w:val="-11"/>
        </w:rPr>
        <w:t xml:space="preserve"> </w:t>
      </w:r>
      <w:r>
        <w:t>rights</w:t>
      </w:r>
      <w:r>
        <w:rPr>
          <w:spacing w:val="-11"/>
        </w:rPr>
        <w:t xml:space="preserve"> </w:t>
      </w:r>
      <w:r>
        <w:t>would</w:t>
      </w:r>
      <w:r>
        <w:rPr>
          <w:spacing w:val="-11"/>
        </w:rPr>
        <w:t xml:space="preserve"> </w:t>
      </w:r>
      <w:r>
        <w:t>be</w:t>
      </w:r>
      <w:r>
        <w:rPr>
          <w:spacing w:val="-11"/>
        </w:rPr>
        <w:t xml:space="preserve"> </w:t>
      </w:r>
      <w:r>
        <w:t>a</w:t>
      </w:r>
      <w:r>
        <w:rPr>
          <w:spacing w:val="-11"/>
        </w:rPr>
        <w:t xml:space="preserve"> </w:t>
      </w:r>
      <w:r>
        <w:t>key</w:t>
      </w:r>
      <w:r>
        <w:rPr>
          <w:spacing w:val="-11"/>
        </w:rPr>
        <w:t xml:space="preserve"> </w:t>
      </w:r>
      <w:r>
        <w:t>mechanism</w:t>
      </w:r>
      <w:r>
        <w:rPr>
          <w:spacing w:val="-12"/>
        </w:rPr>
        <w:t xml:space="preserve"> </w:t>
      </w:r>
      <w:r>
        <w:t>to</w:t>
      </w:r>
      <w:r>
        <w:rPr>
          <w:spacing w:val="-9"/>
        </w:rPr>
        <w:t xml:space="preserve"> </w:t>
      </w:r>
      <w:r>
        <w:t>embed</w:t>
      </w:r>
      <w:r>
        <w:rPr>
          <w:spacing w:val="-11"/>
        </w:rPr>
        <w:t xml:space="preserve"> </w:t>
      </w:r>
      <w:r>
        <w:t>consistent approaches to human rights in Tasmania. The approach to human rights in the development and implementation of Tasmanian law and policy since the 2007 Final Report has been uneven, with variable results</w:t>
      </w:r>
      <w:r>
        <w:rPr>
          <w:spacing w:val="-1"/>
        </w:rPr>
        <w:t xml:space="preserve"> </w:t>
      </w:r>
      <w:r>
        <w:t>for</w:t>
      </w:r>
      <w:r>
        <w:rPr>
          <w:spacing w:val="-1"/>
        </w:rPr>
        <w:t xml:space="preserve"> </w:t>
      </w:r>
      <w:r>
        <w:t>the protection of human rights. Some legislation with the potential to affect human rights</w:t>
      </w:r>
      <w:r>
        <w:rPr>
          <w:spacing w:val="-8"/>
        </w:rPr>
        <w:t xml:space="preserve"> </w:t>
      </w:r>
      <w:r>
        <w:t>has</w:t>
      </w:r>
      <w:r>
        <w:rPr>
          <w:spacing w:val="-8"/>
        </w:rPr>
        <w:t xml:space="preserve"> </w:t>
      </w:r>
      <w:r>
        <w:t>been</w:t>
      </w:r>
      <w:r>
        <w:rPr>
          <w:spacing w:val="-9"/>
        </w:rPr>
        <w:t xml:space="preserve"> </w:t>
      </w:r>
      <w:r>
        <w:t>subject</w:t>
      </w:r>
      <w:r>
        <w:rPr>
          <w:spacing w:val="-10"/>
        </w:rPr>
        <w:t xml:space="preserve"> </w:t>
      </w:r>
      <w:r>
        <w:t>to</w:t>
      </w:r>
      <w:r>
        <w:rPr>
          <w:spacing w:val="-9"/>
        </w:rPr>
        <w:t xml:space="preserve"> </w:t>
      </w:r>
      <w:r>
        <w:t>detailed</w:t>
      </w:r>
      <w:r>
        <w:rPr>
          <w:spacing w:val="-11"/>
        </w:rPr>
        <w:t xml:space="preserve"> </w:t>
      </w:r>
      <w:r>
        <w:t>review</w:t>
      </w:r>
      <w:r>
        <w:rPr>
          <w:spacing w:val="-6"/>
        </w:rPr>
        <w:t xml:space="preserve"> </w:t>
      </w:r>
      <w:r>
        <w:t>–</w:t>
      </w:r>
      <w:r>
        <w:rPr>
          <w:spacing w:val="-8"/>
        </w:rPr>
        <w:t xml:space="preserve"> </w:t>
      </w:r>
      <w:r>
        <w:t>whether</w:t>
      </w:r>
      <w:r>
        <w:rPr>
          <w:spacing w:val="-7"/>
        </w:rPr>
        <w:t xml:space="preserve"> </w:t>
      </w:r>
      <w:r>
        <w:t>by</w:t>
      </w:r>
      <w:r>
        <w:rPr>
          <w:spacing w:val="-11"/>
        </w:rPr>
        <w:t xml:space="preserve"> </w:t>
      </w:r>
      <w:r>
        <w:t>parliamentary</w:t>
      </w:r>
      <w:r>
        <w:rPr>
          <w:spacing w:val="-9"/>
        </w:rPr>
        <w:t xml:space="preserve"> </w:t>
      </w:r>
      <w:r>
        <w:t>committee</w:t>
      </w:r>
      <w:r>
        <w:rPr>
          <w:spacing w:val="-8"/>
        </w:rPr>
        <w:t xml:space="preserve"> </w:t>
      </w:r>
      <w:r>
        <w:t>or</w:t>
      </w:r>
      <w:r>
        <w:rPr>
          <w:spacing w:val="-10"/>
        </w:rPr>
        <w:t xml:space="preserve"> </w:t>
      </w:r>
      <w:r>
        <w:t>independent</w:t>
      </w:r>
      <w:r>
        <w:rPr>
          <w:spacing w:val="-8"/>
        </w:rPr>
        <w:t xml:space="preserve"> </w:t>
      </w:r>
      <w:r>
        <w:t>review –</w:t>
      </w:r>
      <w:r>
        <w:rPr>
          <w:spacing w:val="-11"/>
        </w:rPr>
        <w:t xml:space="preserve"> </w:t>
      </w:r>
      <w:r>
        <w:t>while</w:t>
      </w:r>
      <w:r>
        <w:rPr>
          <w:spacing w:val="-11"/>
        </w:rPr>
        <w:t xml:space="preserve"> </w:t>
      </w:r>
      <w:r>
        <w:t>other</w:t>
      </w:r>
      <w:r>
        <w:rPr>
          <w:spacing w:val="-12"/>
        </w:rPr>
        <w:t xml:space="preserve"> </w:t>
      </w:r>
      <w:r>
        <w:t>legislation</w:t>
      </w:r>
      <w:r>
        <w:rPr>
          <w:spacing w:val="-11"/>
        </w:rPr>
        <w:t xml:space="preserve"> </w:t>
      </w:r>
      <w:r>
        <w:t>with</w:t>
      </w:r>
      <w:r>
        <w:rPr>
          <w:spacing w:val="-11"/>
        </w:rPr>
        <w:t xml:space="preserve"> </w:t>
      </w:r>
      <w:r>
        <w:t>potential</w:t>
      </w:r>
      <w:r>
        <w:rPr>
          <w:spacing w:val="-12"/>
        </w:rPr>
        <w:t xml:space="preserve"> </w:t>
      </w:r>
      <w:r>
        <w:t>human</w:t>
      </w:r>
      <w:r>
        <w:rPr>
          <w:spacing w:val="-11"/>
        </w:rPr>
        <w:t xml:space="preserve"> </w:t>
      </w:r>
      <w:r>
        <w:t>rights</w:t>
      </w:r>
      <w:r>
        <w:rPr>
          <w:spacing w:val="-13"/>
        </w:rPr>
        <w:t xml:space="preserve"> </w:t>
      </w:r>
      <w:r>
        <w:t>implications</w:t>
      </w:r>
      <w:r>
        <w:rPr>
          <w:spacing w:val="-10"/>
        </w:rPr>
        <w:t xml:space="preserve"> </w:t>
      </w:r>
      <w:r>
        <w:t>has</w:t>
      </w:r>
      <w:r>
        <w:rPr>
          <w:spacing w:val="-13"/>
        </w:rPr>
        <w:t xml:space="preserve"> </w:t>
      </w:r>
      <w:r>
        <w:t>not.</w:t>
      </w:r>
      <w:r>
        <w:rPr>
          <w:spacing w:val="-11"/>
        </w:rPr>
        <w:t xml:space="preserve"> </w:t>
      </w:r>
      <w:r>
        <w:t>This</w:t>
      </w:r>
      <w:r>
        <w:rPr>
          <w:spacing w:val="-13"/>
        </w:rPr>
        <w:t xml:space="preserve"> </w:t>
      </w:r>
      <w:r>
        <w:t>reflects</w:t>
      </w:r>
      <w:r>
        <w:rPr>
          <w:spacing w:val="-13"/>
        </w:rPr>
        <w:t xml:space="preserve"> </w:t>
      </w:r>
      <w:r>
        <w:t>an</w:t>
      </w:r>
      <w:r>
        <w:rPr>
          <w:spacing w:val="-13"/>
        </w:rPr>
        <w:t xml:space="preserve"> </w:t>
      </w:r>
      <w:r>
        <w:t>inconsistency in the evaluation of the</w:t>
      </w:r>
      <w:r>
        <w:rPr>
          <w:spacing w:val="-1"/>
        </w:rPr>
        <w:t xml:space="preserve"> </w:t>
      </w:r>
      <w:r>
        <w:t>effect of proposed legislation on human</w:t>
      </w:r>
      <w:r>
        <w:rPr>
          <w:spacing w:val="-1"/>
        </w:rPr>
        <w:t xml:space="preserve"> </w:t>
      </w:r>
      <w:r>
        <w:t>rights and a lack of transparency as</w:t>
      </w:r>
      <w:r>
        <w:rPr>
          <w:spacing w:val="-1"/>
        </w:rPr>
        <w:t xml:space="preserve"> </w:t>
      </w:r>
      <w:r>
        <w:t>to how human rights were taken into account.</w:t>
      </w:r>
    </w:p>
    <w:p w14:paraId="7CB25C50" w14:textId="77777777" w:rsidR="008A4099" w:rsidRDefault="006A6EE2">
      <w:pPr>
        <w:pStyle w:val="BodyText"/>
        <w:spacing w:before="220"/>
        <w:ind w:left="160" w:right="675"/>
        <w:jc w:val="both"/>
        <w:rPr>
          <w:sz w:val="13"/>
        </w:rPr>
      </w:pPr>
      <w:r>
        <w:t>The</w:t>
      </w:r>
      <w:r>
        <w:rPr>
          <w:spacing w:val="-10"/>
        </w:rPr>
        <w:t xml:space="preserve"> </w:t>
      </w:r>
      <w:r>
        <w:t>examples</w:t>
      </w:r>
      <w:r>
        <w:rPr>
          <w:spacing w:val="-9"/>
        </w:rPr>
        <w:t xml:space="preserve"> </w:t>
      </w:r>
      <w:r>
        <w:t>discussed</w:t>
      </w:r>
      <w:r>
        <w:rPr>
          <w:spacing w:val="-9"/>
        </w:rPr>
        <w:t xml:space="preserve"> </w:t>
      </w:r>
      <w:r>
        <w:t>in</w:t>
      </w:r>
      <w:r>
        <w:rPr>
          <w:spacing w:val="-12"/>
        </w:rPr>
        <w:t xml:space="preserve"> </w:t>
      </w:r>
      <w:r>
        <w:t>this</w:t>
      </w:r>
      <w:r>
        <w:rPr>
          <w:spacing w:val="-9"/>
        </w:rPr>
        <w:t xml:space="preserve"> </w:t>
      </w:r>
      <w:r>
        <w:t>Research</w:t>
      </w:r>
      <w:r>
        <w:rPr>
          <w:spacing w:val="-9"/>
        </w:rPr>
        <w:t xml:space="preserve"> </w:t>
      </w:r>
      <w:r>
        <w:t>Paper</w:t>
      </w:r>
      <w:r>
        <w:rPr>
          <w:spacing w:val="-8"/>
        </w:rPr>
        <w:t xml:space="preserve"> </w:t>
      </w:r>
      <w:r>
        <w:t>demonstrate</w:t>
      </w:r>
      <w:r>
        <w:rPr>
          <w:spacing w:val="-9"/>
        </w:rPr>
        <w:t xml:space="preserve"> </w:t>
      </w:r>
      <w:r>
        <w:t>that,</w:t>
      </w:r>
      <w:r>
        <w:rPr>
          <w:spacing w:val="-10"/>
        </w:rPr>
        <w:t xml:space="preserve"> </w:t>
      </w:r>
      <w:r>
        <w:t>while</w:t>
      </w:r>
      <w:r>
        <w:rPr>
          <w:spacing w:val="-12"/>
        </w:rPr>
        <w:t xml:space="preserve"> </w:t>
      </w:r>
      <w:r>
        <w:t>human</w:t>
      </w:r>
      <w:r>
        <w:rPr>
          <w:spacing w:val="-9"/>
        </w:rPr>
        <w:t xml:space="preserve"> </w:t>
      </w:r>
      <w:r>
        <w:t>rights</w:t>
      </w:r>
      <w:r>
        <w:rPr>
          <w:spacing w:val="-9"/>
        </w:rPr>
        <w:t xml:space="preserve"> </w:t>
      </w:r>
      <w:r>
        <w:t>enactments</w:t>
      </w:r>
      <w:r>
        <w:rPr>
          <w:spacing w:val="-9"/>
        </w:rPr>
        <w:t xml:space="preserve"> </w:t>
      </w:r>
      <w:r>
        <w:t>do</w:t>
      </w:r>
      <w:r>
        <w:rPr>
          <w:spacing w:val="-10"/>
        </w:rPr>
        <w:t xml:space="preserve"> </w:t>
      </w:r>
      <w:r>
        <w:t>not dictate</w:t>
      </w:r>
      <w:r>
        <w:rPr>
          <w:spacing w:val="-3"/>
        </w:rPr>
        <w:t xml:space="preserve"> </w:t>
      </w:r>
      <w:r>
        <w:t>a</w:t>
      </w:r>
      <w:r>
        <w:rPr>
          <w:spacing w:val="-3"/>
        </w:rPr>
        <w:t xml:space="preserve"> </w:t>
      </w:r>
      <w:r>
        <w:t>particular</w:t>
      </w:r>
      <w:r>
        <w:rPr>
          <w:spacing w:val="-3"/>
        </w:rPr>
        <w:t xml:space="preserve"> </w:t>
      </w:r>
      <w:r>
        <w:t>legislative</w:t>
      </w:r>
      <w:r>
        <w:rPr>
          <w:spacing w:val="-3"/>
        </w:rPr>
        <w:t xml:space="preserve"> </w:t>
      </w:r>
      <w:r>
        <w:t>or</w:t>
      </w:r>
      <w:r>
        <w:rPr>
          <w:spacing w:val="-3"/>
        </w:rPr>
        <w:t xml:space="preserve"> </w:t>
      </w:r>
      <w:r>
        <w:t>policy</w:t>
      </w:r>
      <w:r>
        <w:rPr>
          <w:spacing w:val="-3"/>
        </w:rPr>
        <w:t xml:space="preserve"> </w:t>
      </w:r>
      <w:r>
        <w:t>outcome</w:t>
      </w:r>
      <w:r>
        <w:rPr>
          <w:spacing w:val="-6"/>
        </w:rPr>
        <w:t xml:space="preserve"> </w:t>
      </w:r>
      <w:r>
        <w:t>from</w:t>
      </w:r>
      <w:r>
        <w:rPr>
          <w:spacing w:val="-5"/>
        </w:rPr>
        <w:t xml:space="preserve"> </w:t>
      </w:r>
      <w:r>
        <w:t>a</w:t>
      </w:r>
      <w:r>
        <w:rPr>
          <w:spacing w:val="-3"/>
        </w:rPr>
        <w:t xml:space="preserve"> </w:t>
      </w:r>
      <w:r>
        <w:t>human</w:t>
      </w:r>
      <w:r>
        <w:rPr>
          <w:spacing w:val="-4"/>
        </w:rPr>
        <w:t xml:space="preserve"> </w:t>
      </w:r>
      <w:r>
        <w:t>rights</w:t>
      </w:r>
      <w:r>
        <w:rPr>
          <w:spacing w:val="-3"/>
        </w:rPr>
        <w:t xml:space="preserve"> </w:t>
      </w:r>
      <w:r>
        <w:t>perspective,</w:t>
      </w:r>
      <w:r>
        <w:rPr>
          <w:spacing w:val="-6"/>
        </w:rPr>
        <w:t xml:space="preserve"> </w:t>
      </w:r>
      <w:r>
        <w:t>there</w:t>
      </w:r>
      <w:r>
        <w:rPr>
          <w:spacing w:val="-6"/>
        </w:rPr>
        <w:t xml:space="preserve"> </w:t>
      </w:r>
      <w:r>
        <w:t>are</w:t>
      </w:r>
      <w:r>
        <w:rPr>
          <w:spacing w:val="-6"/>
        </w:rPr>
        <w:t xml:space="preserve"> </w:t>
      </w:r>
      <w:r>
        <w:t>indications that human rights discourse has been improved by the requirement to identify affected rights and explicitly</w:t>
      </w:r>
      <w:r>
        <w:rPr>
          <w:spacing w:val="-12"/>
        </w:rPr>
        <w:t xml:space="preserve"> </w:t>
      </w:r>
      <w:r>
        <w:t>justify</w:t>
      </w:r>
      <w:r>
        <w:rPr>
          <w:spacing w:val="-14"/>
        </w:rPr>
        <w:t xml:space="preserve"> </w:t>
      </w:r>
      <w:r>
        <w:t>limitations</w:t>
      </w:r>
      <w:r>
        <w:rPr>
          <w:spacing w:val="-13"/>
        </w:rPr>
        <w:t xml:space="preserve"> </w:t>
      </w:r>
      <w:r>
        <w:t>on</w:t>
      </w:r>
      <w:r>
        <w:rPr>
          <w:spacing w:val="-12"/>
        </w:rPr>
        <w:t xml:space="preserve"> </w:t>
      </w:r>
      <w:r>
        <w:t>those</w:t>
      </w:r>
      <w:r>
        <w:rPr>
          <w:spacing w:val="-14"/>
        </w:rPr>
        <w:t xml:space="preserve"> </w:t>
      </w:r>
      <w:r>
        <w:t>rights.</w:t>
      </w:r>
      <w:r>
        <w:rPr>
          <w:spacing w:val="-8"/>
        </w:rPr>
        <w:t xml:space="preserve"> </w:t>
      </w:r>
      <w:r>
        <w:t>Courts</w:t>
      </w:r>
      <w:r>
        <w:rPr>
          <w:spacing w:val="-11"/>
        </w:rPr>
        <w:t xml:space="preserve"> </w:t>
      </w:r>
      <w:r>
        <w:t>have</w:t>
      </w:r>
      <w:r>
        <w:rPr>
          <w:spacing w:val="-12"/>
        </w:rPr>
        <w:t xml:space="preserve"> </w:t>
      </w:r>
      <w:r>
        <w:t>confirmed</w:t>
      </w:r>
      <w:r>
        <w:rPr>
          <w:spacing w:val="-14"/>
        </w:rPr>
        <w:t xml:space="preserve"> </w:t>
      </w:r>
      <w:r>
        <w:t>that</w:t>
      </w:r>
      <w:r>
        <w:rPr>
          <w:spacing w:val="-11"/>
        </w:rPr>
        <w:t xml:space="preserve"> </w:t>
      </w:r>
      <w:r>
        <w:t>decision-makers</w:t>
      </w:r>
      <w:r>
        <w:rPr>
          <w:spacing w:val="-11"/>
        </w:rPr>
        <w:t xml:space="preserve"> </w:t>
      </w:r>
      <w:r>
        <w:t>must</w:t>
      </w:r>
      <w:r>
        <w:rPr>
          <w:spacing w:val="-10"/>
        </w:rPr>
        <w:t xml:space="preserve"> </w:t>
      </w:r>
      <w:r>
        <w:t>‘do</w:t>
      </w:r>
      <w:r>
        <w:rPr>
          <w:spacing w:val="-12"/>
        </w:rPr>
        <w:t xml:space="preserve"> </w:t>
      </w:r>
      <w:r>
        <w:t>more than</w:t>
      </w:r>
      <w:r>
        <w:rPr>
          <w:spacing w:val="-6"/>
        </w:rPr>
        <w:t xml:space="preserve"> </w:t>
      </w:r>
      <w:r>
        <w:t>merely</w:t>
      </w:r>
      <w:r>
        <w:rPr>
          <w:spacing w:val="-6"/>
        </w:rPr>
        <w:t xml:space="preserve"> </w:t>
      </w:r>
      <w:r>
        <w:t>invoke</w:t>
      </w:r>
      <w:r>
        <w:rPr>
          <w:spacing w:val="-3"/>
        </w:rPr>
        <w:t xml:space="preserve"> </w:t>
      </w:r>
      <w:r>
        <w:t>the</w:t>
      </w:r>
      <w:r>
        <w:rPr>
          <w:spacing w:val="-3"/>
        </w:rPr>
        <w:t xml:space="preserve"> </w:t>
      </w:r>
      <w:r>
        <w:t>Charter</w:t>
      </w:r>
      <w:r>
        <w:rPr>
          <w:spacing w:val="-3"/>
        </w:rPr>
        <w:t xml:space="preserve"> </w:t>
      </w:r>
      <w:r>
        <w:t>like</w:t>
      </w:r>
      <w:r>
        <w:rPr>
          <w:spacing w:val="-3"/>
        </w:rPr>
        <w:t xml:space="preserve"> </w:t>
      </w:r>
      <w:r>
        <w:t>a</w:t>
      </w:r>
      <w:r>
        <w:rPr>
          <w:spacing w:val="-3"/>
        </w:rPr>
        <w:t xml:space="preserve"> </w:t>
      </w:r>
      <w:r>
        <w:t>mantra’</w:t>
      </w:r>
      <w:r>
        <w:rPr>
          <w:spacing w:val="-3"/>
        </w:rPr>
        <w:t xml:space="preserve"> </w:t>
      </w:r>
      <w:r>
        <w:t>and</w:t>
      </w:r>
      <w:r>
        <w:rPr>
          <w:spacing w:val="-3"/>
        </w:rPr>
        <w:t xml:space="preserve"> </w:t>
      </w:r>
      <w:r>
        <w:t>actively</w:t>
      </w:r>
      <w:r>
        <w:rPr>
          <w:spacing w:val="-4"/>
        </w:rPr>
        <w:t xml:space="preserve"> </w:t>
      </w:r>
      <w:r>
        <w:t>consider</w:t>
      </w:r>
      <w:r>
        <w:rPr>
          <w:spacing w:val="-3"/>
        </w:rPr>
        <w:t xml:space="preserve"> </w:t>
      </w:r>
      <w:r>
        <w:t>options</w:t>
      </w:r>
      <w:r>
        <w:rPr>
          <w:spacing w:val="-3"/>
        </w:rPr>
        <w:t xml:space="preserve"> </w:t>
      </w:r>
      <w:r>
        <w:t>to</w:t>
      </w:r>
      <w:r>
        <w:rPr>
          <w:spacing w:val="-6"/>
        </w:rPr>
        <w:t xml:space="preserve"> </w:t>
      </w:r>
      <w:r>
        <w:t>minimise</w:t>
      </w:r>
      <w:r>
        <w:rPr>
          <w:spacing w:val="-3"/>
        </w:rPr>
        <w:t xml:space="preserve"> </w:t>
      </w:r>
      <w:r>
        <w:t>restrictions</w:t>
      </w:r>
      <w:r>
        <w:rPr>
          <w:spacing w:val="-3"/>
        </w:rPr>
        <w:t xml:space="preserve"> </w:t>
      </w:r>
      <w:r>
        <w:t>on protected rights.</w:t>
      </w:r>
      <w:r>
        <w:rPr>
          <w:position w:val="7"/>
          <w:sz w:val="13"/>
        </w:rPr>
        <w:t>5</w:t>
      </w:r>
    </w:p>
    <w:p w14:paraId="7CB25C51" w14:textId="77777777" w:rsidR="008A4099" w:rsidRDefault="006A6EE2">
      <w:pPr>
        <w:pStyle w:val="BodyText"/>
        <w:spacing w:before="220"/>
        <w:ind w:left="160" w:right="673"/>
        <w:jc w:val="both"/>
      </w:pPr>
      <w:r>
        <w:t>Further,</w:t>
      </w:r>
      <w:r>
        <w:rPr>
          <w:spacing w:val="-12"/>
        </w:rPr>
        <w:t xml:space="preserve"> </w:t>
      </w:r>
      <w:r>
        <w:t>reviews</w:t>
      </w:r>
      <w:r>
        <w:rPr>
          <w:spacing w:val="-12"/>
        </w:rPr>
        <w:t xml:space="preserve"> </w:t>
      </w:r>
      <w:r>
        <w:t>in</w:t>
      </w:r>
      <w:r>
        <w:rPr>
          <w:spacing w:val="-12"/>
        </w:rPr>
        <w:t xml:space="preserve"> </w:t>
      </w:r>
      <w:r>
        <w:t>jurisdictions</w:t>
      </w:r>
      <w:r>
        <w:rPr>
          <w:spacing w:val="-11"/>
        </w:rPr>
        <w:t xml:space="preserve"> </w:t>
      </w:r>
      <w:r>
        <w:t>with</w:t>
      </w:r>
      <w:r>
        <w:rPr>
          <w:spacing w:val="-12"/>
        </w:rPr>
        <w:t xml:space="preserve"> </w:t>
      </w:r>
      <w:r>
        <w:t>human</w:t>
      </w:r>
      <w:r>
        <w:rPr>
          <w:spacing w:val="-12"/>
        </w:rPr>
        <w:t xml:space="preserve"> </w:t>
      </w:r>
      <w:r>
        <w:t>rights</w:t>
      </w:r>
      <w:r>
        <w:rPr>
          <w:spacing w:val="-11"/>
        </w:rPr>
        <w:t xml:space="preserve"> </w:t>
      </w:r>
      <w:r>
        <w:t>enactments</w:t>
      </w:r>
      <w:r>
        <w:rPr>
          <w:spacing w:val="-11"/>
        </w:rPr>
        <w:t xml:space="preserve"> </w:t>
      </w:r>
      <w:r>
        <w:t>have</w:t>
      </w:r>
      <w:r>
        <w:rPr>
          <w:spacing w:val="-11"/>
        </w:rPr>
        <w:t xml:space="preserve"> </w:t>
      </w:r>
      <w:r>
        <w:t>found</w:t>
      </w:r>
      <w:r>
        <w:rPr>
          <w:spacing w:val="-12"/>
        </w:rPr>
        <w:t xml:space="preserve"> </w:t>
      </w:r>
      <w:r>
        <w:t>that</w:t>
      </w:r>
      <w:r>
        <w:rPr>
          <w:spacing w:val="-11"/>
        </w:rPr>
        <w:t xml:space="preserve"> </w:t>
      </w:r>
      <w:r>
        <w:t>the</w:t>
      </w:r>
      <w:r>
        <w:rPr>
          <w:spacing w:val="-12"/>
        </w:rPr>
        <w:t xml:space="preserve"> </w:t>
      </w:r>
      <w:r>
        <w:t>introduction</w:t>
      </w:r>
      <w:r>
        <w:rPr>
          <w:spacing w:val="-12"/>
        </w:rPr>
        <w:t xml:space="preserve"> </w:t>
      </w:r>
      <w:r>
        <w:t>of</w:t>
      </w:r>
      <w:r>
        <w:rPr>
          <w:spacing w:val="-11"/>
        </w:rPr>
        <w:t xml:space="preserve"> </w:t>
      </w:r>
      <w:r>
        <w:t>those enactments has resulted in the implementation of processes to build a human rights culture across government and the public sector.</w:t>
      </w:r>
      <w:r>
        <w:rPr>
          <w:position w:val="7"/>
          <w:sz w:val="13"/>
        </w:rPr>
        <w:t>6</w:t>
      </w:r>
      <w:r>
        <w:rPr>
          <w:spacing w:val="35"/>
          <w:position w:val="7"/>
          <w:sz w:val="13"/>
        </w:rPr>
        <w:t xml:space="preserve"> </w:t>
      </w:r>
      <w:r>
        <w:t>These reviews and the experience in other jurisdictions have also pointed</w:t>
      </w:r>
      <w:r>
        <w:rPr>
          <w:spacing w:val="-4"/>
        </w:rPr>
        <w:t xml:space="preserve"> </w:t>
      </w:r>
      <w:r>
        <w:t>to</w:t>
      </w:r>
      <w:r>
        <w:rPr>
          <w:spacing w:val="-2"/>
        </w:rPr>
        <w:t xml:space="preserve"> </w:t>
      </w:r>
      <w:r>
        <w:t>additional</w:t>
      </w:r>
      <w:r>
        <w:rPr>
          <w:spacing w:val="-1"/>
        </w:rPr>
        <w:t xml:space="preserve"> </w:t>
      </w:r>
      <w:r>
        <w:t>benefits</w:t>
      </w:r>
      <w:r>
        <w:rPr>
          <w:spacing w:val="-2"/>
        </w:rPr>
        <w:t xml:space="preserve"> </w:t>
      </w:r>
      <w:r>
        <w:t>in</w:t>
      </w:r>
      <w:r>
        <w:rPr>
          <w:spacing w:val="-2"/>
        </w:rPr>
        <w:t xml:space="preserve"> </w:t>
      </w:r>
      <w:r>
        <w:t>framing</w:t>
      </w:r>
      <w:r>
        <w:rPr>
          <w:spacing w:val="-5"/>
        </w:rPr>
        <w:t xml:space="preserve"> </w:t>
      </w:r>
      <w:r>
        <w:t>parliamentary</w:t>
      </w:r>
      <w:r>
        <w:rPr>
          <w:spacing w:val="-5"/>
        </w:rPr>
        <w:t xml:space="preserve"> </w:t>
      </w:r>
      <w:r>
        <w:t>debate,</w:t>
      </w:r>
      <w:r>
        <w:rPr>
          <w:spacing w:val="-2"/>
        </w:rPr>
        <w:t xml:space="preserve"> </w:t>
      </w:r>
      <w:r>
        <w:t>scrutiny</w:t>
      </w:r>
      <w:r>
        <w:rPr>
          <w:spacing w:val="-2"/>
        </w:rPr>
        <w:t xml:space="preserve"> </w:t>
      </w:r>
      <w:r>
        <w:t>of</w:t>
      </w:r>
      <w:r>
        <w:rPr>
          <w:spacing w:val="-4"/>
        </w:rPr>
        <w:t xml:space="preserve"> </w:t>
      </w:r>
      <w:r>
        <w:t>legislation</w:t>
      </w:r>
      <w:r>
        <w:rPr>
          <w:spacing w:val="-2"/>
        </w:rPr>
        <w:t xml:space="preserve"> </w:t>
      </w:r>
      <w:r>
        <w:t>and</w:t>
      </w:r>
      <w:r>
        <w:rPr>
          <w:spacing w:val="-2"/>
        </w:rPr>
        <w:t xml:space="preserve"> </w:t>
      </w:r>
      <w:r>
        <w:t>policies,</w:t>
      </w:r>
      <w:r>
        <w:rPr>
          <w:spacing w:val="-2"/>
        </w:rPr>
        <w:t xml:space="preserve"> </w:t>
      </w:r>
      <w:r>
        <w:t>and in improving community awareness of human rights and approaches to negotiating competing rights. Although the experience elsewhere makes clear that human rights enactments are not a panacea and – accepting</w:t>
      </w:r>
      <w:r>
        <w:rPr>
          <w:spacing w:val="-5"/>
        </w:rPr>
        <w:t xml:space="preserve"> </w:t>
      </w:r>
      <w:r>
        <w:t>that</w:t>
      </w:r>
      <w:r>
        <w:rPr>
          <w:spacing w:val="-4"/>
        </w:rPr>
        <w:t xml:space="preserve"> </w:t>
      </w:r>
      <w:r>
        <w:t>a</w:t>
      </w:r>
      <w:r>
        <w:rPr>
          <w:spacing w:val="-2"/>
        </w:rPr>
        <w:t xml:space="preserve"> </w:t>
      </w:r>
      <w:r>
        <w:t>Charter</w:t>
      </w:r>
      <w:r>
        <w:rPr>
          <w:spacing w:val="-3"/>
        </w:rPr>
        <w:t xml:space="preserve"> </w:t>
      </w:r>
      <w:r>
        <w:t>of</w:t>
      </w:r>
      <w:r>
        <w:rPr>
          <w:spacing w:val="-6"/>
        </w:rPr>
        <w:t xml:space="preserve"> </w:t>
      </w:r>
      <w:r>
        <w:t>Rights</w:t>
      </w:r>
      <w:r>
        <w:rPr>
          <w:spacing w:val="-4"/>
        </w:rPr>
        <w:t xml:space="preserve"> </w:t>
      </w:r>
      <w:r>
        <w:t>in</w:t>
      </w:r>
      <w:r>
        <w:rPr>
          <w:spacing w:val="-2"/>
        </w:rPr>
        <w:t xml:space="preserve"> </w:t>
      </w:r>
      <w:r>
        <w:t>Tasmania</w:t>
      </w:r>
      <w:r>
        <w:rPr>
          <w:spacing w:val="-2"/>
        </w:rPr>
        <w:t xml:space="preserve"> </w:t>
      </w:r>
      <w:r>
        <w:t>would</w:t>
      </w:r>
      <w:r>
        <w:rPr>
          <w:spacing w:val="-7"/>
        </w:rPr>
        <w:t xml:space="preserve"> </w:t>
      </w:r>
      <w:r>
        <w:t>not</w:t>
      </w:r>
      <w:r>
        <w:rPr>
          <w:spacing w:val="-4"/>
        </w:rPr>
        <w:t xml:space="preserve"> </w:t>
      </w:r>
      <w:r>
        <w:t>resolve</w:t>
      </w:r>
      <w:r>
        <w:rPr>
          <w:spacing w:val="-2"/>
        </w:rPr>
        <w:t xml:space="preserve"> </w:t>
      </w:r>
      <w:r>
        <w:t>all</w:t>
      </w:r>
      <w:r>
        <w:rPr>
          <w:spacing w:val="-1"/>
        </w:rPr>
        <w:t xml:space="preserve"> </w:t>
      </w:r>
      <w:r>
        <w:t>human</w:t>
      </w:r>
      <w:r>
        <w:rPr>
          <w:spacing w:val="-2"/>
        </w:rPr>
        <w:t xml:space="preserve"> </w:t>
      </w:r>
      <w:r>
        <w:t>rights</w:t>
      </w:r>
      <w:r>
        <w:rPr>
          <w:spacing w:val="-4"/>
        </w:rPr>
        <w:t xml:space="preserve"> </w:t>
      </w:r>
      <w:r>
        <w:t>problems</w:t>
      </w:r>
      <w:r>
        <w:rPr>
          <w:spacing w:val="-4"/>
        </w:rPr>
        <w:t xml:space="preserve"> </w:t>
      </w:r>
      <w:r>
        <w:t>or</w:t>
      </w:r>
      <w:r>
        <w:rPr>
          <w:spacing w:val="-4"/>
        </w:rPr>
        <w:t xml:space="preserve"> </w:t>
      </w:r>
      <w:r>
        <w:t>prevent social</w:t>
      </w:r>
      <w:r>
        <w:rPr>
          <w:spacing w:val="-5"/>
        </w:rPr>
        <w:t xml:space="preserve"> </w:t>
      </w:r>
      <w:r>
        <w:t>inequality</w:t>
      </w:r>
      <w:r>
        <w:rPr>
          <w:spacing w:val="-4"/>
        </w:rPr>
        <w:t xml:space="preserve"> </w:t>
      </w:r>
      <w:r>
        <w:t>and</w:t>
      </w:r>
      <w:r>
        <w:rPr>
          <w:spacing w:val="-6"/>
        </w:rPr>
        <w:t xml:space="preserve"> </w:t>
      </w:r>
      <w:r>
        <w:t>injustice</w:t>
      </w:r>
      <w:r>
        <w:rPr>
          <w:spacing w:val="-3"/>
        </w:rPr>
        <w:t xml:space="preserve"> </w:t>
      </w:r>
      <w:r>
        <w:t>in</w:t>
      </w:r>
      <w:r>
        <w:rPr>
          <w:spacing w:val="-6"/>
        </w:rPr>
        <w:t xml:space="preserve"> </w:t>
      </w:r>
      <w:r>
        <w:t>Tasmania</w:t>
      </w:r>
      <w:r>
        <w:rPr>
          <w:spacing w:val="-6"/>
        </w:rPr>
        <w:t xml:space="preserve"> </w:t>
      </w:r>
      <w:r>
        <w:t>either</w:t>
      </w:r>
      <w:r>
        <w:rPr>
          <w:spacing w:val="-2"/>
        </w:rPr>
        <w:t xml:space="preserve"> </w:t>
      </w:r>
      <w:r>
        <w:t>–</w:t>
      </w:r>
      <w:r>
        <w:rPr>
          <w:spacing w:val="-6"/>
        </w:rPr>
        <w:t xml:space="preserve"> </w:t>
      </w:r>
      <w:r>
        <w:t>it</w:t>
      </w:r>
      <w:r>
        <w:rPr>
          <w:spacing w:val="-5"/>
        </w:rPr>
        <w:t xml:space="preserve"> </w:t>
      </w:r>
      <w:r>
        <w:t>remains</w:t>
      </w:r>
      <w:r>
        <w:rPr>
          <w:spacing w:val="-6"/>
        </w:rPr>
        <w:t xml:space="preserve"> </w:t>
      </w:r>
      <w:r>
        <w:t>the</w:t>
      </w:r>
      <w:r>
        <w:rPr>
          <w:spacing w:val="-3"/>
        </w:rPr>
        <w:t xml:space="preserve"> </w:t>
      </w:r>
      <w:r>
        <w:t>TLRI’s</w:t>
      </w:r>
      <w:r>
        <w:rPr>
          <w:spacing w:val="-6"/>
        </w:rPr>
        <w:t xml:space="preserve"> </w:t>
      </w:r>
      <w:r>
        <w:t>view</w:t>
      </w:r>
      <w:r>
        <w:rPr>
          <w:spacing w:val="-4"/>
        </w:rPr>
        <w:t xml:space="preserve"> </w:t>
      </w:r>
      <w:r>
        <w:t>that</w:t>
      </w:r>
      <w:r>
        <w:rPr>
          <w:spacing w:val="-5"/>
        </w:rPr>
        <w:t xml:space="preserve"> </w:t>
      </w:r>
      <w:r>
        <w:t>a</w:t>
      </w:r>
      <w:r>
        <w:rPr>
          <w:spacing w:val="-3"/>
        </w:rPr>
        <w:t xml:space="preserve"> </w:t>
      </w:r>
      <w:r>
        <w:t>legislated</w:t>
      </w:r>
      <w:r>
        <w:rPr>
          <w:spacing w:val="-3"/>
        </w:rPr>
        <w:t xml:space="preserve"> </w:t>
      </w:r>
      <w:r>
        <w:t>Charter of</w:t>
      </w:r>
      <w:r>
        <w:rPr>
          <w:spacing w:val="-4"/>
        </w:rPr>
        <w:t xml:space="preserve"> </w:t>
      </w:r>
      <w:r>
        <w:t>Rights</w:t>
      </w:r>
      <w:r>
        <w:rPr>
          <w:spacing w:val="-4"/>
        </w:rPr>
        <w:t xml:space="preserve"> </w:t>
      </w:r>
      <w:r>
        <w:t>or</w:t>
      </w:r>
      <w:r>
        <w:rPr>
          <w:spacing w:val="-4"/>
        </w:rPr>
        <w:t xml:space="preserve"> </w:t>
      </w:r>
      <w:r>
        <w:t>Human</w:t>
      </w:r>
      <w:r>
        <w:rPr>
          <w:spacing w:val="-7"/>
        </w:rPr>
        <w:t xml:space="preserve"> </w:t>
      </w:r>
      <w:r>
        <w:t>Rights</w:t>
      </w:r>
      <w:r>
        <w:rPr>
          <w:spacing w:val="-8"/>
        </w:rPr>
        <w:t xml:space="preserve"> </w:t>
      </w:r>
      <w:r>
        <w:t>Act</w:t>
      </w:r>
      <w:r>
        <w:rPr>
          <w:spacing w:val="-4"/>
        </w:rPr>
        <w:t xml:space="preserve"> </w:t>
      </w:r>
      <w:r>
        <w:t>would</w:t>
      </w:r>
      <w:r>
        <w:rPr>
          <w:spacing w:val="-7"/>
        </w:rPr>
        <w:t xml:space="preserve"> </w:t>
      </w:r>
      <w:r>
        <w:t>be</w:t>
      </w:r>
      <w:r>
        <w:rPr>
          <w:spacing w:val="-7"/>
        </w:rPr>
        <w:t xml:space="preserve"> </w:t>
      </w:r>
      <w:r>
        <w:t>the</w:t>
      </w:r>
      <w:r>
        <w:rPr>
          <w:spacing w:val="-8"/>
        </w:rPr>
        <w:t xml:space="preserve"> </w:t>
      </w:r>
      <w:r>
        <w:t>most</w:t>
      </w:r>
      <w:r>
        <w:rPr>
          <w:spacing w:val="-4"/>
        </w:rPr>
        <w:t xml:space="preserve"> </w:t>
      </w:r>
      <w:r>
        <w:t>effective</w:t>
      </w:r>
      <w:r>
        <w:rPr>
          <w:spacing w:val="-4"/>
        </w:rPr>
        <w:t xml:space="preserve"> </w:t>
      </w:r>
      <w:r>
        <w:t>way</w:t>
      </w:r>
      <w:r>
        <w:rPr>
          <w:spacing w:val="-7"/>
        </w:rPr>
        <w:t xml:space="preserve"> </w:t>
      </w:r>
      <w:r>
        <w:t>to</w:t>
      </w:r>
      <w:r>
        <w:rPr>
          <w:spacing w:val="-7"/>
        </w:rPr>
        <w:t xml:space="preserve"> </w:t>
      </w:r>
      <w:r>
        <w:t>embed</w:t>
      </w:r>
      <w:r>
        <w:rPr>
          <w:spacing w:val="-7"/>
        </w:rPr>
        <w:t xml:space="preserve"> </w:t>
      </w:r>
      <w:r>
        <w:t>human</w:t>
      </w:r>
      <w:r>
        <w:rPr>
          <w:spacing w:val="-7"/>
        </w:rPr>
        <w:t xml:space="preserve"> </w:t>
      </w:r>
      <w:r>
        <w:t>rights</w:t>
      </w:r>
      <w:r>
        <w:rPr>
          <w:spacing w:val="-7"/>
        </w:rPr>
        <w:t xml:space="preserve"> </w:t>
      </w:r>
      <w:r>
        <w:t>considerations consistently</w:t>
      </w:r>
      <w:r>
        <w:rPr>
          <w:spacing w:val="-5"/>
        </w:rPr>
        <w:t xml:space="preserve"> </w:t>
      </w:r>
      <w:r>
        <w:t>into</w:t>
      </w:r>
      <w:r>
        <w:rPr>
          <w:spacing w:val="-2"/>
        </w:rPr>
        <w:t xml:space="preserve"> </w:t>
      </w:r>
      <w:r>
        <w:t>the</w:t>
      </w:r>
      <w:r>
        <w:rPr>
          <w:spacing w:val="-2"/>
        </w:rPr>
        <w:t xml:space="preserve"> </w:t>
      </w:r>
      <w:r>
        <w:t>development</w:t>
      </w:r>
      <w:r>
        <w:rPr>
          <w:spacing w:val="-1"/>
        </w:rPr>
        <w:t xml:space="preserve"> </w:t>
      </w:r>
      <w:r>
        <w:t>and</w:t>
      </w:r>
      <w:r>
        <w:rPr>
          <w:spacing w:val="-2"/>
        </w:rPr>
        <w:t xml:space="preserve"> </w:t>
      </w:r>
      <w:r>
        <w:t>analysis</w:t>
      </w:r>
      <w:r>
        <w:rPr>
          <w:spacing w:val="-2"/>
        </w:rPr>
        <w:t xml:space="preserve"> </w:t>
      </w:r>
      <w:r>
        <w:t>of</w:t>
      </w:r>
      <w:r>
        <w:rPr>
          <w:spacing w:val="-3"/>
        </w:rPr>
        <w:t xml:space="preserve"> </w:t>
      </w:r>
      <w:r>
        <w:t>legislation</w:t>
      </w:r>
      <w:r>
        <w:rPr>
          <w:spacing w:val="-2"/>
        </w:rPr>
        <w:t xml:space="preserve"> </w:t>
      </w:r>
      <w:r>
        <w:t>in</w:t>
      </w:r>
      <w:r>
        <w:rPr>
          <w:spacing w:val="-2"/>
        </w:rPr>
        <w:t xml:space="preserve"> </w:t>
      </w:r>
      <w:r>
        <w:t>Tasmania. The</w:t>
      </w:r>
      <w:r>
        <w:rPr>
          <w:spacing w:val="-5"/>
        </w:rPr>
        <w:t xml:space="preserve"> </w:t>
      </w:r>
      <w:r>
        <w:t>value</w:t>
      </w:r>
      <w:r>
        <w:rPr>
          <w:spacing w:val="-2"/>
        </w:rPr>
        <w:t xml:space="preserve"> </w:t>
      </w:r>
      <w:r>
        <w:t>of</w:t>
      </w:r>
      <w:r>
        <w:rPr>
          <w:spacing w:val="-4"/>
        </w:rPr>
        <w:t xml:space="preserve"> </w:t>
      </w:r>
      <w:r>
        <w:t>a</w:t>
      </w:r>
      <w:r>
        <w:rPr>
          <w:spacing w:val="-2"/>
        </w:rPr>
        <w:t xml:space="preserve"> </w:t>
      </w:r>
      <w:r>
        <w:t>human</w:t>
      </w:r>
      <w:r>
        <w:rPr>
          <w:spacing w:val="-4"/>
        </w:rPr>
        <w:t xml:space="preserve"> </w:t>
      </w:r>
      <w:r>
        <w:t>rights enactment, as outlined in the 2007 Final Report, is that it provides a clear and accessible statement of fundamental rights and can operate as a touchstone or general gauge by which to evaluate legislative and</w:t>
      </w:r>
      <w:r>
        <w:rPr>
          <w:spacing w:val="-8"/>
        </w:rPr>
        <w:t xml:space="preserve"> </w:t>
      </w:r>
      <w:r>
        <w:t>policy</w:t>
      </w:r>
      <w:r>
        <w:rPr>
          <w:spacing w:val="-8"/>
        </w:rPr>
        <w:t xml:space="preserve"> </w:t>
      </w:r>
      <w:r>
        <w:t>decisions.</w:t>
      </w:r>
      <w:r>
        <w:rPr>
          <w:spacing w:val="-8"/>
        </w:rPr>
        <w:t xml:space="preserve"> </w:t>
      </w:r>
      <w:r>
        <w:t>It</w:t>
      </w:r>
      <w:r>
        <w:rPr>
          <w:spacing w:val="-10"/>
        </w:rPr>
        <w:t xml:space="preserve"> </w:t>
      </w:r>
      <w:r>
        <w:t>can</w:t>
      </w:r>
      <w:r>
        <w:rPr>
          <w:spacing w:val="-11"/>
        </w:rPr>
        <w:t xml:space="preserve"> </w:t>
      </w:r>
      <w:r>
        <w:t>also</w:t>
      </w:r>
      <w:r>
        <w:rPr>
          <w:spacing w:val="-11"/>
        </w:rPr>
        <w:t xml:space="preserve"> </w:t>
      </w:r>
      <w:r>
        <w:t>help</w:t>
      </w:r>
      <w:r>
        <w:rPr>
          <w:spacing w:val="-9"/>
        </w:rPr>
        <w:t xml:space="preserve"> </w:t>
      </w:r>
      <w:r>
        <w:t>to</w:t>
      </w:r>
      <w:r>
        <w:rPr>
          <w:spacing w:val="-11"/>
        </w:rPr>
        <w:t xml:space="preserve"> </w:t>
      </w:r>
      <w:r>
        <w:t>articulate</w:t>
      </w:r>
      <w:r>
        <w:rPr>
          <w:spacing w:val="-11"/>
        </w:rPr>
        <w:t xml:space="preserve"> </w:t>
      </w:r>
      <w:r>
        <w:t>and</w:t>
      </w:r>
      <w:r>
        <w:rPr>
          <w:spacing w:val="-11"/>
        </w:rPr>
        <w:t xml:space="preserve"> </w:t>
      </w:r>
      <w:r>
        <w:t>explore</w:t>
      </w:r>
      <w:r>
        <w:rPr>
          <w:spacing w:val="-8"/>
        </w:rPr>
        <w:t xml:space="preserve"> </w:t>
      </w:r>
      <w:r>
        <w:t>balancing</w:t>
      </w:r>
      <w:r>
        <w:rPr>
          <w:spacing w:val="-11"/>
        </w:rPr>
        <w:t xml:space="preserve"> </w:t>
      </w:r>
      <w:r>
        <w:t>rights,</w:t>
      </w:r>
      <w:r>
        <w:rPr>
          <w:spacing w:val="-11"/>
        </w:rPr>
        <w:t xml:space="preserve"> </w:t>
      </w:r>
      <w:r>
        <w:t>where</w:t>
      </w:r>
      <w:r>
        <w:rPr>
          <w:spacing w:val="-11"/>
        </w:rPr>
        <w:t xml:space="preserve"> </w:t>
      </w:r>
      <w:r>
        <w:t>there</w:t>
      </w:r>
      <w:r>
        <w:rPr>
          <w:spacing w:val="-11"/>
        </w:rPr>
        <w:t xml:space="preserve"> </w:t>
      </w:r>
      <w:r>
        <w:t>are</w:t>
      </w:r>
      <w:r>
        <w:rPr>
          <w:spacing w:val="-11"/>
        </w:rPr>
        <w:t xml:space="preserve"> </w:t>
      </w:r>
      <w:r>
        <w:t>multiple or conflicting rights, and so contribute to the democratic process.</w:t>
      </w:r>
    </w:p>
    <w:p w14:paraId="7CB25C52" w14:textId="77777777" w:rsidR="008A4099" w:rsidRDefault="006A6EE2">
      <w:pPr>
        <w:pStyle w:val="BodyText"/>
        <w:spacing w:before="222"/>
        <w:ind w:left="160" w:right="676"/>
        <w:jc w:val="both"/>
      </w:pPr>
      <w:r>
        <w:t>In addition, experience elsewhere suggests that well-resourced Human Rights Commissions can contribute expert human rights advice in the scrutiny of legislation, through submissions to scrutiny committees,</w:t>
      </w:r>
      <w:r>
        <w:rPr>
          <w:spacing w:val="-11"/>
        </w:rPr>
        <w:t xml:space="preserve"> </w:t>
      </w:r>
      <w:r>
        <w:t>appearances</w:t>
      </w:r>
      <w:r>
        <w:rPr>
          <w:spacing w:val="-9"/>
        </w:rPr>
        <w:t xml:space="preserve"> </w:t>
      </w:r>
      <w:r>
        <w:t>at</w:t>
      </w:r>
      <w:r>
        <w:rPr>
          <w:spacing w:val="-11"/>
        </w:rPr>
        <w:t xml:space="preserve"> </w:t>
      </w:r>
      <w:r>
        <w:t>parliamentary</w:t>
      </w:r>
      <w:r>
        <w:rPr>
          <w:spacing w:val="-10"/>
        </w:rPr>
        <w:t xml:space="preserve"> </w:t>
      </w:r>
      <w:r>
        <w:t>hearings,</w:t>
      </w:r>
      <w:r>
        <w:rPr>
          <w:spacing w:val="-11"/>
        </w:rPr>
        <w:t xml:space="preserve"> </w:t>
      </w:r>
      <w:r>
        <w:t>reviewing</w:t>
      </w:r>
      <w:r>
        <w:rPr>
          <w:spacing w:val="-12"/>
        </w:rPr>
        <w:t xml:space="preserve"> </w:t>
      </w:r>
      <w:r>
        <w:t>drafts</w:t>
      </w:r>
      <w:r>
        <w:rPr>
          <w:spacing w:val="-9"/>
        </w:rPr>
        <w:t xml:space="preserve"> </w:t>
      </w:r>
      <w:r>
        <w:t>to</w:t>
      </w:r>
      <w:r>
        <w:rPr>
          <w:spacing w:val="-10"/>
        </w:rPr>
        <w:t xml:space="preserve"> </w:t>
      </w:r>
      <w:r>
        <w:t>be</w:t>
      </w:r>
      <w:r>
        <w:rPr>
          <w:spacing w:val="-9"/>
        </w:rPr>
        <w:t xml:space="preserve"> </w:t>
      </w:r>
      <w:r>
        <w:t>included</w:t>
      </w:r>
      <w:r>
        <w:rPr>
          <w:spacing w:val="-12"/>
        </w:rPr>
        <w:t xml:space="preserve"> </w:t>
      </w:r>
      <w:r>
        <w:t>in</w:t>
      </w:r>
      <w:r>
        <w:rPr>
          <w:spacing w:val="-10"/>
        </w:rPr>
        <w:t xml:space="preserve"> </w:t>
      </w:r>
      <w:r>
        <w:t>Cabinet</w:t>
      </w:r>
      <w:r>
        <w:rPr>
          <w:spacing w:val="-11"/>
        </w:rPr>
        <w:t xml:space="preserve"> </w:t>
      </w:r>
      <w:r>
        <w:t>minutes, and responding to questions from members of parliament. The opportunity for Human Rights Commissioners to intervene in court proceedings involving interpretation of human rights instruments</w:t>
      </w:r>
    </w:p>
    <w:p w14:paraId="7CB25C53" w14:textId="77777777" w:rsidR="008A4099" w:rsidRDefault="008A4099">
      <w:pPr>
        <w:pStyle w:val="BodyText"/>
        <w:rPr>
          <w:sz w:val="20"/>
        </w:rPr>
      </w:pPr>
    </w:p>
    <w:p w14:paraId="7CB25C54" w14:textId="77777777" w:rsidR="008A4099" w:rsidRDefault="006A6EE2">
      <w:pPr>
        <w:pStyle w:val="BodyText"/>
        <w:spacing w:before="187"/>
        <w:rPr>
          <w:sz w:val="20"/>
        </w:rPr>
      </w:pPr>
      <w:r>
        <w:rPr>
          <w:noProof/>
        </w:rPr>
        <mc:AlternateContent>
          <mc:Choice Requires="wps">
            <w:drawing>
              <wp:anchor distT="0" distB="0" distL="0" distR="0" simplePos="0" relativeHeight="487588864" behindDoc="1" locked="0" layoutInCell="1" allowOverlap="1" wp14:anchorId="7CB265DD" wp14:editId="7CB265DE">
                <wp:simplePos x="0" y="0"/>
                <wp:positionH relativeFrom="page">
                  <wp:posOffset>914704</wp:posOffset>
                </wp:positionH>
                <wp:positionV relativeFrom="paragraph">
                  <wp:posOffset>280293</wp:posOffset>
                </wp:positionV>
                <wp:extent cx="182943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9024F9" id="Graphic 26" o:spid="_x0000_s1026" style="position:absolute;margin-left:1in;margin-top:22.0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" path="m1829054,l,,,7620r1829054,l1829054,xe" fillcolor="black" stroked="f">
                <v:path arrowok="t"/>
                <w10:wrap type="topAndBottom" anchorx="page"/>
              </v:shape>
            </w:pict>
          </mc:Fallback>
        </mc:AlternateContent>
      </w:r>
    </w:p>
    <w:p w14:paraId="7CB25C55" w14:textId="77777777" w:rsidR="008A4099" w:rsidRDefault="006A6EE2">
      <w:pPr>
        <w:spacing w:before="112"/>
        <w:ind w:left="160"/>
        <w:rPr>
          <w:sz w:val="18"/>
        </w:rPr>
      </w:pPr>
      <w:r>
        <w:rPr>
          <w:sz w:val="18"/>
          <w:vertAlign w:val="superscript"/>
        </w:rPr>
        <w:t>4</w:t>
      </w:r>
      <w:r>
        <w:rPr>
          <w:spacing w:val="-1"/>
          <w:sz w:val="18"/>
        </w:rPr>
        <w:t xml:space="preserve"> </w:t>
      </w:r>
      <w:r>
        <w:rPr>
          <w:i/>
          <w:sz w:val="18"/>
        </w:rPr>
        <w:t>Human</w:t>
      </w:r>
      <w:r>
        <w:rPr>
          <w:i/>
          <w:spacing w:val="-1"/>
          <w:sz w:val="18"/>
        </w:rPr>
        <w:t xml:space="preserve"> </w:t>
      </w:r>
      <w:r>
        <w:rPr>
          <w:i/>
          <w:sz w:val="18"/>
        </w:rPr>
        <w:t>Rights Act</w:t>
      </w:r>
      <w:r>
        <w:rPr>
          <w:i/>
          <w:spacing w:val="-2"/>
          <w:sz w:val="18"/>
        </w:rPr>
        <w:t xml:space="preserve"> </w:t>
      </w:r>
      <w:r>
        <w:rPr>
          <w:i/>
          <w:sz w:val="18"/>
        </w:rPr>
        <w:t>2019</w:t>
      </w:r>
      <w:r>
        <w:rPr>
          <w:i/>
          <w:spacing w:val="3"/>
          <w:sz w:val="18"/>
        </w:rPr>
        <w:t xml:space="preserve"> </w:t>
      </w:r>
      <w:r>
        <w:rPr>
          <w:spacing w:val="-2"/>
          <w:sz w:val="18"/>
        </w:rPr>
        <w:t>(Qld).</w:t>
      </w:r>
    </w:p>
    <w:p w14:paraId="7CB25C56" w14:textId="77777777" w:rsidR="008A4099" w:rsidRDefault="006A6EE2">
      <w:pPr>
        <w:spacing w:before="24"/>
        <w:ind w:left="160"/>
        <w:rPr>
          <w:sz w:val="18"/>
        </w:rPr>
      </w:pPr>
      <w:r>
        <w:rPr>
          <w:sz w:val="18"/>
          <w:vertAlign w:val="superscript"/>
        </w:rPr>
        <w:t>5</w:t>
      </w:r>
      <w:r>
        <w:rPr>
          <w:spacing w:val="-1"/>
          <w:sz w:val="18"/>
        </w:rPr>
        <w:t xml:space="preserve"> </w:t>
      </w:r>
      <w:r>
        <w:rPr>
          <w:i/>
          <w:sz w:val="18"/>
        </w:rPr>
        <w:t>Castles</w:t>
      </w:r>
      <w:r>
        <w:rPr>
          <w:i/>
          <w:spacing w:val="-1"/>
          <w:sz w:val="18"/>
        </w:rPr>
        <w:t xml:space="preserve"> </w:t>
      </w:r>
      <w:r>
        <w:rPr>
          <w:i/>
          <w:sz w:val="18"/>
        </w:rPr>
        <w:t>v</w:t>
      </w:r>
      <w:r>
        <w:rPr>
          <w:i/>
          <w:spacing w:val="-1"/>
          <w:sz w:val="18"/>
        </w:rPr>
        <w:t xml:space="preserve"> </w:t>
      </w:r>
      <w:r>
        <w:rPr>
          <w:i/>
          <w:sz w:val="18"/>
        </w:rPr>
        <w:t>Secretary,</w:t>
      </w:r>
      <w:r>
        <w:rPr>
          <w:i/>
          <w:spacing w:val="-1"/>
          <w:sz w:val="18"/>
        </w:rPr>
        <w:t xml:space="preserve"> </w:t>
      </w:r>
      <w:r>
        <w:rPr>
          <w:i/>
          <w:sz w:val="18"/>
        </w:rPr>
        <w:t>Department</w:t>
      </w:r>
      <w:r>
        <w:rPr>
          <w:i/>
          <w:spacing w:val="-4"/>
          <w:sz w:val="18"/>
        </w:rPr>
        <w:t xml:space="preserve"> </w:t>
      </w:r>
      <w:r>
        <w:rPr>
          <w:i/>
          <w:sz w:val="18"/>
        </w:rPr>
        <w:t>of Justice</w:t>
      </w:r>
      <w:r>
        <w:rPr>
          <w:i/>
          <w:spacing w:val="2"/>
          <w:sz w:val="18"/>
        </w:rPr>
        <w:t xml:space="preserve"> </w:t>
      </w:r>
      <w:r>
        <w:rPr>
          <w:sz w:val="18"/>
        </w:rPr>
        <w:t>[2010]</w:t>
      </w:r>
      <w:r>
        <w:rPr>
          <w:spacing w:val="-1"/>
          <w:sz w:val="18"/>
        </w:rPr>
        <w:t xml:space="preserve"> </w:t>
      </w:r>
      <w:r>
        <w:rPr>
          <w:sz w:val="18"/>
        </w:rPr>
        <w:t>VSC</w:t>
      </w:r>
      <w:r>
        <w:rPr>
          <w:spacing w:val="-2"/>
          <w:sz w:val="18"/>
        </w:rPr>
        <w:t xml:space="preserve"> </w:t>
      </w:r>
      <w:r>
        <w:rPr>
          <w:sz w:val="18"/>
        </w:rPr>
        <w:t>310</w:t>
      </w:r>
      <w:r>
        <w:rPr>
          <w:spacing w:val="2"/>
          <w:sz w:val="18"/>
        </w:rPr>
        <w:t xml:space="preserve"> </w:t>
      </w:r>
      <w:r>
        <w:rPr>
          <w:spacing w:val="-2"/>
          <w:sz w:val="18"/>
        </w:rPr>
        <w:t>[185]–[186].</w:t>
      </w:r>
    </w:p>
    <w:p w14:paraId="7CB25C57" w14:textId="77777777" w:rsidR="008A4099" w:rsidRDefault="006A6EE2">
      <w:pPr>
        <w:spacing w:before="23"/>
        <w:ind w:left="160"/>
        <w:rPr>
          <w:sz w:val="18"/>
        </w:rPr>
      </w:pPr>
      <w:r>
        <w:rPr>
          <w:sz w:val="18"/>
          <w:vertAlign w:val="superscript"/>
        </w:rPr>
        <w:t>6</w:t>
      </w:r>
      <w:r>
        <w:rPr>
          <w:spacing w:val="-1"/>
          <w:sz w:val="18"/>
        </w:rPr>
        <w:t xml:space="preserve"> </w:t>
      </w:r>
      <w:r>
        <w:rPr>
          <w:sz w:val="18"/>
        </w:rPr>
        <w:t>For</w:t>
      </w:r>
      <w:r>
        <w:rPr>
          <w:spacing w:val="-2"/>
          <w:sz w:val="18"/>
        </w:rPr>
        <w:t xml:space="preserve"> </w:t>
      </w:r>
      <w:r>
        <w:rPr>
          <w:sz w:val="18"/>
        </w:rPr>
        <w:t>details</w:t>
      </w:r>
      <w:r>
        <w:rPr>
          <w:spacing w:val="-1"/>
          <w:sz w:val="18"/>
        </w:rPr>
        <w:t xml:space="preserve"> </w:t>
      </w:r>
      <w:r>
        <w:rPr>
          <w:sz w:val="18"/>
        </w:rPr>
        <w:t>see</w:t>
      </w:r>
      <w:r>
        <w:rPr>
          <w:spacing w:val="-1"/>
          <w:sz w:val="18"/>
        </w:rPr>
        <w:t xml:space="preserve"> </w:t>
      </w:r>
      <w:r>
        <w:rPr>
          <w:sz w:val="18"/>
        </w:rPr>
        <w:t>Part</w:t>
      </w:r>
      <w:r>
        <w:rPr>
          <w:spacing w:val="-1"/>
          <w:sz w:val="18"/>
        </w:rPr>
        <w:t xml:space="preserve"> </w:t>
      </w:r>
      <w:r>
        <w:rPr>
          <w:sz w:val="18"/>
        </w:rPr>
        <w:t>2</w:t>
      </w:r>
      <w:r>
        <w:rPr>
          <w:spacing w:val="1"/>
          <w:sz w:val="18"/>
        </w:rPr>
        <w:t xml:space="preserve"> </w:t>
      </w:r>
      <w:r>
        <w:rPr>
          <w:sz w:val="18"/>
        </w:rPr>
        <w:t>and [3.3] of</w:t>
      </w:r>
      <w:r>
        <w:rPr>
          <w:spacing w:val="-2"/>
          <w:sz w:val="18"/>
        </w:rPr>
        <w:t xml:space="preserve"> </w:t>
      </w:r>
      <w:r>
        <w:rPr>
          <w:sz w:val="18"/>
        </w:rPr>
        <w:t>this</w:t>
      </w:r>
      <w:r>
        <w:rPr>
          <w:spacing w:val="-1"/>
          <w:sz w:val="18"/>
        </w:rPr>
        <w:t xml:space="preserve"> </w:t>
      </w:r>
      <w:r>
        <w:rPr>
          <w:sz w:val="18"/>
        </w:rPr>
        <w:t>Research</w:t>
      </w:r>
      <w:r>
        <w:rPr>
          <w:spacing w:val="1"/>
          <w:sz w:val="18"/>
        </w:rPr>
        <w:t xml:space="preserve"> </w:t>
      </w:r>
      <w:r>
        <w:rPr>
          <w:spacing w:val="-2"/>
          <w:sz w:val="18"/>
        </w:rPr>
        <w:t>Paper.</w:t>
      </w:r>
    </w:p>
    <w:p w14:paraId="7CB25C58" w14:textId="77777777" w:rsidR="008A4099" w:rsidRDefault="008A4099">
      <w:pPr>
        <w:rPr>
          <w:sz w:val="18"/>
        </w:rPr>
        <w:sectPr w:rsidR="008A4099" w:rsidSect="00D43B2D">
          <w:pgSz w:w="11910" w:h="16840"/>
          <w:pgMar w:top="980" w:right="760" w:bottom="940" w:left="1280" w:header="718" w:footer="753" w:gutter="0"/>
          <w:cols w:space="720"/>
        </w:sectPr>
      </w:pPr>
    </w:p>
    <w:p w14:paraId="7CB25C59" w14:textId="77777777" w:rsidR="008A4099" w:rsidRDefault="008A4099">
      <w:pPr>
        <w:pStyle w:val="BodyText"/>
        <w:spacing w:before="194"/>
      </w:pPr>
    </w:p>
    <w:p w14:paraId="7CB25C5A" w14:textId="77777777" w:rsidR="008A4099" w:rsidRDefault="006A6EE2">
      <w:pPr>
        <w:pStyle w:val="BodyText"/>
        <w:ind w:left="160" w:right="673"/>
        <w:jc w:val="both"/>
      </w:pPr>
      <w:r>
        <w:t>also</w:t>
      </w:r>
      <w:r>
        <w:rPr>
          <w:spacing w:val="-9"/>
        </w:rPr>
        <w:t xml:space="preserve"> </w:t>
      </w:r>
      <w:r>
        <w:t>assists</w:t>
      </w:r>
      <w:r>
        <w:rPr>
          <w:spacing w:val="-9"/>
        </w:rPr>
        <w:t xml:space="preserve"> </w:t>
      </w:r>
      <w:r>
        <w:t>in</w:t>
      </w:r>
      <w:r>
        <w:rPr>
          <w:spacing w:val="-10"/>
        </w:rPr>
        <w:t xml:space="preserve"> </w:t>
      </w:r>
      <w:r>
        <w:t>the</w:t>
      </w:r>
      <w:r>
        <w:rPr>
          <w:spacing w:val="-9"/>
        </w:rPr>
        <w:t xml:space="preserve"> </w:t>
      </w:r>
      <w:r>
        <w:t>development</w:t>
      </w:r>
      <w:r>
        <w:rPr>
          <w:spacing w:val="-8"/>
        </w:rPr>
        <w:t xml:space="preserve"> </w:t>
      </w:r>
      <w:r>
        <w:t>of</w:t>
      </w:r>
      <w:r>
        <w:rPr>
          <w:spacing w:val="-9"/>
        </w:rPr>
        <w:t xml:space="preserve"> </w:t>
      </w:r>
      <w:r>
        <w:t>jurisprudence</w:t>
      </w:r>
      <w:r>
        <w:rPr>
          <w:spacing w:val="-9"/>
        </w:rPr>
        <w:t xml:space="preserve"> </w:t>
      </w:r>
      <w:r>
        <w:t>and</w:t>
      </w:r>
      <w:r>
        <w:rPr>
          <w:spacing w:val="-9"/>
        </w:rPr>
        <w:t xml:space="preserve"> </w:t>
      </w:r>
      <w:r>
        <w:t>understanding</w:t>
      </w:r>
      <w:r>
        <w:rPr>
          <w:spacing w:val="-10"/>
        </w:rPr>
        <w:t xml:space="preserve"> </w:t>
      </w:r>
      <w:r>
        <w:t>within</w:t>
      </w:r>
      <w:r>
        <w:rPr>
          <w:spacing w:val="-7"/>
        </w:rPr>
        <w:t xml:space="preserve"> </w:t>
      </w:r>
      <w:r>
        <w:t>decision-making</w:t>
      </w:r>
      <w:r>
        <w:rPr>
          <w:spacing w:val="-10"/>
        </w:rPr>
        <w:t xml:space="preserve"> </w:t>
      </w:r>
      <w:r>
        <w:t>agencies.</w:t>
      </w:r>
      <w:r>
        <w:rPr>
          <w:spacing w:val="-7"/>
        </w:rPr>
        <w:t xml:space="preserve"> </w:t>
      </w:r>
      <w:r>
        <w:t>A Human Rights Commission can also provide an accessible dispute resolution mechanism.</w:t>
      </w:r>
    </w:p>
    <w:p w14:paraId="7CB25C5B" w14:textId="77777777" w:rsidR="008A4099" w:rsidRDefault="008A4099">
      <w:pPr>
        <w:pStyle w:val="BodyText"/>
        <w:spacing w:before="108"/>
      </w:pPr>
    </w:p>
    <w:p w14:paraId="7CB25C5C" w14:textId="77777777" w:rsidR="008A4099" w:rsidRDefault="006A6EE2">
      <w:pPr>
        <w:pStyle w:val="Heading5"/>
        <w:jc w:val="both"/>
      </w:pPr>
      <w:r>
        <w:t>Building</w:t>
      </w:r>
      <w:r>
        <w:rPr>
          <w:spacing w:val="-2"/>
        </w:rPr>
        <w:t xml:space="preserve"> </w:t>
      </w:r>
      <w:r>
        <w:t>on</w:t>
      </w:r>
      <w:r>
        <w:rPr>
          <w:spacing w:val="-2"/>
        </w:rPr>
        <w:t xml:space="preserve"> </w:t>
      </w:r>
      <w:r>
        <w:t>the</w:t>
      </w:r>
      <w:r>
        <w:rPr>
          <w:spacing w:val="-2"/>
        </w:rPr>
        <w:t xml:space="preserve"> </w:t>
      </w:r>
      <w:r>
        <w:t>2007</w:t>
      </w:r>
      <w:r>
        <w:rPr>
          <w:spacing w:val="-2"/>
        </w:rPr>
        <w:t xml:space="preserve"> model</w:t>
      </w:r>
    </w:p>
    <w:p w14:paraId="7CB25C5D" w14:textId="77777777" w:rsidR="008A4099" w:rsidRDefault="006A6EE2">
      <w:pPr>
        <w:pStyle w:val="BodyText"/>
        <w:spacing w:before="220" w:line="242" w:lineRule="auto"/>
        <w:ind w:left="160" w:right="678"/>
        <w:jc w:val="both"/>
      </w:pPr>
      <w:r>
        <w:t>Based</w:t>
      </w:r>
      <w:r>
        <w:rPr>
          <w:spacing w:val="-14"/>
        </w:rPr>
        <w:t xml:space="preserve"> </w:t>
      </w:r>
      <w:r>
        <w:t>on</w:t>
      </w:r>
      <w:r>
        <w:rPr>
          <w:spacing w:val="-14"/>
        </w:rPr>
        <w:t xml:space="preserve"> </w:t>
      </w:r>
      <w:r>
        <w:t>case</w:t>
      </w:r>
      <w:r>
        <w:rPr>
          <w:spacing w:val="-13"/>
        </w:rPr>
        <w:t xml:space="preserve"> </w:t>
      </w:r>
      <w:r>
        <w:t>law</w:t>
      </w:r>
      <w:r>
        <w:rPr>
          <w:spacing w:val="-14"/>
        </w:rPr>
        <w:t xml:space="preserve"> </w:t>
      </w:r>
      <w:r>
        <w:t>and</w:t>
      </w:r>
      <w:r>
        <w:rPr>
          <w:spacing w:val="-13"/>
        </w:rPr>
        <w:t xml:space="preserve"> </w:t>
      </w:r>
      <w:r>
        <w:t>statutory</w:t>
      </w:r>
      <w:r>
        <w:rPr>
          <w:spacing w:val="-13"/>
        </w:rPr>
        <w:t xml:space="preserve"> </w:t>
      </w:r>
      <w:r>
        <w:t>reviews</w:t>
      </w:r>
      <w:r>
        <w:rPr>
          <w:spacing w:val="-13"/>
        </w:rPr>
        <w:t xml:space="preserve"> </w:t>
      </w:r>
      <w:r>
        <w:t>in</w:t>
      </w:r>
      <w:r>
        <w:rPr>
          <w:spacing w:val="-13"/>
        </w:rPr>
        <w:t xml:space="preserve"> </w:t>
      </w:r>
      <w:r>
        <w:t>jurisdictions</w:t>
      </w:r>
      <w:r>
        <w:rPr>
          <w:spacing w:val="-14"/>
        </w:rPr>
        <w:t xml:space="preserve"> </w:t>
      </w:r>
      <w:r>
        <w:t>with</w:t>
      </w:r>
      <w:r>
        <w:rPr>
          <w:spacing w:val="-13"/>
        </w:rPr>
        <w:t xml:space="preserve"> </w:t>
      </w:r>
      <w:r>
        <w:t>human</w:t>
      </w:r>
      <w:r>
        <w:rPr>
          <w:spacing w:val="-13"/>
        </w:rPr>
        <w:t xml:space="preserve"> </w:t>
      </w:r>
      <w:r>
        <w:t>rights</w:t>
      </w:r>
      <w:r>
        <w:rPr>
          <w:spacing w:val="-13"/>
        </w:rPr>
        <w:t xml:space="preserve"> </w:t>
      </w:r>
      <w:r>
        <w:t>enactments,</w:t>
      </w:r>
      <w:r>
        <w:rPr>
          <w:spacing w:val="-13"/>
        </w:rPr>
        <w:t xml:space="preserve"> </w:t>
      </w:r>
      <w:r>
        <w:t>the</w:t>
      </w:r>
      <w:r>
        <w:rPr>
          <w:spacing w:val="-13"/>
        </w:rPr>
        <w:t xml:space="preserve"> </w:t>
      </w:r>
      <w:r>
        <w:t>TLRI’s</w:t>
      </w:r>
      <w:r>
        <w:rPr>
          <w:spacing w:val="-13"/>
        </w:rPr>
        <w:t xml:space="preserve"> </w:t>
      </w:r>
      <w:r>
        <w:t>view is that changes are required to update the model recommended in 2007 with a view to improving its operation and providing an effective, best practice human rights framework for Tasmania.</w:t>
      </w:r>
    </w:p>
    <w:p w14:paraId="7CB25C5E" w14:textId="77777777" w:rsidR="008A4099" w:rsidRDefault="008A4099">
      <w:pPr>
        <w:pStyle w:val="BodyText"/>
        <w:spacing w:before="221"/>
      </w:pPr>
    </w:p>
    <w:p w14:paraId="7CB25C5F" w14:textId="77777777" w:rsidR="008A4099" w:rsidRDefault="006A6EE2">
      <w:pPr>
        <w:pStyle w:val="Heading6"/>
      </w:pPr>
      <w:r>
        <w:t>Who</w:t>
      </w:r>
      <w:r>
        <w:rPr>
          <w:spacing w:val="-2"/>
        </w:rPr>
        <w:t xml:space="preserve"> </w:t>
      </w:r>
      <w:r>
        <w:t>should</w:t>
      </w:r>
      <w:r>
        <w:rPr>
          <w:spacing w:val="-2"/>
        </w:rPr>
        <w:t xml:space="preserve"> </w:t>
      </w:r>
      <w:r>
        <w:t>be</w:t>
      </w:r>
      <w:r>
        <w:rPr>
          <w:spacing w:val="-2"/>
        </w:rPr>
        <w:t xml:space="preserve"> covered?</w:t>
      </w:r>
    </w:p>
    <w:p w14:paraId="7CB25C60" w14:textId="77777777" w:rsidR="008A4099" w:rsidRDefault="006A6EE2">
      <w:pPr>
        <w:pStyle w:val="BodyText"/>
        <w:spacing w:before="218"/>
        <w:ind w:left="160" w:right="674"/>
        <w:jc w:val="both"/>
      </w:pPr>
      <w:r>
        <w:t>In</w:t>
      </w:r>
      <w:r>
        <w:rPr>
          <w:spacing w:val="-2"/>
        </w:rPr>
        <w:t xml:space="preserve"> </w:t>
      </w:r>
      <w:r>
        <w:t>its</w:t>
      </w:r>
      <w:r>
        <w:rPr>
          <w:spacing w:val="-2"/>
        </w:rPr>
        <w:t xml:space="preserve"> </w:t>
      </w:r>
      <w:r>
        <w:t>2007</w:t>
      </w:r>
      <w:r>
        <w:rPr>
          <w:spacing w:val="-2"/>
        </w:rPr>
        <w:t xml:space="preserve"> </w:t>
      </w:r>
      <w:r>
        <w:t>Final</w:t>
      </w:r>
      <w:r>
        <w:rPr>
          <w:spacing w:val="-1"/>
        </w:rPr>
        <w:t xml:space="preserve"> </w:t>
      </w:r>
      <w:r>
        <w:t>Report,</w:t>
      </w:r>
      <w:r>
        <w:rPr>
          <w:spacing w:val="-5"/>
        </w:rPr>
        <w:t xml:space="preserve"> </w:t>
      </w:r>
      <w:r>
        <w:t>the</w:t>
      </w:r>
      <w:r>
        <w:rPr>
          <w:spacing w:val="-2"/>
        </w:rPr>
        <w:t xml:space="preserve"> </w:t>
      </w:r>
      <w:r>
        <w:t>TLRI</w:t>
      </w:r>
      <w:r>
        <w:rPr>
          <w:spacing w:val="-4"/>
        </w:rPr>
        <w:t xml:space="preserve"> </w:t>
      </w:r>
      <w:r>
        <w:t>recommended</w:t>
      </w:r>
      <w:r>
        <w:rPr>
          <w:spacing w:val="-4"/>
        </w:rPr>
        <w:t xml:space="preserve"> </w:t>
      </w:r>
      <w:r>
        <w:t>that</w:t>
      </w:r>
      <w:r>
        <w:rPr>
          <w:spacing w:val="-1"/>
        </w:rPr>
        <w:t xml:space="preserve"> </w:t>
      </w:r>
      <w:r>
        <w:t>the</w:t>
      </w:r>
      <w:r>
        <w:rPr>
          <w:spacing w:val="-2"/>
        </w:rPr>
        <w:t xml:space="preserve"> </w:t>
      </w:r>
      <w:r>
        <w:t>Tasmanian</w:t>
      </w:r>
      <w:r>
        <w:rPr>
          <w:spacing w:val="-2"/>
        </w:rPr>
        <w:t xml:space="preserve"> </w:t>
      </w:r>
      <w:r>
        <w:t>Charter</w:t>
      </w:r>
      <w:r>
        <w:rPr>
          <w:spacing w:val="-1"/>
        </w:rPr>
        <w:t xml:space="preserve"> </w:t>
      </w:r>
      <w:r>
        <w:t>of</w:t>
      </w:r>
      <w:r>
        <w:rPr>
          <w:spacing w:val="-2"/>
        </w:rPr>
        <w:t xml:space="preserve"> </w:t>
      </w:r>
      <w:r>
        <w:t>Rights</w:t>
      </w:r>
      <w:r>
        <w:rPr>
          <w:spacing w:val="-4"/>
        </w:rPr>
        <w:t xml:space="preserve"> </w:t>
      </w:r>
      <w:r>
        <w:t>initially</w:t>
      </w:r>
      <w:r>
        <w:rPr>
          <w:spacing w:val="-2"/>
        </w:rPr>
        <w:t xml:space="preserve"> </w:t>
      </w:r>
      <w:r>
        <w:t>should bind only ‘public authorities’. The TLRI</w:t>
      </w:r>
      <w:r>
        <w:rPr>
          <w:spacing w:val="-1"/>
        </w:rPr>
        <w:t xml:space="preserve"> </w:t>
      </w:r>
      <w:r>
        <w:t>maintains its</w:t>
      </w:r>
      <w:r>
        <w:rPr>
          <w:spacing w:val="-1"/>
        </w:rPr>
        <w:t xml:space="preserve"> </w:t>
      </w:r>
      <w:r>
        <w:t>earlier recommendation of</w:t>
      </w:r>
      <w:r>
        <w:rPr>
          <w:spacing w:val="-1"/>
        </w:rPr>
        <w:t xml:space="preserve"> </w:t>
      </w:r>
      <w:r>
        <w:t>a broad definition of public authority, including organisations performing public functions and organisations that opt-in to public authority obligations. Consistent with the ACT and Qld approaches, the TLRI maintains that a Tasmanian</w:t>
      </w:r>
      <w:r>
        <w:rPr>
          <w:spacing w:val="-2"/>
        </w:rPr>
        <w:t xml:space="preserve"> </w:t>
      </w:r>
      <w:r>
        <w:t>Charter</w:t>
      </w:r>
      <w:r>
        <w:rPr>
          <w:spacing w:val="-2"/>
        </w:rPr>
        <w:t xml:space="preserve"> </w:t>
      </w:r>
      <w:r>
        <w:t>of</w:t>
      </w:r>
      <w:r>
        <w:rPr>
          <w:spacing w:val="-2"/>
        </w:rPr>
        <w:t xml:space="preserve"> </w:t>
      </w:r>
      <w:r>
        <w:t>Rights</w:t>
      </w:r>
      <w:r>
        <w:rPr>
          <w:spacing w:val="-2"/>
        </w:rPr>
        <w:t xml:space="preserve"> </w:t>
      </w:r>
      <w:r>
        <w:t>should</w:t>
      </w:r>
      <w:r>
        <w:rPr>
          <w:spacing w:val="-2"/>
        </w:rPr>
        <w:t xml:space="preserve"> </w:t>
      </w:r>
      <w:r>
        <w:t>explicitly</w:t>
      </w:r>
      <w:r>
        <w:rPr>
          <w:spacing w:val="-5"/>
        </w:rPr>
        <w:t xml:space="preserve"> </w:t>
      </w:r>
      <w:r>
        <w:t>list</w:t>
      </w:r>
      <w:r>
        <w:rPr>
          <w:spacing w:val="-1"/>
        </w:rPr>
        <w:t xml:space="preserve"> </w:t>
      </w:r>
      <w:r>
        <w:t>the</w:t>
      </w:r>
      <w:r>
        <w:rPr>
          <w:spacing w:val="-2"/>
        </w:rPr>
        <w:t xml:space="preserve"> </w:t>
      </w:r>
      <w:r>
        <w:t>sorts</w:t>
      </w:r>
      <w:r>
        <w:rPr>
          <w:spacing w:val="-2"/>
        </w:rPr>
        <w:t xml:space="preserve"> </w:t>
      </w:r>
      <w:r>
        <w:t>of</w:t>
      </w:r>
      <w:r>
        <w:rPr>
          <w:spacing w:val="-1"/>
        </w:rPr>
        <w:t xml:space="preserve"> </w:t>
      </w:r>
      <w:r>
        <w:t>functions</w:t>
      </w:r>
      <w:r>
        <w:rPr>
          <w:spacing w:val="-2"/>
        </w:rPr>
        <w:t xml:space="preserve"> </w:t>
      </w:r>
      <w:r>
        <w:t>that</w:t>
      </w:r>
      <w:r>
        <w:rPr>
          <w:spacing w:val="-1"/>
        </w:rPr>
        <w:t xml:space="preserve"> </w:t>
      </w:r>
      <w:r>
        <w:t>would</w:t>
      </w:r>
      <w:r>
        <w:rPr>
          <w:spacing w:val="-2"/>
        </w:rPr>
        <w:t xml:space="preserve"> </w:t>
      </w:r>
      <w:r>
        <w:t>be</w:t>
      </w:r>
      <w:r>
        <w:rPr>
          <w:spacing w:val="-2"/>
        </w:rPr>
        <w:t xml:space="preserve"> </w:t>
      </w:r>
      <w:r>
        <w:t>characterised</w:t>
      </w:r>
      <w:r>
        <w:rPr>
          <w:spacing w:val="-2"/>
        </w:rPr>
        <w:t xml:space="preserve"> </w:t>
      </w:r>
      <w:r>
        <w:t>as public functions, including delivery of emergency, utility, education, health, disability and transport services, public housing, and the operation of correctional and detention facilities. In the 2007 Final Report, it was recommended that non-government schools and health services should not initially be included in the definition of ‘public authority’. Instead, it was recommended that, in the review of the Charter, consideration should be given to extending the definition of ‘public authority’ to include private businesses and enterprises that receive public funding and carry out functions which have a public benefit, including non-government schools and private health services.</w:t>
      </w:r>
    </w:p>
    <w:p w14:paraId="7CB25C61" w14:textId="77777777" w:rsidR="008A4099" w:rsidRDefault="006A6EE2">
      <w:pPr>
        <w:pStyle w:val="BodyText"/>
        <w:spacing w:before="221"/>
        <w:ind w:left="160" w:right="671"/>
        <w:jc w:val="both"/>
      </w:pPr>
      <w:r>
        <w:t>As discussed in Part 3, in the Review Period, the extent to which non-government schools and private health services should be dealt with under a human rights enactment has particularly arisen in the context of religious freedom. Tensions between the right to religious freedom and the right to be free from discrimination under human rights principles, and the exemption of religious bodies from anti- discrimination</w:t>
      </w:r>
      <w:r>
        <w:rPr>
          <w:spacing w:val="-14"/>
        </w:rPr>
        <w:t xml:space="preserve"> </w:t>
      </w:r>
      <w:r>
        <w:t>laws,</w:t>
      </w:r>
      <w:r>
        <w:rPr>
          <w:spacing w:val="-12"/>
        </w:rPr>
        <w:t xml:space="preserve"> </w:t>
      </w:r>
      <w:r>
        <w:t>have</w:t>
      </w:r>
      <w:r>
        <w:rPr>
          <w:spacing w:val="-13"/>
        </w:rPr>
        <w:t xml:space="preserve"> </w:t>
      </w:r>
      <w:r>
        <w:t>been</w:t>
      </w:r>
      <w:r>
        <w:rPr>
          <w:spacing w:val="-14"/>
        </w:rPr>
        <w:t xml:space="preserve"> </w:t>
      </w:r>
      <w:r>
        <w:t>the</w:t>
      </w:r>
      <w:r>
        <w:rPr>
          <w:spacing w:val="-14"/>
        </w:rPr>
        <w:t xml:space="preserve"> </w:t>
      </w:r>
      <w:r>
        <w:t>subject</w:t>
      </w:r>
      <w:r>
        <w:rPr>
          <w:spacing w:val="-13"/>
        </w:rPr>
        <w:t xml:space="preserve"> </w:t>
      </w:r>
      <w:r>
        <w:t>of</w:t>
      </w:r>
      <w:r>
        <w:rPr>
          <w:spacing w:val="-13"/>
        </w:rPr>
        <w:t xml:space="preserve"> </w:t>
      </w:r>
      <w:r>
        <w:t>contentious</w:t>
      </w:r>
      <w:r>
        <w:rPr>
          <w:spacing w:val="-11"/>
        </w:rPr>
        <w:t xml:space="preserve"> </w:t>
      </w:r>
      <w:r>
        <w:t>public</w:t>
      </w:r>
      <w:r>
        <w:rPr>
          <w:spacing w:val="-11"/>
        </w:rPr>
        <w:t xml:space="preserve"> </w:t>
      </w:r>
      <w:r>
        <w:t>debate</w:t>
      </w:r>
      <w:r>
        <w:rPr>
          <w:spacing w:val="-14"/>
        </w:rPr>
        <w:t xml:space="preserve"> </w:t>
      </w:r>
      <w:r>
        <w:t>at</w:t>
      </w:r>
      <w:r>
        <w:rPr>
          <w:spacing w:val="-13"/>
        </w:rPr>
        <w:t xml:space="preserve"> </w:t>
      </w:r>
      <w:r>
        <w:t>both</w:t>
      </w:r>
      <w:r>
        <w:rPr>
          <w:spacing w:val="-12"/>
        </w:rPr>
        <w:t xml:space="preserve"> </w:t>
      </w:r>
      <w:r>
        <w:t>State</w:t>
      </w:r>
      <w:r>
        <w:rPr>
          <w:spacing w:val="-11"/>
        </w:rPr>
        <w:t xml:space="preserve"> </w:t>
      </w:r>
      <w:r>
        <w:t>and</w:t>
      </w:r>
      <w:r>
        <w:rPr>
          <w:spacing w:val="-14"/>
        </w:rPr>
        <w:t xml:space="preserve"> </w:t>
      </w:r>
      <w:r>
        <w:t>national</w:t>
      </w:r>
      <w:r>
        <w:rPr>
          <w:spacing w:val="-10"/>
        </w:rPr>
        <w:t xml:space="preserve"> </w:t>
      </w:r>
      <w:r>
        <w:t>levels. Given that the nature of this project as a research paper (rather than a full reference) has resulted in more</w:t>
      </w:r>
      <w:r>
        <w:rPr>
          <w:spacing w:val="-9"/>
        </w:rPr>
        <w:t xml:space="preserve"> </w:t>
      </w:r>
      <w:r>
        <w:t>limited</w:t>
      </w:r>
      <w:r>
        <w:rPr>
          <w:spacing w:val="-9"/>
        </w:rPr>
        <w:t xml:space="preserve"> </w:t>
      </w:r>
      <w:r>
        <w:t>consultations</w:t>
      </w:r>
      <w:r>
        <w:rPr>
          <w:spacing w:val="-10"/>
        </w:rPr>
        <w:t xml:space="preserve"> </w:t>
      </w:r>
      <w:r>
        <w:t>undertaken,</w:t>
      </w:r>
      <w:r>
        <w:rPr>
          <w:spacing w:val="-9"/>
        </w:rPr>
        <w:t xml:space="preserve"> </w:t>
      </w:r>
      <w:r>
        <w:t>this</w:t>
      </w:r>
      <w:r>
        <w:rPr>
          <w:spacing w:val="-11"/>
        </w:rPr>
        <w:t xml:space="preserve"> </w:t>
      </w:r>
      <w:r>
        <w:t>broader</w:t>
      </w:r>
      <w:r>
        <w:rPr>
          <w:spacing w:val="-8"/>
        </w:rPr>
        <w:t xml:space="preserve"> </w:t>
      </w:r>
      <w:r>
        <w:t>enquiry</w:t>
      </w:r>
      <w:r>
        <w:rPr>
          <w:spacing w:val="-11"/>
        </w:rPr>
        <w:t xml:space="preserve"> </w:t>
      </w:r>
      <w:r>
        <w:t>is</w:t>
      </w:r>
      <w:r>
        <w:rPr>
          <w:spacing w:val="-11"/>
        </w:rPr>
        <w:t xml:space="preserve"> </w:t>
      </w:r>
      <w:r>
        <w:t>beyond</w:t>
      </w:r>
      <w:r>
        <w:rPr>
          <w:spacing w:val="-10"/>
        </w:rPr>
        <w:t xml:space="preserve"> </w:t>
      </w:r>
      <w:r>
        <w:t>the</w:t>
      </w:r>
      <w:r>
        <w:rPr>
          <w:spacing w:val="-9"/>
        </w:rPr>
        <w:t xml:space="preserve"> </w:t>
      </w:r>
      <w:r>
        <w:t>scope</w:t>
      </w:r>
      <w:r>
        <w:rPr>
          <w:spacing w:val="-9"/>
        </w:rPr>
        <w:t xml:space="preserve"> </w:t>
      </w:r>
      <w:r>
        <w:t>of</w:t>
      </w:r>
      <w:r>
        <w:rPr>
          <w:spacing w:val="-11"/>
        </w:rPr>
        <w:t xml:space="preserve"> </w:t>
      </w:r>
      <w:r>
        <w:t>this</w:t>
      </w:r>
      <w:r>
        <w:rPr>
          <w:spacing w:val="-8"/>
        </w:rPr>
        <w:t xml:space="preserve"> </w:t>
      </w:r>
      <w:r>
        <w:t>Research</w:t>
      </w:r>
      <w:r>
        <w:rPr>
          <w:spacing w:val="-9"/>
        </w:rPr>
        <w:t xml:space="preserve"> </w:t>
      </w:r>
      <w:r>
        <w:t>Paper. The preparation of this Research Paper did not involve, and was not intended to involve, a general community consultation as occurred in the preparation of the 2007 Final Report. The extent to which non-government schools and private health services should be dealt with under a human rights enactment also involves addressing the broader question of the treatment of religious bodies within a human rights enactment and anti-discrimination framework (and the interaction between the two frameworks), rather than being a matter within the scope of the research questions.</w:t>
      </w:r>
    </w:p>
    <w:p w14:paraId="7CB25C62" w14:textId="77777777" w:rsidR="008A4099" w:rsidRDefault="006A6EE2">
      <w:pPr>
        <w:pStyle w:val="BodyText"/>
        <w:spacing w:before="221"/>
        <w:ind w:left="160" w:right="673"/>
        <w:jc w:val="both"/>
      </w:pPr>
      <w:r>
        <w:t>Based on developments in the Review Period, this Research Paper has considered the extent to which a human rights enactment should apply to the development of the common law (as compared to the interpretation of statute). The TLRI’s view remains that the Charter or Act should apply to the interpretation</w:t>
      </w:r>
      <w:r>
        <w:rPr>
          <w:spacing w:val="-10"/>
        </w:rPr>
        <w:t xml:space="preserve"> </w:t>
      </w:r>
      <w:r>
        <w:t>of</w:t>
      </w:r>
      <w:r>
        <w:rPr>
          <w:spacing w:val="-9"/>
        </w:rPr>
        <w:t xml:space="preserve"> </w:t>
      </w:r>
      <w:r>
        <w:t>the</w:t>
      </w:r>
      <w:r>
        <w:rPr>
          <w:spacing w:val="-9"/>
        </w:rPr>
        <w:t xml:space="preserve"> </w:t>
      </w:r>
      <w:r>
        <w:t>common</w:t>
      </w:r>
      <w:r>
        <w:rPr>
          <w:spacing w:val="-7"/>
        </w:rPr>
        <w:t xml:space="preserve"> </w:t>
      </w:r>
      <w:r>
        <w:t>law,</w:t>
      </w:r>
      <w:r>
        <w:rPr>
          <w:spacing w:val="-8"/>
        </w:rPr>
        <w:t xml:space="preserve"> </w:t>
      </w:r>
      <w:r>
        <w:t>as</w:t>
      </w:r>
      <w:r>
        <w:rPr>
          <w:spacing w:val="-6"/>
        </w:rPr>
        <w:t xml:space="preserve"> </w:t>
      </w:r>
      <w:r>
        <w:t>well</w:t>
      </w:r>
      <w:r>
        <w:rPr>
          <w:spacing w:val="-8"/>
        </w:rPr>
        <w:t xml:space="preserve"> </w:t>
      </w:r>
      <w:r>
        <w:t>as</w:t>
      </w:r>
      <w:r>
        <w:rPr>
          <w:spacing w:val="-9"/>
        </w:rPr>
        <w:t xml:space="preserve"> </w:t>
      </w:r>
      <w:r>
        <w:t>to</w:t>
      </w:r>
      <w:r>
        <w:rPr>
          <w:spacing w:val="-10"/>
        </w:rPr>
        <w:t xml:space="preserve"> </w:t>
      </w:r>
      <w:r>
        <w:t>the</w:t>
      </w:r>
      <w:r>
        <w:rPr>
          <w:spacing w:val="-9"/>
        </w:rPr>
        <w:t xml:space="preserve"> </w:t>
      </w:r>
      <w:r>
        <w:t>interpretation</w:t>
      </w:r>
      <w:r>
        <w:rPr>
          <w:spacing w:val="-10"/>
        </w:rPr>
        <w:t xml:space="preserve"> </w:t>
      </w:r>
      <w:r>
        <w:t>of</w:t>
      </w:r>
      <w:r>
        <w:rPr>
          <w:spacing w:val="-9"/>
        </w:rPr>
        <w:t xml:space="preserve"> </w:t>
      </w:r>
      <w:r>
        <w:t>statutory</w:t>
      </w:r>
      <w:r>
        <w:rPr>
          <w:spacing w:val="-10"/>
        </w:rPr>
        <w:t xml:space="preserve"> </w:t>
      </w:r>
      <w:r>
        <w:t>instruments.</w:t>
      </w:r>
      <w:r>
        <w:rPr>
          <w:spacing w:val="-9"/>
        </w:rPr>
        <w:t xml:space="preserve"> </w:t>
      </w:r>
      <w:r>
        <w:t>Accordingly, a</w:t>
      </w:r>
      <w:r>
        <w:rPr>
          <w:spacing w:val="-2"/>
        </w:rPr>
        <w:t xml:space="preserve"> </w:t>
      </w:r>
      <w:r>
        <w:t>Tasmanian</w:t>
      </w:r>
      <w:r>
        <w:rPr>
          <w:spacing w:val="-2"/>
        </w:rPr>
        <w:t xml:space="preserve"> </w:t>
      </w:r>
      <w:r>
        <w:t>Human</w:t>
      </w:r>
      <w:r>
        <w:rPr>
          <w:spacing w:val="-2"/>
        </w:rPr>
        <w:t xml:space="preserve"> </w:t>
      </w:r>
      <w:r>
        <w:t>Rights</w:t>
      </w:r>
      <w:r>
        <w:rPr>
          <w:spacing w:val="-4"/>
        </w:rPr>
        <w:t xml:space="preserve"> </w:t>
      </w:r>
      <w:r>
        <w:t>Act</w:t>
      </w:r>
      <w:r>
        <w:rPr>
          <w:spacing w:val="-4"/>
        </w:rPr>
        <w:t xml:space="preserve"> </w:t>
      </w:r>
      <w:r>
        <w:t>or</w:t>
      </w:r>
      <w:r>
        <w:rPr>
          <w:spacing w:val="-2"/>
        </w:rPr>
        <w:t xml:space="preserve"> </w:t>
      </w:r>
      <w:r>
        <w:t>Charter</w:t>
      </w:r>
      <w:r>
        <w:rPr>
          <w:spacing w:val="-2"/>
        </w:rPr>
        <w:t xml:space="preserve"> </w:t>
      </w:r>
      <w:r>
        <w:t>should</w:t>
      </w:r>
      <w:r>
        <w:rPr>
          <w:spacing w:val="-5"/>
        </w:rPr>
        <w:t xml:space="preserve"> </w:t>
      </w:r>
      <w:r>
        <w:t>include</w:t>
      </w:r>
      <w:r>
        <w:rPr>
          <w:spacing w:val="-2"/>
        </w:rPr>
        <w:t xml:space="preserve"> </w:t>
      </w:r>
      <w:r>
        <w:t>explicit</w:t>
      </w:r>
      <w:r>
        <w:rPr>
          <w:spacing w:val="-4"/>
        </w:rPr>
        <w:t xml:space="preserve"> </w:t>
      </w:r>
      <w:r>
        <w:t>provision</w:t>
      </w:r>
      <w:r>
        <w:rPr>
          <w:spacing w:val="-5"/>
        </w:rPr>
        <w:t xml:space="preserve"> </w:t>
      </w:r>
      <w:r>
        <w:t>that</w:t>
      </w:r>
      <w:r>
        <w:rPr>
          <w:spacing w:val="-4"/>
        </w:rPr>
        <w:t xml:space="preserve"> </w:t>
      </w:r>
      <w:r>
        <w:t>all</w:t>
      </w:r>
      <w:r>
        <w:rPr>
          <w:spacing w:val="-4"/>
        </w:rPr>
        <w:t xml:space="preserve"> </w:t>
      </w:r>
      <w:r>
        <w:t>non-statutory</w:t>
      </w:r>
      <w:r>
        <w:rPr>
          <w:spacing w:val="-5"/>
        </w:rPr>
        <w:t xml:space="preserve"> </w:t>
      </w:r>
      <w:r>
        <w:t>law, including</w:t>
      </w:r>
      <w:r>
        <w:rPr>
          <w:spacing w:val="-4"/>
        </w:rPr>
        <w:t xml:space="preserve"> </w:t>
      </w:r>
      <w:r>
        <w:t>substantive</w:t>
      </w:r>
      <w:r>
        <w:rPr>
          <w:spacing w:val="-3"/>
        </w:rPr>
        <w:t xml:space="preserve"> </w:t>
      </w:r>
      <w:r>
        <w:t>and</w:t>
      </w:r>
      <w:r>
        <w:rPr>
          <w:spacing w:val="-3"/>
        </w:rPr>
        <w:t xml:space="preserve"> </w:t>
      </w:r>
      <w:r>
        <w:t>adjectival</w:t>
      </w:r>
      <w:r>
        <w:rPr>
          <w:spacing w:val="-5"/>
        </w:rPr>
        <w:t xml:space="preserve"> </w:t>
      </w:r>
      <w:r>
        <w:t>(procedural)</w:t>
      </w:r>
      <w:r>
        <w:rPr>
          <w:spacing w:val="-3"/>
        </w:rPr>
        <w:t xml:space="preserve"> </w:t>
      </w:r>
      <w:r>
        <w:t>law,</w:t>
      </w:r>
      <w:r>
        <w:rPr>
          <w:spacing w:val="-4"/>
        </w:rPr>
        <w:t xml:space="preserve"> </w:t>
      </w:r>
      <w:r>
        <w:t>be</w:t>
      </w:r>
      <w:r>
        <w:rPr>
          <w:spacing w:val="-3"/>
        </w:rPr>
        <w:t xml:space="preserve"> </w:t>
      </w:r>
      <w:r>
        <w:t>amended</w:t>
      </w:r>
      <w:r>
        <w:rPr>
          <w:spacing w:val="-4"/>
        </w:rPr>
        <w:t xml:space="preserve"> </w:t>
      </w:r>
      <w:r>
        <w:t>by</w:t>
      </w:r>
      <w:r>
        <w:rPr>
          <w:spacing w:val="-6"/>
        </w:rPr>
        <w:t xml:space="preserve"> </w:t>
      </w:r>
      <w:r>
        <w:t>the</w:t>
      </w:r>
      <w:r>
        <w:rPr>
          <w:spacing w:val="-3"/>
        </w:rPr>
        <w:t xml:space="preserve"> </w:t>
      </w:r>
      <w:r>
        <w:t>Act/Charter</w:t>
      </w:r>
      <w:r>
        <w:rPr>
          <w:spacing w:val="-3"/>
        </w:rPr>
        <w:t xml:space="preserve"> </w:t>
      </w:r>
      <w:r>
        <w:t>so</w:t>
      </w:r>
      <w:r>
        <w:rPr>
          <w:spacing w:val="-3"/>
        </w:rPr>
        <w:t xml:space="preserve"> </w:t>
      </w:r>
      <w:r>
        <w:t>as</w:t>
      </w:r>
      <w:r>
        <w:rPr>
          <w:spacing w:val="-5"/>
        </w:rPr>
        <w:t xml:space="preserve"> </w:t>
      </w:r>
      <w:r>
        <w:t>to</w:t>
      </w:r>
      <w:r>
        <w:rPr>
          <w:spacing w:val="-4"/>
        </w:rPr>
        <w:t xml:space="preserve"> </w:t>
      </w:r>
      <w:r>
        <w:t>conform to</w:t>
      </w:r>
      <w:r>
        <w:rPr>
          <w:spacing w:val="-7"/>
        </w:rPr>
        <w:t xml:space="preserve"> </w:t>
      </w:r>
      <w:r>
        <w:t>human</w:t>
      </w:r>
      <w:r>
        <w:rPr>
          <w:spacing w:val="-9"/>
        </w:rPr>
        <w:t xml:space="preserve"> </w:t>
      </w:r>
      <w:r>
        <w:t>rights</w:t>
      </w:r>
      <w:r>
        <w:rPr>
          <w:spacing w:val="-7"/>
        </w:rPr>
        <w:t xml:space="preserve"> </w:t>
      </w:r>
      <w:r>
        <w:t>as</w:t>
      </w:r>
      <w:r>
        <w:rPr>
          <w:spacing w:val="-7"/>
        </w:rPr>
        <w:t xml:space="preserve"> </w:t>
      </w:r>
      <w:r>
        <w:t>defined</w:t>
      </w:r>
      <w:r>
        <w:rPr>
          <w:spacing w:val="-11"/>
        </w:rPr>
        <w:t xml:space="preserve"> </w:t>
      </w:r>
      <w:r>
        <w:t>and</w:t>
      </w:r>
      <w:r>
        <w:rPr>
          <w:spacing w:val="-9"/>
        </w:rPr>
        <w:t xml:space="preserve"> </w:t>
      </w:r>
      <w:r>
        <w:t>limited</w:t>
      </w:r>
      <w:r>
        <w:rPr>
          <w:spacing w:val="-11"/>
        </w:rPr>
        <w:t xml:space="preserve"> </w:t>
      </w:r>
      <w:r>
        <w:t>in</w:t>
      </w:r>
      <w:r>
        <w:rPr>
          <w:spacing w:val="-10"/>
        </w:rPr>
        <w:t xml:space="preserve"> </w:t>
      </w:r>
      <w:r>
        <w:t>the</w:t>
      </w:r>
      <w:r>
        <w:rPr>
          <w:spacing w:val="-9"/>
        </w:rPr>
        <w:t xml:space="preserve"> </w:t>
      </w:r>
      <w:r>
        <w:t>Act/Charter,</w:t>
      </w:r>
      <w:r>
        <w:rPr>
          <w:spacing w:val="-10"/>
        </w:rPr>
        <w:t xml:space="preserve"> </w:t>
      </w:r>
      <w:r>
        <w:t>and</w:t>
      </w:r>
      <w:r>
        <w:rPr>
          <w:spacing w:val="-9"/>
        </w:rPr>
        <w:t xml:space="preserve"> </w:t>
      </w:r>
      <w:r>
        <w:t>that</w:t>
      </w:r>
      <w:r>
        <w:rPr>
          <w:spacing w:val="-8"/>
        </w:rPr>
        <w:t xml:space="preserve"> </w:t>
      </w:r>
      <w:r>
        <w:t>any</w:t>
      </w:r>
      <w:r>
        <w:rPr>
          <w:spacing w:val="-9"/>
        </w:rPr>
        <w:t xml:space="preserve"> </w:t>
      </w:r>
      <w:r>
        <w:t>conflict</w:t>
      </w:r>
      <w:r>
        <w:rPr>
          <w:spacing w:val="-8"/>
        </w:rPr>
        <w:t xml:space="preserve"> </w:t>
      </w:r>
      <w:r>
        <w:t>with</w:t>
      </w:r>
      <w:r>
        <w:rPr>
          <w:spacing w:val="-7"/>
        </w:rPr>
        <w:t xml:space="preserve"> </w:t>
      </w:r>
      <w:r>
        <w:t>the</w:t>
      </w:r>
      <w:r>
        <w:rPr>
          <w:spacing w:val="-7"/>
        </w:rPr>
        <w:t xml:space="preserve"> </w:t>
      </w:r>
      <w:r>
        <w:t>Act’s/Charter’s rights be resolved in favour of the Charter. This is consistent with Recommendations 8 and 11 in the 2007 Final Report (see Appendix A).</w:t>
      </w:r>
    </w:p>
    <w:p w14:paraId="7CB25C63" w14:textId="77777777" w:rsidR="008A4099" w:rsidRDefault="006A6EE2">
      <w:pPr>
        <w:pStyle w:val="BodyText"/>
        <w:spacing w:before="219"/>
        <w:ind w:left="160" w:right="674"/>
        <w:jc w:val="both"/>
      </w:pPr>
      <w:r>
        <w:t>The Research Paper also considers the extent to which courts and tribunals should be included within the</w:t>
      </w:r>
      <w:r>
        <w:rPr>
          <w:spacing w:val="-3"/>
        </w:rPr>
        <w:t xml:space="preserve"> </w:t>
      </w:r>
      <w:r>
        <w:t>definition</w:t>
      </w:r>
      <w:r>
        <w:rPr>
          <w:spacing w:val="-6"/>
        </w:rPr>
        <w:t xml:space="preserve"> </w:t>
      </w:r>
      <w:r>
        <w:t>of</w:t>
      </w:r>
      <w:r>
        <w:rPr>
          <w:spacing w:val="-3"/>
        </w:rPr>
        <w:t xml:space="preserve"> </w:t>
      </w:r>
      <w:r>
        <w:t>a</w:t>
      </w:r>
      <w:r>
        <w:rPr>
          <w:spacing w:val="-6"/>
        </w:rPr>
        <w:t xml:space="preserve"> </w:t>
      </w:r>
      <w:r>
        <w:t>‘public</w:t>
      </w:r>
      <w:r>
        <w:rPr>
          <w:spacing w:val="-3"/>
        </w:rPr>
        <w:t xml:space="preserve"> </w:t>
      </w:r>
      <w:r>
        <w:t>authority’.</w:t>
      </w:r>
      <w:r>
        <w:rPr>
          <w:spacing w:val="-4"/>
        </w:rPr>
        <w:t xml:space="preserve"> </w:t>
      </w:r>
      <w:r>
        <w:t>The</w:t>
      </w:r>
      <w:r>
        <w:rPr>
          <w:spacing w:val="-3"/>
        </w:rPr>
        <w:t xml:space="preserve"> </w:t>
      </w:r>
      <w:r>
        <w:t>TLRI</w:t>
      </w:r>
      <w:r>
        <w:rPr>
          <w:spacing w:val="-5"/>
        </w:rPr>
        <w:t xml:space="preserve"> </w:t>
      </w:r>
      <w:r>
        <w:t>endorses</w:t>
      </w:r>
      <w:r>
        <w:rPr>
          <w:spacing w:val="-3"/>
        </w:rPr>
        <w:t xml:space="preserve"> </w:t>
      </w:r>
      <w:r>
        <w:t>the</w:t>
      </w:r>
      <w:r>
        <w:rPr>
          <w:spacing w:val="-3"/>
        </w:rPr>
        <w:t xml:space="preserve"> </w:t>
      </w:r>
      <w:r>
        <w:t>approach</w:t>
      </w:r>
      <w:r>
        <w:rPr>
          <w:spacing w:val="-4"/>
        </w:rPr>
        <w:t xml:space="preserve"> </w:t>
      </w:r>
      <w:r>
        <w:t>of</w:t>
      </w:r>
      <w:r>
        <w:rPr>
          <w:spacing w:val="-5"/>
        </w:rPr>
        <w:t xml:space="preserve"> </w:t>
      </w:r>
      <w:r>
        <w:t>the</w:t>
      </w:r>
      <w:r>
        <w:rPr>
          <w:spacing w:val="-3"/>
        </w:rPr>
        <w:t xml:space="preserve"> </w:t>
      </w:r>
      <w:r>
        <w:t>2007</w:t>
      </w:r>
      <w:r>
        <w:rPr>
          <w:spacing w:val="-6"/>
        </w:rPr>
        <w:t xml:space="preserve"> </w:t>
      </w:r>
      <w:r>
        <w:t>Final</w:t>
      </w:r>
      <w:r>
        <w:rPr>
          <w:spacing w:val="-3"/>
        </w:rPr>
        <w:t xml:space="preserve"> </w:t>
      </w:r>
      <w:r>
        <w:t>Report</w:t>
      </w:r>
      <w:r>
        <w:rPr>
          <w:spacing w:val="-3"/>
        </w:rPr>
        <w:t xml:space="preserve"> </w:t>
      </w:r>
      <w:r>
        <w:t>that,</w:t>
      </w:r>
      <w:r>
        <w:rPr>
          <w:spacing w:val="-6"/>
        </w:rPr>
        <w:t xml:space="preserve"> </w:t>
      </w:r>
      <w:r>
        <w:t>in interpreting the law, courts should be bound to apply the Charter to the interpretation of common law as well as statutory law. The TLRI considers that Recommendation 4 of this Research Paper achieves this</w:t>
      </w:r>
      <w:r>
        <w:rPr>
          <w:spacing w:val="-9"/>
        </w:rPr>
        <w:t xml:space="preserve"> </w:t>
      </w:r>
      <w:r>
        <w:t>objective.</w:t>
      </w:r>
      <w:r>
        <w:rPr>
          <w:spacing w:val="-12"/>
        </w:rPr>
        <w:t xml:space="preserve"> </w:t>
      </w:r>
      <w:r>
        <w:t>A</w:t>
      </w:r>
      <w:r>
        <w:rPr>
          <w:spacing w:val="-11"/>
        </w:rPr>
        <w:t xml:space="preserve"> </w:t>
      </w:r>
      <w:r>
        <w:t>separate</w:t>
      </w:r>
      <w:r>
        <w:rPr>
          <w:spacing w:val="-9"/>
        </w:rPr>
        <w:t xml:space="preserve"> </w:t>
      </w:r>
      <w:r>
        <w:t>question</w:t>
      </w:r>
      <w:r>
        <w:rPr>
          <w:spacing w:val="-12"/>
        </w:rPr>
        <w:t xml:space="preserve"> </w:t>
      </w:r>
      <w:r>
        <w:t>is</w:t>
      </w:r>
      <w:r>
        <w:rPr>
          <w:spacing w:val="-11"/>
        </w:rPr>
        <w:t xml:space="preserve"> </w:t>
      </w:r>
      <w:r>
        <w:t>the</w:t>
      </w:r>
      <w:r>
        <w:rPr>
          <w:spacing w:val="-12"/>
        </w:rPr>
        <w:t xml:space="preserve"> </w:t>
      </w:r>
      <w:r>
        <w:t>application</w:t>
      </w:r>
      <w:r>
        <w:rPr>
          <w:spacing w:val="-12"/>
        </w:rPr>
        <w:t xml:space="preserve"> </w:t>
      </w:r>
      <w:r>
        <w:t>of</w:t>
      </w:r>
      <w:r>
        <w:rPr>
          <w:spacing w:val="-13"/>
        </w:rPr>
        <w:t xml:space="preserve"> </w:t>
      </w:r>
      <w:r>
        <w:t>a</w:t>
      </w:r>
      <w:r>
        <w:rPr>
          <w:spacing w:val="-9"/>
        </w:rPr>
        <w:t xml:space="preserve"> </w:t>
      </w:r>
      <w:r>
        <w:t>human</w:t>
      </w:r>
      <w:r>
        <w:rPr>
          <w:spacing w:val="-12"/>
        </w:rPr>
        <w:t xml:space="preserve"> </w:t>
      </w:r>
      <w:r>
        <w:t>rights</w:t>
      </w:r>
      <w:r>
        <w:rPr>
          <w:spacing w:val="-12"/>
        </w:rPr>
        <w:t xml:space="preserve"> </w:t>
      </w:r>
      <w:r>
        <w:t>enactment</w:t>
      </w:r>
      <w:r>
        <w:rPr>
          <w:spacing w:val="-11"/>
        </w:rPr>
        <w:t xml:space="preserve"> </w:t>
      </w:r>
      <w:r>
        <w:t>to</w:t>
      </w:r>
      <w:r>
        <w:rPr>
          <w:spacing w:val="-10"/>
        </w:rPr>
        <w:t xml:space="preserve"> </w:t>
      </w:r>
      <w:r>
        <w:t>courts</w:t>
      </w:r>
      <w:r>
        <w:rPr>
          <w:spacing w:val="-9"/>
        </w:rPr>
        <w:t xml:space="preserve"> </w:t>
      </w:r>
      <w:r>
        <w:t>and</w:t>
      </w:r>
      <w:r>
        <w:rPr>
          <w:spacing w:val="-12"/>
        </w:rPr>
        <w:t xml:space="preserve"> </w:t>
      </w:r>
      <w:r>
        <w:t>tribunals as</w:t>
      </w:r>
      <w:r>
        <w:rPr>
          <w:spacing w:val="26"/>
        </w:rPr>
        <w:t xml:space="preserve"> </w:t>
      </w:r>
      <w:r>
        <w:t>public</w:t>
      </w:r>
      <w:r>
        <w:rPr>
          <w:spacing w:val="25"/>
        </w:rPr>
        <w:t xml:space="preserve"> </w:t>
      </w:r>
      <w:r>
        <w:t>authorities.</w:t>
      </w:r>
      <w:r>
        <w:rPr>
          <w:spacing w:val="25"/>
        </w:rPr>
        <w:t xml:space="preserve"> </w:t>
      </w:r>
      <w:r>
        <w:t>The</w:t>
      </w:r>
      <w:r>
        <w:rPr>
          <w:spacing w:val="23"/>
        </w:rPr>
        <w:t xml:space="preserve"> </w:t>
      </w:r>
      <w:r>
        <w:t>TLRI’s</w:t>
      </w:r>
      <w:r>
        <w:rPr>
          <w:spacing w:val="25"/>
        </w:rPr>
        <w:t xml:space="preserve"> </w:t>
      </w:r>
      <w:r>
        <w:t>view</w:t>
      </w:r>
      <w:r>
        <w:rPr>
          <w:spacing w:val="22"/>
        </w:rPr>
        <w:t xml:space="preserve"> </w:t>
      </w:r>
      <w:r>
        <w:t>is</w:t>
      </w:r>
      <w:r>
        <w:rPr>
          <w:spacing w:val="23"/>
        </w:rPr>
        <w:t xml:space="preserve"> </w:t>
      </w:r>
      <w:r>
        <w:t>that</w:t>
      </w:r>
      <w:r>
        <w:rPr>
          <w:spacing w:val="26"/>
        </w:rPr>
        <w:t xml:space="preserve"> </w:t>
      </w:r>
      <w:r>
        <w:t>courts</w:t>
      </w:r>
      <w:r>
        <w:rPr>
          <w:spacing w:val="23"/>
        </w:rPr>
        <w:t xml:space="preserve"> </w:t>
      </w:r>
      <w:r>
        <w:t>should</w:t>
      </w:r>
      <w:r>
        <w:rPr>
          <w:spacing w:val="25"/>
        </w:rPr>
        <w:t xml:space="preserve"> </w:t>
      </w:r>
      <w:r>
        <w:t>be</w:t>
      </w:r>
      <w:r>
        <w:rPr>
          <w:spacing w:val="23"/>
        </w:rPr>
        <w:t xml:space="preserve"> </w:t>
      </w:r>
      <w:r>
        <w:t>included</w:t>
      </w:r>
      <w:r>
        <w:rPr>
          <w:spacing w:val="23"/>
        </w:rPr>
        <w:t xml:space="preserve"> </w:t>
      </w:r>
      <w:r>
        <w:t>in</w:t>
      </w:r>
      <w:r>
        <w:rPr>
          <w:spacing w:val="23"/>
        </w:rPr>
        <w:t xml:space="preserve"> </w:t>
      </w:r>
      <w:r>
        <w:t>the</w:t>
      </w:r>
      <w:r>
        <w:rPr>
          <w:spacing w:val="23"/>
        </w:rPr>
        <w:t xml:space="preserve"> </w:t>
      </w:r>
      <w:r>
        <w:t>definition</w:t>
      </w:r>
      <w:r>
        <w:rPr>
          <w:spacing w:val="25"/>
        </w:rPr>
        <w:t xml:space="preserve"> </w:t>
      </w:r>
      <w:r>
        <w:t>of</w:t>
      </w:r>
      <w:r>
        <w:rPr>
          <w:spacing w:val="26"/>
        </w:rPr>
        <w:t xml:space="preserve"> </w:t>
      </w:r>
      <w:r>
        <w:t>public</w:t>
      </w:r>
    </w:p>
    <w:p w14:paraId="7CB25C64" w14:textId="77777777" w:rsidR="008A4099" w:rsidRDefault="008A4099">
      <w:pPr>
        <w:jc w:val="both"/>
        <w:sectPr w:rsidR="008A4099" w:rsidSect="00D43B2D">
          <w:pgSz w:w="11910" w:h="16840"/>
          <w:pgMar w:top="980" w:right="760" w:bottom="940" w:left="1280" w:header="718" w:footer="753" w:gutter="0"/>
          <w:cols w:space="720"/>
        </w:sectPr>
      </w:pPr>
    </w:p>
    <w:p w14:paraId="7CB25C65" w14:textId="77777777" w:rsidR="008A4099" w:rsidRDefault="008A4099">
      <w:pPr>
        <w:pStyle w:val="BodyText"/>
        <w:spacing w:before="194"/>
      </w:pPr>
    </w:p>
    <w:p w14:paraId="7CB25C66" w14:textId="77777777" w:rsidR="008A4099" w:rsidRDefault="006A6EE2">
      <w:pPr>
        <w:pStyle w:val="BodyText"/>
        <w:ind w:left="160" w:right="678"/>
        <w:jc w:val="both"/>
      </w:pPr>
      <w:r>
        <w:t>authority,</w:t>
      </w:r>
      <w:r>
        <w:rPr>
          <w:spacing w:val="-2"/>
        </w:rPr>
        <w:t xml:space="preserve"> </w:t>
      </w:r>
      <w:r>
        <w:t>when</w:t>
      </w:r>
      <w:r>
        <w:rPr>
          <w:spacing w:val="-4"/>
        </w:rPr>
        <w:t xml:space="preserve"> </w:t>
      </w:r>
      <w:r>
        <w:t>acting</w:t>
      </w:r>
      <w:r>
        <w:rPr>
          <w:spacing w:val="-5"/>
        </w:rPr>
        <w:t xml:space="preserve"> </w:t>
      </w:r>
      <w:r>
        <w:t>in</w:t>
      </w:r>
      <w:r>
        <w:rPr>
          <w:spacing w:val="-5"/>
        </w:rPr>
        <w:t xml:space="preserve"> </w:t>
      </w:r>
      <w:r>
        <w:t>an</w:t>
      </w:r>
      <w:r>
        <w:rPr>
          <w:spacing w:val="-2"/>
        </w:rPr>
        <w:t xml:space="preserve"> </w:t>
      </w:r>
      <w:r>
        <w:t>administrative</w:t>
      </w:r>
      <w:r>
        <w:rPr>
          <w:spacing w:val="-4"/>
        </w:rPr>
        <w:t xml:space="preserve"> </w:t>
      </w:r>
      <w:r>
        <w:t>capacity.</w:t>
      </w:r>
      <w:r>
        <w:rPr>
          <w:spacing w:val="-5"/>
        </w:rPr>
        <w:t xml:space="preserve"> </w:t>
      </w:r>
      <w:r>
        <w:t>This</w:t>
      </w:r>
      <w:r>
        <w:rPr>
          <w:spacing w:val="-4"/>
        </w:rPr>
        <w:t xml:space="preserve"> </w:t>
      </w:r>
      <w:r>
        <w:t>means</w:t>
      </w:r>
      <w:r>
        <w:rPr>
          <w:spacing w:val="-4"/>
        </w:rPr>
        <w:t xml:space="preserve"> </w:t>
      </w:r>
      <w:r>
        <w:t>that</w:t>
      </w:r>
      <w:r>
        <w:rPr>
          <w:spacing w:val="-4"/>
        </w:rPr>
        <w:t xml:space="preserve"> </w:t>
      </w:r>
      <w:r>
        <w:t>courts</w:t>
      </w:r>
      <w:r>
        <w:rPr>
          <w:spacing w:val="-4"/>
        </w:rPr>
        <w:t xml:space="preserve"> </w:t>
      </w:r>
      <w:r>
        <w:t>and</w:t>
      </w:r>
      <w:r>
        <w:rPr>
          <w:spacing w:val="-4"/>
        </w:rPr>
        <w:t xml:space="preserve"> </w:t>
      </w:r>
      <w:r>
        <w:t>tribunals,</w:t>
      </w:r>
      <w:r>
        <w:rPr>
          <w:spacing w:val="-4"/>
        </w:rPr>
        <w:t xml:space="preserve"> </w:t>
      </w:r>
      <w:r>
        <w:t>when</w:t>
      </w:r>
      <w:r>
        <w:rPr>
          <w:spacing w:val="-4"/>
        </w:rPr>
        <w:t xml:space="preserve"> </w:t>
      </w:r>
      <w:r>
        <w:t>acting in</w:t>
      </w:r>
      <w:r>
        <w:rPr>
          <w:spacing w:val="-5"/>
        </w:rPr>
        <w:t xml:space="preserve"> </w:t>
      </w:r>
      <w:r>
        <w:t>an</w:t>
      </w:r>
      <w:r>
        <w:rPr>
          <w:spacing w:val="-4"/>
        </w:rPr>
        <w:t xml:space="preserve"> </w:t>
      </w:r>
      <w:r>
        <w:t>administrative</w:t>
      </w:r>
      <w:r>
        <w:rPr>
          <w:spacing w:val="-7"/>
        </w:rPr>
        <w:t xml:space="preserve"> </w:t>
      </w:r>
      <w:r>
        <w:t>capacity,</w:t>
      </w:r>
      <w:r>
        <w:rPr>
          <w:spacing w:val="-5"/>
        </w:rPr>
        <w:t xml:space="preserve"> </w:t>
      </w:r>
      <w:r>
        <w:t>would</w:t>
      </w:r>
      <w:r>
        <w:rPr>
          <w:spacing w:val="-5"/>
        </w:rPr>
        <w:t xml:space="preserve"> </w:t>
      </w:r>
      <w:r>
        <w:t>be</w:t>
      </w:r>
      <w:r>
        <w:rPr>
          <w:spacing w:val="-4"/>
        </w:rPr>
        <w:t xml:space="preserve"> </w:t>
      </w:r>
      <w:r>
        <w:t>subject</w:t>
      </w:r>
      <w:r>
        <w:rPr>
          <w:spacing w:val="-6"/>
        </w:rPr>
        <w:t xml:space="preserve"> </w:t>
      </w:r>
      <w:r>
        <w:t>to</w:t>
      </w:r>
      <w:r>
        <w:rPr>
          <w:spacing w:val="-5"/>
        </w:rPr>
        <w:t xml:space="preserve"> </w:t>
      </w:r>
      <w:r>
        <w:t>Charter</w:t>
      </w:r>
      <w:r>
        <w:rPr>
          <w:spacing w:val="-4"/>
        </w:rPr>
        <w:t xml:space="preserve"> </w:t>
      </w:r>
      <w:r>
        <w:t>obligations</w:t>
      </w:r>
      <w:r>
        <w:rPr>
          <w:spacing w:val="-4"/>
        </w:rPr>
        <w:t xml:space="preserve"> </w:t>
      </w:r>
      <w:r>
        <w:t>(as</w:t>
      </w:r>
      <w:r>
        <w:rPr>
          <w:spacing w:val="-4"/>
        </w:rPr>
        <w:t xml:space="preserve"> </w:t>
      </w:r>
      <w:r>
        <w:t>set</w:t>
      </w:r>
      <w:r>
        <w:rPr>
          <w:spacing w:val="-4"/>
        </w:rPr>
        <w:t xml:space="preserve"> </w:t>
      </w:r>
      <w:r>
        <w:t>out</w:t>
      </w:r>
      <w:r>
        <w:rPr>
          <w:spacing w:val="-4"/>
        </w:rPr>
        <w:t xml:space="preserve"> </w:t>
      </w:r>
      <w:r>
        <w:t>in</w:t>
      </w:r>
      <w:r>
        <w:rPr>
          <w:spacing w:val="-7"/>
        </w:rPr>
        <w:t xml:space="preserve"> </w:t>
      </w:r>
      <w:r>
        <w:t>Recommendation</w:t>
      </w:r>
      <w:r>
        <w:rPr>
          <w:spacing w:val="-5"/>
        </w:rPr>
        <w:t xml:space="preserve"> </w:t>
      </w:r>
      <w:r>
        <w:t>9 of the 2007 Final Report) ‘to act in a way that is compatible with human rights and, when making decisions,</w:t>
      </w:r>
      <w:r>
        <w:rPr>
          <w:spacing w:val="-6"/>
        </w:rPr>
        <w:t xml:space="preserve"> </w:t>
      </w:r>
      <w:r>
        <w:t>to</w:t>
      </w:r>
      <w:r>
        <w:rPr>
          <w:spacing w:val="-7"/>
        </w:rPr>
        <w:t xml:space="preserve"> </w:t>
      </w:r>
      <w:r>
        <w:t>give</w:t>
      </w:r>
      <w:r>
        <w:rPr>
          <w:spacing w:val="-7"/>
        </w:rPr>
        <w:t xml:space="preserve"> </w:t>
      </w:r>
      <w:r>
        <w:t>proper</w:t>
      </w:r>
      <w:r>
        <w:rPr>
          <w:spacing w:val="-6"/>
        </w:rPr>
        <w:t xml:space="preserve"> </w:t>
      </w:r>
      <w:r>
        <w:t>consideration</w:t>
      </w:r>
      <w:r>
        <w:rPr>
          <w:spacing w:val="-7"/>
        </w:rPr>
        <w:t xml:space="preserve"> </w:t>
      </w:r>
      <w:r>
        <w:t>to</w:t>
      </w:r>
      <w:r>
        <w:rPr>
          <w:spacing w:val="-7"/>
        </w:rPr>
        <w:t xml:space="preserve"> </w:t>
      </w:r>
      <w:r>
        <w:t>relevant</w:t>
      </w:r>
      <w:r>
        <w:rPr>
          <w:spacing w:val="-6"/>
        </w:rPr>
        <w:t xml:space="preserve"> </w:t>
      </w:r>
      <w:r>
        <w:t>human</w:t>
      </w:r>
      <w:r>
        <w:rPr>
          <w:spacing w:val="-7"/>
        </w:rPr>
        <w:t xml:space="preserve"> </w:t>
      </w:r>
      <w:r>
        <w:t>rights</w:t>
      </w:r>
      <w:r>
        <w:rPr>
          <w:spacing w:val="-6"/>
        </w:rPr>
        <w:t xml:space="preserve"> </w:t>
      </w:r>
      <w:r>
        <w:t>unless</w:t>
      </w:r>
      <w:r>
        <w:rPr>
          <w:spacing w:val="-6"/>
        </w:rPr>
        <w:t xml:space="preserve"> </w:t>
      </w:r>
      <w:r>
        <w:t>otherwise</w:t>
      </w:r>
      <w:r>
        <w:rPr>
          <w:spacing w:val="-9"/>
        </w:rPr>
        <w:t xml:space="preserve"> </w:t>
      </w:r>
      <w:r>
        <w:t>required</w:t>
      </w:r>
      <w:r>
        <w:rPr>
          <w:spacing w:val="-7"/>
        </w:rPr>
        <w:t xml:space="preserve"> </w:t>
      </w:r>
      <w:r>
        <w:t>by</w:t>
      </w:r>
      <w:r>
        <w:rPr>
          <w:spacing w:val="-7"/>
        </w:rPr>
        <w:t xml:space="preserve"> </w:t>
      </w:r>
      <w:r>
        <w:t xml:space="preserve">particular </w:t>
      </w:r>
      <w:r>
        <w:rPr>
          <w:spacing w:val="-2"/>
        </w:rPr>
        <w:t>legislation’.</w:t>
      </w:r>
    </w:p>
    <w:p w14:paraId="7CB25C67" w14:textId="77777777" w:rsidR="008A4099" w:rsidRDefault="008A4099">
      <w:pPr>
        <w:pStyle w:val="BodyText"/>
        <w:spacing w:before="230"/>
      </w:pPr>
    </w:p>
    <w:p w14:paraId="7CB25C68" w14:textId="77777777" w:rsidR="008A4099" w:rsidRDefault="006A6EE2">
      <w:pPr>
        <w:pStyle w:val="Heading6"/>
      </w:pPr>
      <w:r>
        <w:t>What</w:t>
      </w:r>
      <w:r>
        <w:rPr>
          <w:spacing w:val="-3"/>
        </w:rPr>
        <w:t xml:space="preserve"> </w:t>
      </w:r>
      <w:r>
        <w:t>rights</w:t>
      </w:r>
      <w:r>
        <w:rPr>
          <w:spacing w:val="-2"/>
        </w:rPr>
        <w:t xml:space="preserve"> </w:t>
      </w:r>
      <w:r>
        <w:t>should</w:t>
      </w:r>
      <w:r>
        <w:rPr>
          <w:spacing w:val="-4"/>
        </w:rPr>
        <w:t xml:space="preserve"> </w:t>
      </w:r>
      <w:r>
        <w:t xml:space="preserve">be </w:t>
      </w:r>
      <w:r>
        <w:rPr>
          <w:spacing w:val="-2"/>
        </w:rPr>
        <w:t>protected?</w:t>
      </w:r>
    </w:p>
    <w:p w14:paraId="7CB25C69" w14:textId="77777777" w:rsidR="008A4099" w:rsidRDefault="006A6EE2">
      <w:pPr>
        <w:pStyle w:val="BodyText"/>
        <w:spacing w:before="217"/>
        <w:ind w:left="160" w:right="676"/>
        <w:jc w:val="both"/>
      </w:pPr>
      <w:r>
        <w:t>In</w:t>
      </w:r>
      <w:r>
        <w:rPr>
          <w:spacing w:val="-1"/>
        </w:rPr>
        <w:t xml:space="preserve"> </w:t>
      </w:r>
      <w:r>
        <w:t>its</w:t>
      </w:r>
      <w:r>
        <w:rPr>
          <w:spacing w:val="-1"/>
        </w:rPr>
        <w:t xml:space="preserve"> </w:t>
      </w:r>
      <w:r>
        <w:t>2007</w:t>
      </w:r>
      <w:r>
        <w:rPr>
          <w:spacing w:val="-1"/>
        </w:rPr>
        <w:t xml:space="preserve"> </w:t>
      </w:r>
      <w:r>
        <w:t>Final Report,</w:t>
      </w:r>
      <w:r>
        <w:rPr>
          <w:spacing w:val="-4"/>
        </w:rPr>
        <w:t xml:space="preserve"> </w:t>
      </w:r>
      <w:r>
        <w:t>the</w:t>
      </w:r>
      <w:r>
        <w:rPr>
          <w:spacing w:val="-1"/>
        </w:rPr>
        <w:t xml:space="preserve"> </w:t>
      </w:r>
      <w:r>
        <w:t>TLRI</w:t>
      </w:r>
      <w:r>
        <w:rPr>
          <w:spacing w:val="-3"/>
        </w:rPr>
        <w:t xml:space="preserve"> </w:t>
      </w:r>
      <w:r>
        <w:t>set out</w:t>
      </w:r>
      <w:r>
        <w:rPr>
          <w:spacing w:val="-3"/>
        </w:rPr>
        <w:t xml:space="preserve"> </w:t>
      </w:r>
      <w:r>
        <w:t>a</w:t>
      </w:r>
      <w:r>
        <w:rPr>
          <w:spacing w:val="-1"/>
        </w:rPr>
        <w:t xml:space="preserve"> </w:t>
      </w:r>
      <w:r>
        <w:t>comprehensive</w:t>
      </w:r>
      <w:r>
        <w:rPr>
          <w:spacing w:val="-3"/>
        </w:rPr>
        <w:t xml:space="preserve"> </w:t>
      </w:r>
      <w:r>
        <w:t>list of</w:t>
      </w:r>
      <w:r>
        <w:rPr>
          <w:spacing w:val="-1"/>
        </w:rPr>
        <w:t xml:space="preserve"> </w:t>
      </w:r>
      <w:r>
        <w:t>rights</w:t>
      </w:r>
      <w:r>
        <w:rPr>
          <w:spacing w:val="-1"/>
        </w:rPr>
        <w:t xml:space="preserve"> </w:t>
      </w:r>
      <w:r>
        <w:t>to</w:t>
      </w:r>
      <w:r>
        <w:rPr>
          <w:spacing w:val="-1"/>
        </w:rPr>
        <w:t xml:space="preserve"> </w:t>
      </w:r>
      <w:r>
        <w:t>be</w:t>
      </w:r>
      <w:r>
        <w:rPr>
          <w:spacing w:val="-1"/>
        </w:rPr>
        <w:t xml:space="preserve"> </w:t>
      </w:r>
      <w:r>
        <w:t>included</w:t>
      </w:r>
      <w:r>
        <w:rPr>
          <w:spacing w:val="-3"/>
        </w:rPr>
        <w:t xml:space="preserve"> </w:t>
      </w:r>
      <w:r>
        <w:t>in</w:t>
      </w:r>
      <w:r>
        <w:rPr>
          <w:spacing w:val="-1"/>
        </w:rPr>
        <w:t xml:space="preserve"> </w:t>
      </w:r>
      <w:r>
        <w:t>a</w:t>
      </w:r>
      <w:r>
        <w:rPr>
          <w:spacing w:val="-1"/>
        </w:rPr>
        <w:t xml:space="preserve"> </w:t>
      </w:r>
      <w:r>
        <w:t>Tasmanian Charter, including civil and political rights, and a number of economic, social, and cultural rights.</w:t>
      </w:r>
      <w:r>
        <w:rPr>
          <w:position w:val="7"/>
          <w:sz w:val="13"/>
        </w:rPr>
        <w:t>7</w:t>
      </w:r>
      <w:r>
        <w:rPr>
          <w:spacing w:val="40"/>
          <w:position w:val="7"/>
          <w:sz w:val="13"/>
        </w:rPr>
        <w:t xml:space="preserve"> </w:t>
      </w:r>
      <w:r>
        <w:t>These included economic, social, and cultural rights beyond those protected in the ACT</w:t>
      </w:r>
      <w:r>
        <w:rPr>
          <w:spacing w:val="-1"/>
        </w:rPr>
        <w:t xml:space="preserve"> </w:t>
      </w:r>
      <w:r>
        <w:t>and Victorian Charters: the rights to work, food and housing, health, education, and a safe environment.</w:t>
      </w:r>
    </w:p>
    <w:p w14:paraId="7CB25C6A" w14:textId="77777777" w:rsidR="008A4099" w:rsidRDefault="006A6EE2">
      <w:pPr>
        <w:pStyle w:val="BodyText"/>
        <w:spacing w:before="220" w:line="242" w:lineRule="auto"/>
        <w:ind w:left="160" w:right="681"/>
        <w:jc w:val="both"/>
        <w:rPr>
          <w:sz w:val="13"/>
        </w:rPr>
      </w:pPr>
      <w:r>
        <w:t>Other</w:t>
      </w:r>
      <w:r>
        <w:rPr>
          <w:spacing w:val="-11"/>
        </w:rPr>
        <w:t xml:space="preserve"> </w:t>
      </w:r>
      <w:r>
        <w:t>jurisdictions</w:t>
      </w:r>
      <w:r>
        <w:rPr>
          <w:spacing w:val="-11"/>
        </w:rPr>
        <w:t xml:space="preserve"> </w:t>
      </w:r>
      <w:r>
        <w:t>have</w:t>
      </w:r>
      <w:r>
        <w:rPr>
          <w:spacing w:val="-11"/>
        </w:rPr>
        <w:t xml:space="preserve"> </w:t>
      </w:r>
      <w:r>
        <w:t>taken</w:t>
      </w:r>
      <w:r>
        <w:rPr>
          <w:spacing w:val="-12"/>
        </w:rPr>
        <w:t xml:space="preserve"> </w:t>
      </w:r>
      <w:r>
        <w:t>a</w:t>
      </w:r>
      <w:r>
        <w:rPr>
          <w:spacing w:val="-12"/>
        </w:rPr>
        <w:t xml:space="preserve"> </w:t>
      </w:r>
      <w:r>
        <w:t>cautious,</w:t>
      </w:r>
      <w:r>
        <w:rPr>
          <w:spacing w:val="-11"/>
        </w:rPr>
        <w:t xml:space="preserve"> </w:t>
      </w:r>
      <w:r>
        <w:t>incremental</w:t>
      </w:r>
      <w:r>
        <w:rPr>
          <w:spacing w:val="-11"/>
        </w:rPr>
        <w:t xml:space="preserve"> </w:t>
      </w:r>
      <w:r>
        <w:t>approach</w:t>
      </w:r>
      <w:r>
        <w:rPr>
          <w:spacing w:val="-12"/>
        </w:rPr>
        <w:t xml:space="preserve"> </w:t>
      </w:r>
      <w:r>
        <w:t>to</w:t>
      </w:r>
      <w:r>
        <w:rPr>
          <w:spacing w:val="-12"/>
        </w:rPr>
        <w:t xml:space="preserve"> </w:t>
      </w:r>
      <w:r>
        <w:t>rights</w:t>
      </w:r>
      <w:r>
        <w:rPr>
          <w:spacing w:val="-11"/>
        </w:rPr>
        <w:t xml:space="preserve"> </w:t>
      </w:r>
      <w:r>
        <w:t>protected</w:t>
      </w:r>
      <w:r>
        <w:rPr>
          <w:spacing w:val="-14"/>
        </w:rPr>
        <w:t xml:space="preserve"> </w:t>
      </w:r>
      <w:r>
        <w:t>in</w:t>
      </w:r>
      <w:r>
        <w:rPr>
          <w:spacing w:val="-12"/>
        </w:rPr>
        <w:t xml:space="preserve"> </w:t>
      </w:r>
      <w:r>
        <w:t>their</w:t>
      </w:r>
      <w:r>
        <w:rPr>
          <w:spacing w:val="-11"/>
        </w:rPr>
        <w:t xml:space="preserve"> </w:t>
      </w:r>
      <w:r>
        <w:t>human</w:t>
      </w:r>
      <w:r>
        <w:rPr>
          <w:spacing w:val="-12"/>
        </w:rPr>
        <w:t xml:space="preserve"> </w:t>
      </w:r>
      <w:r>
        <w:t>rights enactments. The ACT has included a right to education and a right to work and has introduced legislation to introduce a right to a healthy environment.</w:t>
      </w:r>
      <w:r>
        <w:rPr>
          <w:position w:val="7"/>
          <w:sz w:val="13"/>
        </w:rPr>
        <w:t>8</w:t>
      </w:r>
    </w:p>
    <w:p w14:paraId="7CB25C6B" w14:textId="77777777" w:rsidR="008A4099" w:rsidRDefault="006A6EE2">
      <w:pPr>
        <w:pStyle w:val="BodyText"/>
        <w:spacing w:before="213"/>
        <w:ind w:left="160" w:right="677"/>
        <w:jc w:val="both"/>
        <w:rPr>
          <w:sz w:val="13"/>
        </w:rPr>
      </w:pPr>
      <w:r>
        <w:t>Victoria has not amended</w:t>
      </w:r>
      <w:r>
        <w:rPr>
          <w:spacing w:val="-2"/>
        </w:rPr>
        <w:t xml:space="preserve"> </w:t>
      </w:r>
      <w:r>
        <w:t>its legislation to</w:t>
      </w:r>
      <w:r>
        <w:rPr>
          <w:spacing w:val="-3"/>
        </w:rPr>
        <w:t xml:space="preserve"> </w:t>
      </w:r>
      <w:r>
        <w:t>include any</w:t>
      </w:r>
      <w:r>
        <w:rPr>
          <w:spacing w:val="-2"/>
        </w:rPr>
        <w:t xml:space="preserve"> </w:t>
      </w:r>
      <w:r>
        <w:t>additional</w:t>
      </w:r>
      <w:r>
        <w:rPr>
          <w:spacing w:val="-1"/>
        </w:rPr>
        <w:t xml:space="preserve"> </w:t>
      </w:r>
      <w:r>
        <w:t>rights;</w:t>
      </w:r>
      <w:r>
        <w:rPr>
          <w:spacing w:val="-1"/>
        </w:rPr>
        <w:t xml:space="preserve"> </w:t>
      </w:r>
      <w:r>
        <w:t>however,</w:t>
      </w:r>
      <w:r>
        <w:rPr>
          <w:spacing w:val="-2"/>
        </w:rPr>
        <w:t xml:space="preserve"> </w:t>
      </w:r>
      <w:r>
        <w:t>the 2015 Review</w:t>
      </w:r>
      <w:r>
        <w:rPr>
          <w:spacing w:val="-1"/>
        </w:rPr>
        <w:t xml:space="preserve"> </w:t>
      </w:r>
      <w:r>
        <w:t>of the Charter recommended that inclusion of economic, social, and cultural rights be a priority consideration for future reviews.</w:t>
      </w:r>
      <w:r>
        <w:rPr>
          <w:position w:val="7"/>
          <w:sz w:val="13"/>
        </w:rPr>
        <w:t>9</w:t>
      </w:r>
      <w:r>
        <w:rPr>
          <w:spacing w:val="40"/>
          <w:position w:val="7"/>
          <w:sz w:val="13"/>
        </w:rPr>
        <w:t xml:space="preserve"> </w:t>
      </w:r>
      <w:r>
        <w:t>The Qld Human Rights Act includes a right to work, a right to education, and a right to adequate health services, and requires the three-year statutory review of the Act to consider whether a broader range of rights should be protected.</w:t>
      </w:r>
      <w:r>
        <w:rPr>
          <w:position w:val="7"/>
          <w:sz w:val="13"/>
        </w:rPr>
        <w:t>10</w:t>
      </w:r>
    </w:p>
    <w:p w14:paraId="7CB25C6C" w14:textId="77777777" w:rsidR="008A4099" w:rsidRDefault="006A6EE2">
      <w:pPr>
        <w:pStyle w:val="BodyText"/>
        <w:spacing w:before="221"/>
        <w:ind w:left="160" w:right="673"/>
        <w:jc w:val="both"/>
      </w:pPr>
      <w:r>
        <w:t>None</w:t>
      </w:r>
      <w:r>
        <w:rPr>
          <w:spacing w:val="-11"/>
        </w:rPr>
        <w:t xml:space="preserve"> </w:t>
      </w:r>
      <w:r>
        <w:t>of</w:t>
      </w:r>
      <w:r>
        <w:rPr>
          <w:spacing w:val="-11"/>
        </w:rPr>
        <w:t xml:space="preserve"> </w:t>
      </w:r>
      <w:r>
        <w:t>the</w:t>
      </w:r>
      <w:r>
        <w:rPr>
          <w:spacing w:val="-11"/>
        </w:rPr>
        <w:t xml:space="preserve"> </w:t>
      </w:r>
      <w:r>
        <w:t>Australian</w:t>
      </w:r>
      <w:r>
        <w:rPr>
          <w:spacing w:val="-11"/>
        </w:rPr>
        <w:t xml:space="preserve"> </w:t>
      </w:r>
      <w:r>
        <w:t>jurisdictions</w:t>
      </w:r>
      <w:r>
        <w:rPr>
          <w:spacing w:val="-10"/>
        </w:rPr>
        <w:t xml:space="preserve"> </w:t>
      </w:r>
      <w:r>
        <w:t>with</w:t>
      </w:r>
      <w:r>
        <w:rPr>
          <w:spacing w:val="-11"/>
        </w:rPr>
        <w:t xml:space="preserve"> </w:t>
      </w:r>
      <w:r>
        <w:t>human</w:t>
      </w:r>
      <w:r>
        <w:rPr>
          <w:spacing w:val="-12"/>
        </w:rPr>
        <w:t xml:space="preserve"> </w:t>
      </w:r>
      <w:r>
        <w:t>rights</w:t>
      </w:r>
      <w:r>
        <w:rPr>
          <w:spacing w:val="-13"/>
        </w:rPr>
        <w:t xml:space="preserve"> </w:t>
      </w:r>
      <w:r>
        <w:t>enactments</w:t>
      </w:r>
      <w:r>
        <w:rPr>
          <w:spacing w:val="-11"/>
        </w:rPr>
        <w:t xml:space="preserve"> </w:t>
      </w:r>
      <w:r>
        <w:t>currently</w:t>
      </w:r>
      <w:r>
        <w:rPr>
          <w:spacing w:val="-14"/>
        </w:rPr>
        <w:t xml:space="preserve"> </w:t>
      </w:r>
      <w:r>
        <w:t>includes</w:t>
      </w:r>
      <w:r>
        <w:rPr>
          <w:spacing w:val="-11"/>
        </w:rPr>
        <w:t xml:space="preserve"> </w:t>
      </w:r>
      <w:r>
        <w:t>a</w:t>
      </w:r>
      <w:r>
        <w:rPr>
          <w:spacing w:val="-11"/>
        </w:rPr>
        <w:t xml:space="preserve"> </w:t>
      </w:r>
      <w:r>
        <w:t>right</w:t>
      </w:r>
      <w:r>
        <w:rPr>
          <w:spacing w:val="-10"/>
        </w:rPr>
        <w:t xml:space="preserve"> </w:t>
      </w:r>
      <w:r>
        <w:t>to</w:t>
      </w:r>
      <w:r>
        <w:rPr>
          <w:spacing w:val="-12"/>
        </w:rPr>
        <w:t xml:space="preserve"> </w:t>
      </w:r>
      <w:r>
        <w:t>housing. A recent Victorian parliamentary inquiry into homelessness</w:t>
      </w:r>
      <w:r>
        <w:rPr>
          <w:position w:val="7"/>
          <w:sz w:val="13"/>
        </w:rPr>
        <w:t>11</w:t>
      </w:r>
      <w:r>
        <w:rPr>
          <w:spacing w:val="29"/>
          <w:position w:val="7"/>
          <w:sz w:val="13"/>
        </w:rPr>
        <w:t xml:space="preserve"> </w:t>
      </w:r>
      <w:r>
        <w:t>has recommended the recognition of an explicit</w:t>
      </w:r>
      <w:r>
        <w:rPr>
          <w:spacing w:val="-8"/>
        </w:rPr>
        <w:t xml:space="preserve"> </w:t>
      </w:r>
      <w:r>
        <w:t>right</w:t>
      </w:r>
      <w:r>
        <w:rPr>
          <w:spacing w:val="-6"/>
        </w:rPr>
        <w:t xml:space="preserve"> </w:t>
      </w:r>
      <w:r>
        <w:t>to</w:t>
      </w:r>
      <w:r>
        <w:rPr>
          <w:spacing w:val="-7"/>
        </w:rPr>
        <w:t xml:space="preserve"> </w:t>
      </w:r>
      <w:r>
        <w:t>housing,</w:t>
      </w:r>
      <w:r>
        <w:rPr>
          <w:spacing w:val="-7"/>
        </w:rPr>
        <w:t xml:space="preserve"> </w:t>
      </w:r>
      <w:r>
        <w:t>which</w:t>
      </w:r>
      <w:r>
        <w:rPr>
          <w:spacing w:val="-7"/>
        </w:rPr>
        <w:t xml:space="preserve"> </w:t>
      </w:r>
      <w:r>
        <w:t>would</w:t>
      </w:r>
      <w:r>
        <w:rPr>
          <w:spacing w:val="-7"/>
        </w:rPr>
        <w:t xml:space="preserve"> </w:t>
      </w:r>
      <w:r>
        <w:t>enhance</w:t>
      </w:r>
      <w:r>
        <w:rPr>
          <w:spacing w:val="-7"/>
        </w:rPr>
        <w:t xml:space="preserve"> </w:t>
      </w:r>
      <w:r>
        <w:t>protections</w:t>
      </w:r>
      <w:r>
        <w:rPr>
          <w:spacing w:val="-8"/>
        </w:rPr>
        <w:t xml:space="preserve"> </w:t>
      </w:r>
      <w:r>
        <w:t>for</w:t>
      </w:r>
      <w:r>
        <w:rPr>
          <w:spacing w:val="-8"/>
        </w:rPr>
        <w:t xml:space="preserve"> </w:t>
      </w:r>
      <w:r>
        <w:t>social</w:t>
      </w:r>
      <w:r>
        <w:rPr>
          <w:spacing w:val="-8"/>
        </w:rPr>
        <w:t xml:space="preserve"> </w:t>
      </w:r>
      <w:r>
        <w:t>housing</w:t>
      </w:r>
      <w:r>
        <w:rPr>
          <w:spacing w:val="-9"/>
        </w:rPr>
        <w:t xml:space="preserve"> </w:t>
      </w:r>
      <w:r>
        <w:t>tenants.</w:t>
      </w:r>
      <w:r>
        <w:rPr>
          <w:spacing w:val="-6"/>
        </w:rPr>
        <w:t xml:space="preserve"> </w:t>
      </w:r>
      <w:r>
        <w:t>The</w:t>
      </w:r>
      <w:r>
        <w:rPr>
          <w:spacing w:val="-7"/>
        </w:rPr>
        <w:t xml:space="preserve"> </w:t>
      </w:r>
      <w:r>
        <w:t>TLRI</w:t>
      </w:r>
      <w:r>
        <w:rPr>
          <w:spacing w:val="-8"/>
        </w:rPr>
        <w:t xml:space="preserve"> </w:t>
      </w:r>
      <w:r>
        <w:t>agrees that an explicit right to adequate housing would provide a more consistent and cohesive basis for planning,</w:t>
      </w:r>
      <w:r>
        <w:rPr>
          <w:spacing w:val="-4"/>
        </w:rPr>
        <w:t xml:space="preserve"> </w:t>
      </w:r>
      <w:r>
        <w:t>advocacy,</w:t>
      </w:r>
      <w:r>
        <w:rPr>
          <w:spacing w:val="-3"/>
        </w:rPr>
        <w:t xml:space="preserve"> </w:t>
      </w:r>
      <w:r>
        <w:t>and</w:t>
      </w:r>
      <w:r>
        <w:rPr>
          <w:spacing w:val="-3"/>
        </w:rPr>
        <w:t xml:space="preserve"> </w:t>
      </w:r>
      <w:r>
        <w:t>implementation</w:t>
      </w:r>
      <w:r>
        <w:rPr>
          <w:spacing w:val="-4"/>
        </w:rPr>
        <w:t xml:space="preserve"> </w:t>
      </w:r>
      <w:r>
        <w:t>of</w:t>
      </w:r>
      <w:r>
        <w:rPr>
          <w:spacing w:val="-3"/>
        </w:rPr>
        <w:t xml:space="preserve"> </w:t>
      </w:r>
      <w:r>
        <w:t>housing</w:t>
      </w:r>
      <w:r>
        <w:rPr>
          <w:spacing w:val="-4"/>
        </w:rPr>
        <w:t xml:space="preserve"> </w:t>
      </w:r>
      <w:r>
        <w:t>policies,</w:t>
      </w:r>
      <w:r>
        <w:rPr>
          <w:spacing w:val="-3"/>
        </w:rPr>
        <w:t xml:space="preserve"> </w:t>
      </w:r>
      <w:r>
        <w:t>and</w:t>
      </w:r>
      <w:r>
        <w:rPr>
          <w:spacing w:val="-3"/>
        </w:rPr>
        <w:t xml:space="preserve"> </w:t>
      </w:r>
      <w:r>
        <w:t>clearer</w:t>
      </w:r>
      <w:r>
        <w:rPr>
          <w:spacing w:val="-3"/>
        </w:rPr>
        <w:t xml:space="preserve"> </w:t>
      </w:r>
      <w:r>
        <w:t>pathways</w:t>
      </w:r>
      <w:r>
        <w:rPr>
          <w:spacing w:val="-5"/>
        </w:rPr>
        <w:t xml:space="preserve"> </w:t>
      </w:r>
      <w:r>
        <w:t>for</w:t>
      </w:r>
      <w:r>
        <w:rPr>
          <w:spacing w:val="-3"/>
        </w:rPr>
        <w:t xml:space="preserve"> </w:t>
      </w:r>
      <w:r>
        <w:t>tenants</w:t>
      </w:r>
      <w:r>
        <w:rPr>
          <w:spacing w:val="-3"/>
        </w:rPr>
        <w:t xml:space="preserve"> </w:t>
      </w:r>
      <w:r>
        <w:t>to</w:t>
      </w:r>
      <w:r>
        <w:rPr>
          <w:spacing w:val="-4"/>
        </w:rPr>
        <w:t xml:space="preserve"> </w:t>
      </w:r>
      <w:r>
        <w:t>assert their rights. This is a specific right that was recommended for inclusion in the Tasmanian Charter of Rights in the 2007 Final Report (See Recommendation 16).</w:t>
      </w:r>
    </w:p>
    <w:p w14:paraId="7CB25C6D" w14:textId="77777777" w:rsidR="008A4099" w:rsidRDefault="006A6EE2">
      <w:pPr>
        <w:pStyle w:val="BodyText"/>
        <w:spacing w:before="221"/>
        <w:ind w:left="160" w:right="674"/>
        <w:jc w:val="both"/>
      </w:pPr>
      <w:r>
        <w:t>In July 2022, the United Nations General Assembly recognised the right to a safe, clean, healthy, and sustainable environment as</w:t>
      </w:r>
      <w:r>
        <w:rPr>
          <w:spacing w:val="-2"/>
        </w:rPr>
        <w:t xml:space="preserve"> </w:t>
      </w:r>
      <w:r>
        <w:t>fundamental to</w:t>
      </w:r>
      <w:r>
        <w:rPr>
          <w:spacing w:val="-2"/>
        </w:rPr>
        <w:t xml:space="preserve"> </w:t>
      </w:r>
      <w:r>
        <w:t>the enjoyment of all other human rights.</w:t>
      </w:r>
      <w:r>
        <w:rPr>
          <w:position w:val="7"/>
          <w:sz w:val="13"/>
        </w:rPr>
        <w:t>12</w:t>
      </w:r>
      <w:r>
        <w:rPr>
          <w:spacing w:val="22"/>
          <w:position w:val="7"/>
          <w:sz w:val="13"/>
        </w:rPr>
        <w:t xml:space="preserve"> </w:t>
      </w:r>
      <w:r>
        <w:t>To</w:t>
      </w:r>
      <w:r>
        <w:rPr>
          <w:spacing w:val="-1"/>
        </w:rPr>
        <w:t xml:space="preserve"> </w:t>
      </w:r>
      <w:r>
        <w:t>date, none of the Australian jurisdictions with human rights enactments protects a right to a healthy environment, although the ACT has introduced legislation that would insert that right into the ACT Charter.</w:t>
      </w:r>
      <w:r>
        <w:rPr>
          <w:position w:val="7"/>
          <w:sz w:val="13"/>
        </w:rPr>
        <w:t>13</w:t>
      </w:r>
      <w:r>
        <w:rPr>
          <w:spacing w:val="40"/>
          <w:position w:val="7"/>
          <w:sz w:val="13"/>
        </w:rPr>
        <w:t xml:space="preserve"> </w:t>
      </w:r>
      <w:r>
        <w:t>A limited right to a healthy environment is also included in the Australian Human Rights Commission’s model Human Rights Act.</w:t>
      </w:r>
      <w:r>
        <w:rPr>
          <w:position w:val="7"/>
          <w:sz w:val="13"/>
        </w:rPr>
        <w:t>14</w:t>
      </w:r>
      <w:r>
        <w:rPr>
          <w:spacing w:val="40"/>
          <w:position w:val="7"/>
          <w:sz w:val="13"/>
        </w:rPr>
        <w:t xml:space="preserve"> </w:t>
      </w:r>
      <w:r>
        <w:t>Without an explicit right to a healthy environment, climate and environmental litigation may resort to the right to life as a basis for arguing against environmentally damaging</w:t>
      </w:r>
      <w:r>
        <w:rPr>
          <w:spacing w:val="-5"/>
        </w:rPr>
        <w:t xml:space="preserve"> </w:t>
      </w:r>
      <w:r>
        <w:t>projects.</w:t>
      </w:r>
      <w:r>
        <w:rPr>
          <w:spacing w:val="-4"/>
        </w:rPr>
        <w:t xml:space="preserve"> </w:t>
      </w:r>
      <w:r>
        <w:t>While</w:t>
      </w:r>
      <w:r>
        <w:rPr>
          <w:spacing w:val="-4"/>
        </w:rPr>
        <w:t xml:space="preserve"> </w:t>
      </w:r>
      <w:r>
        <w:t>legitimate,</w:t>
      </w:r>
      <w:r>
        <w:rPr>
          <w:spacing w:val="-4"/>
        </w:rPr>
        <w:t xml:space="preserve"> </w:t>
      </w:r>
      <w:r>
        <w:t>the</w:t>
      </w:r>
      <w:r>
        <w:rPr>
          <w:spacing w:val="-2"/>
        </w:rPr>
        <w:t xml:space="preserve"> </w:t>
      </w:r>
      <w:r>
        <w:t>abstraction</w:t>
      </w:r>
      <w:r>
        <w:rPr>
          <w:spacing w:val="-2"/>
        </w:rPr>
        <w:t xml:space="preserve"> </w:t>
      </w:r>
      <w:r>
        <w:t>required</w:t>
      </w:r>
      <w:r>
        <w:rPr>
          <w:spacing w:val="-2"/>
        </w:rPr>
        <w:t xml:space="preserve"> </w:t>
      </w:r>
      <w:r>
        <w:t>by</w:t>
      </w:r>
      <w:r>
        <w:rPr>
          <w:spacing w:val="-4"/>
        </w:rPr>
        <w:t xml:space="preserve"> </w:t>
      </w:r>
      <w:r>
        <w:t>this</w:t>
      </w:r>
      <w:r>
        <w:rPr>
          <w:spacing w:val="-2"/>
        </w:rPr>
        <w:t xml:space="preserve"> </w:t>
      </w:r>
      <w:r>
        <w:t>argument</w:t>
      </w:r>
      <w:r>
        <w:rPr>
          <w:spacing w:val="-1"/>
        </w:rPr>
        <w:t xml:space="preserve"> </w:t>
      </w:r>
      <w:r>
        <w:t>would</w:t>
      </w:r>
      <w:r>
        <w:rPr>
          <w:spacing w:val="-2"/>
        </w:rPr>
        <w:t xml:space="preserve"> </w:t>
      </w:r>
      <w:r>
        <w:t>be avoided</w:t>
      </w:r>
      <w:r>
        <w:rPr>
          <w:spacing w:val="-2"/>
        </w:rPr>
        <w:t xml:space="preserve"> </w:t>
      </w:r>
      <w:r>
        <w:t>were litigants</w:t>
      </w:r>
      <w:r>
        <w:rPr>
          <w:spacing w:val="25"/>
        </w:rPr>
        <w:t xml:space="preserve"> </w:t>
      </w:r>
      <w:r>
        <w:t>able</w:t>
      </w:r>
      <w:r>
        <w:rPr>
          <w:spacing w:val="21"/>
        </w:rPr>
        <w:t xml:space="preserve"> </w:t>
      </w:r>
      <w:r>
        <w:t>to</w:t>
      </w:r>
      <w:r>
        <w:rPr>
          <w:spacing w:val="23"/>
        </w:rPr>
        <w:t xml:space="preserve"> </w:t>
      </w:r>
      <w:r>
        <w:t>rely</w:t>
      </w:r>
      <w:r>
        <w:rPr>
          <w:spacing w:val="23"/>
        </w:rPr>
        <w:t xml:space="preserve"> </w:t>
      </w:r>
      <w:r>
        <w:t>on</w:t>
      </w:r>
      <w:r>
        <w:rPr>
          <w:spacing w:val="23"/>
        </w:rPr>
        <w:t xml:space="preserve"> </w:t>
      </w:r>
      <w:r>
        <w:t>an</w:t>
      </w:r>
      <w:r>
        <w:rPr>
          <w:spacing w:val="23"/>
        </w:rPr>
        <w:t xml:space="preserve"> </w:t>
      </w:r>
      <w:r>
        <w:t>explicit</w:t>
      </w:r>
      <w:r>
        <w:rPr>
          <w:spacing w:val="23"/>
        </w:rPr>
        <w:t xml:space="preserve"> </w:t>
      </w:r>
      <w:r>
        <w:t>right</w:t>
      </w:r>
      <w:r>
        <w:rPr>
          <w:spacing w:val="24"/>
        </w:rPr>
        <w:t xml:space="preserve"> </w:t>
      </w:r>
      <w:r>
        <w:t>to</w:t>
      </w:r>
      <w:r>
        <w:rPr>
          <w:spacing w:val="23"/>
        </w:rPr>
        <w:t xml:space="preserve"> </w:t>
      </w:r>
      <w:r>
        <w:t>a</w:t>
      </w:r>
      <w:r>
        <w:rPr>
          <w:spacing w:val="23"/>
        </w:rPr>
        <w:t xml:space="preserve"> </w:t>
      </w:r>
      <w:r>
        <w:t>healthy</w:t>
      </w:r>
      <w:r>
        <w:rPr>
          <w:spacing w:val="23"/>
        </w:rPr>
        <w:t xml:space="preserve"> </w:t>
      </w:r>
      <w:r>
        <w:t>environment.</w:t>
      </w:r>
      <w:r>
        <w:rPr>
          <w:spacing w:val="23"/>
        </w:rPr>
        <w:t xml:space="preserve"> </w:t>
      </w:r>
      <w:r>
        <w:t>This</w:t>
      </w:r>
      <w:r>
        <w:rPr>
          <w:spacing w:val="23"/>
        </w:rPr>
        <w:t xml:space="preserve"> </w:t>
      </w:r>
      <w:r>
        <w:t>is</w:t>
      </w:r>
      <w:r>
        <w:rPr>
          <w:spacing w:val="23"/>
        </w:rPr>
        <w:t xml:space="preserve"> </w:t>
      </w:r>
      <w:r>
        <w:t>a</w:t>
      </w:r>
      <w:r>
        <w:rPr>
          <w:spacing w:val="23"/>
        </w:rPr>
        <w:t xml:space="preserve"> </w:t>
      </w:r>
      <w:r>
        <w:t>specific</w:t>
      </w:r>
      <w:r>
        <w:rPr>
          <w:spacing w:val="21"/>
        </w:rPr>
        <w:t xml:space="preserve"> </w:t>
      </w:r>
      <w:r>
        <w:t>right</w:t>
      </w:r>
      <w:r>
        <w:rPr>
          <w:spacing w:val="23"/>
        </w:rPr>
        <w:t xml:space="preserve"> </w:t>
      </w:r>
      <w:r>
        <w:t>that</w:t>
      </w:r>
      <w:r>
        <w:rPr>
          <w:spacing w:val="24"/>
        </w:rPr>
        <w:t xml:space="preserve"> </w:t>
      </w:r>
      <w:r>
        <w:t>was</w:t>
      </w:r>
    </w:p>
    <w:p w14:paraId="7CB25C6E" w14:textId="77777777" w:rsidR="008A4099" w:rsidRDefault="006A6EE2">
      <w:pPr>
        <w:pStyle w:val="BodyText"/>
        <w:spacing w:before="1"/>
        <w:rPr>
          <w:sz w:val="13"/>
        </w:rPr>
      </w:pPr>
      <w:r>
        <w:rPr>
          <w:noProof/>
        </w:rPr>
        <mc:AlternateContent>
          <mc:Choice Requires="wps">
            <w:drawing>
              <wp:anchor distT="0" distB="0" distL="0" distR="0" simplePos="0" relativeHeight="487589376" behindDoc="1" locked="0" layoutInCell="1" allowOverlap="1" wp14:anchorId="7CB265DF" wp14:editId="7CB265E0">
                <wp:simplePos x="0" y="0"/>
                <wp:positionH relativeFrom="page">
                  <wp:posOffset>914704</wp:posOffset>
                </wp:positionH>
                <wp:positionV relativeFrom="paragraph">
                  <wp:posOffset>111368</wp:posOffset>
                </wp:positionV>
                <wp:extent cx="182943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4425F2" id="Graphic 27" o:spid="_x0000_s1026" style="position:absolute;margin-left:1in;margin-top:8.7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" path="m1829054,l,,,7619r1829054,l1829054,xe" fillcolor="black" stroked="f">
                <v:path arrowok="t"/>
                <w10:wrap type="topAndBottom" anchorx="page"/>
              </v:shape>
            </w:pict>
          </mc:Fallback>
        </mc:AlternateContent>
      </w:r>
    </w:p>
    <w:p w14:paraId="7CB25C6F" w14:textId="77777777" w:rsidR="008A4099" w:rsidRDefault="006A6EE2">
      <w:pPr>
        <w:spacing w:before="112"/>
        <w:ind w:left="160"/>
        <w:jc w:val="both"/>
        <w:rPr>
          <w:sz w:val="18"/>
        </w:rPr>
      </w:pPr>
      <w:r>
        <w:rPr>
          <w:sz w:val="18"/>
          <w:vertAlign w:val="superscript"/>
        </w:rPr>
        <w:t>7</w:t>
      </w:r>
      <w:r>
        <w:rPr>
          <w:spacing w:val="-1"/>
          <w:sz w:val="18"/>
        </w:rPr>
        <w:t xml:space="preserve"> </w:t>
      </w:r>
      <w:r>
        <w:rPr>
          <w:sz w:val="18"/>
        </w:rPr>
        <w:t>See</w:t>
      </w:r>
      <w:r>
        <w:rPr>
          <w:spacing w:val="-1"/>
          <w:sz w:val="18"/>
        </w:rPr>
        <w:t xml:space="preserve"> </w:t>
      </w:r>
      <w:r>
        <w:rPr>
          <w:sz w:val="18"/>
        </w:rPr>
        <w:t>Appendix</w:t>
      </w:r>
      <w:r>
        <w:rPr>
          <w:spacing w:val="-1"/>
          <w:sz w:val="18"/>
        </w:rPr>
        <w:t xml:space="preserve"> </w:t>
      </w:r>
      <w:r>
        <w:rPr>
          <w:sz w:val="18"/>
        </w:rPr>
        <w:t>B and</w:t>
      </w:r>
      <w:r>
        <w:rPr>
          <w:spacing w:val="2"/>
          <w:sz w:val="18"/>
        </w:rPr>
        <w:t xml:space="preserve"> </w:t>
      </w:r>
      <w:r>
        <w:rPr>
          <w:sz w:val="18"/>
        </w:rPr>
        <w:t>TLRI</w:t>
      </w:r>
      <w:r>
        <w:rPr>
          <w:spacing w:val="-2"/>
          <w:sz w:val="18"/>
        </w:rPr>
        <w:t xml:space="preserve"> </w:t>
      </w:r>
      <w:r>
        <w:rPr>
          <w:sz w:val="18"/>
        </w:rPr>
        <w:t>2007</w:t>
      </w:r>
      <w:r>
        <w:rPr>
          <w:spacing w:val="-4"/>
          <w:sz w:val="18"/>
        </w:rPr>
        <w:t xml:space="preserve"> </w:t>
      </w:r>
      <w:r>
        <w:rPr>
          <w:sz w:val="18"/>
        </w:rPr>
        <w:t>Final Report, Recommendations</w:t>
      </w:r>
      <w:r>
        <w:rPr>
          <w:spacing w:val="-3"/>
          <w:sz w:val="18"/>
        </w:rPr>
        <w:t xml:space="preserve"> </w:t>
      </w:r>
      <w:r>
        <w:rPr>
          <w:sz w:val="18"/>
        </w:rPr>
        <w:t>9–13</w:t>
      </w:r>
      <w:r>
        <w:rPr>
          <w:spacing w:val="1"/>
          <w:sz w:val="18"/>
        </w:rPr>
        <w:t xml:space="preserve"> </w:t>
      </w:r>
      <w:r>
        <w:rPr>
          <w:sz w:val="18"/>
        </w:rPr>
        <w:t>&amp;</w:t>
      </w:r>
      <w:r>
        <w:rPr>
          <w:spacing w:val="-3"/>
          <w:sz w:val="18"/>
        </w:rPr>
        <w:t xml:space="preserve"> </w:t>
      </w:r>
      <w:r>
        <w:rPr>
          <w:spacing w:val="-5"/>
          <w:sz w:val="18"/>
        </w:rPr>
        <w:t>15.</w:t>
      </w:r>
    </w:p>
    <w:p w14:paraId="7CB25C70" w14:textId="77777777" w:rsidR="008A4099" w:rsidRDefault="006A6EE2">
      <w:pPr>
        <w:spacing w:before="24"/>
        <w:ind w:left="160"/>
        <w:jc w:val="both"/>
        <w:rPr>
          <w:sz w:val="18"/>
        </w:rPr>
      </w:pPr>
      <w:r>
        <w:rPr>
          <w:sz w:val="18"/>
          <w:vertAlign w:val="superscript"/>
        </w:rPr>
        <w:t>8</w:t>
      </w:r>
      <w:r>
        <w:rPr>
          <w:spacing w:val="-1"/>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(Healthy</w:t>
      </w:r>
      <w:r>
        <w:rPr>
          <w:i/>
          <w:spacing w:val="-2"/>
          <w:sz w:val="18"/>
        </w:rPr>
        <w:t xml:space="preserve"> </w:t>
      </w:r>
      <w:r>
        <w:rPr>
          <w:i/>
          <w:sz w:val="18"/>
        </w:rPr>
        <w:t>Environment)</w:t>
      </w:r>
      <w:r>
        <w:rPr>
          <w:i/>
          <w:spacing w:val="-1"/>
          <w:sz w:val="18"/>
        </w:rPr>
        <w:t xml:space="preserve"> </w:t>
      </w:r>
      <w:r>
        <w:rPr>
          <w:i/>
          <w:sz w:val="18"/>
        </w:rPr>
        <w:t>Amendment</w:t>
      </w:r>
      <w:r>
        <w:rPr>
          <w:i/>
          <w:spacing w:val="-3"/>
          <w:sz w:val="18"/>
        </w:rPr>
        <w:t xml:space="preserve"> </w:t>
      </w:r>
      <w:r>
        <w:rPr>
          <w:i/>
          <w:sz w:val="18"/>
        </w:rPr>
        <w:t>Act 2023</w:t>
      </w:r>
      <w:r>
        <w:rPr>
          <w:i/>
          <w:spacing w:val="4"/>
          <w:sz w:val="18"/>
        </w:rPr>
        <w:t xml:space="preserve"> </w:t>
      </w:r>
      <w:r>
        <w:rPr>
          <w:spacing w:val="-2"/>
          <w:sz w:val="18"/>
        </w:rPr>
        <w:t>(ACT).</w:t>
      </w:r>
    </w:p>
    <w:p w14:paraId="7CB25C71" w14:textId="77777777" w:rsidR="008A4099" w:rsidRDefault="006A6EE2">
      <w:pPr>
        <w:spacing w:before="24"/>
        <w:ind w:left="160" w:right="673"/>
        <w:jc w:val="both"/>
        <w:rPr>
          <w:sz w:val="18"/>
        </w:rPr>
      </w:pPr>
      <w:r>
        <w:rPr>
          <w:sz w:val="18"/>
          <w:vertAlign w:val="superscript"/>
        </w:rPr>
        <w:t>9</w:t>
      </w:r>
      <w:r>
        <w:rPr>
          <w:spacing w:val="-3"/>
          <w:sz w:val="18"/>
        </w:rPr>
        <w:t xml:space="preserve"> </w:t>
      </w:r>
      <w:r>
        <w:rPr>
          <w:sz w:val="18"/>
        </w:rPr>
        <w:t>Michael</w:t>
      </w:r>
      <w:r>
        <w:rPr>
          <w:spacing w:val="-3"/>
          <w:sz w:val="18"/>
        </w:rPr>
        <w:t xml:space="preserve"> </w:t>
      </w:r>
      <w:r>
        <w:rPr>
          <w:sz w:val="18"/>
        </w:rPr>
        <w:t>Brett</w:t>
      </w:r>
      <w:r>
        <w:rPr>
          <w:spacing w:val="-3"/>
          <w:sz w:val="18"/>
        </w:rPr>
        <w:t xml:space="preserve"> </w:t>
      </w:r>
      <w:r>
        <w:rPr>
          <w:sz w:val="18"/>
        </w:rPr>
        <w:t>Young,</w:t>
      </w:r>
      <w:r>
        <w:rPr>
          <w:spacing w:val="-2"/>
          <w:sz w:val="18"/>
        </w:rPr>
        <w:t xml:space="preserve"> </w:t>
      </w:r>
      <w:r>
        <w:rPr>
          <w:i/>
          <w:sz w:val="18"/>
        </w:rPr>
        <w:t>From</w:t>
      </w:r>
      <w:r>
        <w:rPr>
          <w:i/>
          <w:spacing w:val="-4"/>
          <w:sz w:val="18"/>
        </w:rPr>
        <w:t xml:space="preserve"> </w:t>
      </w:r>
      <w:r>
        <w:rPr>
          <w:i/>
          <w:sz w:val="18"/>
        </w:rPr>
        <w:t>Commitment</w:t>
      </w:r>
      <w:r>
        <w:rPr>
          <w:i/>
          <w:spacing w:val="-3"/>
          <w:sz w:val="18"/>
        </w:rPr>
        <w:t xml:space="preserve"> </w:t>
      </w:r>
      <w:r>
        <w:rPr>
          <w:i/>
          <w:sz w:val="18"/>
        </w:rPr>
        <w:t>to</w:t>
      </w:r>
      <w:r>
        <w:rPr>
          <w:i/>
          <w:spacing w:val="-2"/>
          <w:sz w:val="18"/>
        </w:rPr>
        <w:t xml:space="preserve"> </w:t>
      </w:r>
      <w:r>
        <w:rPr>
          <w:i/>
          <w:sz w:val="18"/>
        </w:rPr>
        <w:t>Culture:</w:t>
      </w:r>
      <w:r>
        <w:rPr>
          <w:i/>
          <w:spacing w:val="-3"/>
          <w:sz w:val="18"/>
        </w:rPr>
        <w:t xml:space="preserve"> </w:t>
      </w:r>
      <w:r>
        <w:rPr>
          <w:i/>
          <w:sz w:val="18"/>
        </w:rPr>
        <w:t>The</w:t>
      </w:r>
      <w:r>
        <w:rPr>
          <w:i/>
          <w:spacing w:val="-4"/>
          <w:sz w:val="18"/>
        </w:rPr>
        <w:t xml:space="preserve"> </w:t>
      </w:r>
      <w:r>
        <w:rPr>
          <w:i/>
          <w:sz w:val="18"/>
        </w:rPr>
        <w:t>2015</w:t>
      </w:r>
      <w:r>
        <w:rPr>
          <w:i/>
          <w:spacing w:val="-2"/>
          <w:sz w:val="18"/>
        </w:rPr>
        <w:t xml:space="preserve"> </w:t>
      </w:r>
      <w:r>
        <w:rPr>
          <w:i/>
          <w:sz w:val="18"/>
        </w:rPr>
        <w:t>Review</w:t>
      </w:r>
      <w:r>
        <w:rPr>
          <w:i/>
          <w:spacing w:val="-4"/>
          <w:sz w:val="18"/>
        </w:rPr>
        <w:t xml:space="preserve"> </w:t>
      </w:r>
      <w:r>
        <w:rPr>
          <w:i/>
          <w:sz w:val="18"/>
        </w:rPr>
        <w:t>of</w:t>
      </w:r>
      <w:r>
        <w:rPr>
          <w:i/>
          <w:spacing w:val="-3"/>
          <w:sz w:val="18"/>
        </w:rPr>
        <w:t xml:space="preserve"> </w:t>
      </w:r>
      <w:r>
        <w:rPr>
          <w:i/>
          <w:sz w:val="18"/>
        </w:rPr>
        <w:t>the</w:t>
      </w:r>
      <w:r>
        <w:rPr>
          <w:i/>
          <w:spacing w:val="-4"/>
          <w:sz w:val="18"/>
        </w:rPr>
        <w:t xml:space="preserve"> </w:t>
      </w:r>
      <w:r>
        <w:rPr>
          <w:i/>
          <w:sz w:val="18"/>
        </w:rPr>
        <w:t>Charter</w:t>
      </w:r>
      <w:r>
        <w:rPr>
          <w:i/>
          <w:spacing w:val="-4"/>
          <w:sz w:val="18"/>
        </w:rPr>
        <w:t xml:space="preserve"> </w:t>
      </w:r>
      <w:r>
        <w:rPr>
          <w:i/>
          <w:sz w:val="18"/>
        </w:rPr>
        <w:t>of</w:t>
      </w:r>
      <w:r>
        <w:rPr>
          <w:i/>
          <w:spacing w:val="-3"/>
          <w:sz w:val="18"/>
        </w:rPr>
        <w:t xml:space="preserve"> </w:t>
      </w:r>
      <w:r>
        <w:rPr>
          <w:i/>
          <w:sz w:val="18"/>
        </w:rPr>
        <w:t>Human</w:t>
      </w:r>
      <w:r>
        <w:rPr>
          <w:i/>
          <w:spacing w:val="-2"/>
          <w:sz w:val="18"/>
        </w:rPr>
        <w:t xml:space="preserve"> </w:t>
      </w:r>
      <w:r>
        <w:rPr>
          <w:i/>
          <w:sz w:val="18"/>
        </w:rPr>
        <w:t>Rights</w:t>
      </w:r>
      <w:r>
        <w:rPr>
          <w:i/>
          <w:spacing w:val="-3"/>
          <w:sz w:val="18"/>
        </w:rPr>
        <w:t xml:space="preserve"> </w:t>
      </w:r>
      <w:r>
        <w:rPr>
          <w:i/>
          <w:sz w:val="18"/>
        </w:rPr>
        <w:t>and</w:t>
      </w:r>
      <w:r>
        <w:rPr>
          <w:i/>
          <w:spacing w:val="-2"/>
          <w:sz w:val="18"/>
        </w:rPr>
        <w:t xml:space="preserve"> </w:t>
      </w:r>
      <w:r>
        <w:rPr>
          <w:i/>
          <w:sz w:val="18"/>
        </w:rPr>
        <w:t xml:space="preserve">Responsibilities Act 2006 </w:t>
      </w:r>
      <w:r>
        <w:rPr>
          <w:sz w:val="18"/>
        </w:rPr>
        <w:t xml:space="preserve">(Report, 2016) 225 &lt;https://files.justice.vic.gov.au/2021-06/report_final_charter_review_2015.pdf&gt;. Brett Young was appointed by the Attorney-General, the Hon Martin Pakula MP, as the independent reviewer to conduct the eight-year review of the </w:t>
      </w:r>
      <w:r>
        <w:rPr>
          <w:i/>
          <w:sz w:val="18"/>
        </w:rPr>
        <w:t xml:space="preserve">Charter of Human Rights and Responsibilities 2006 </w:t>
      </w:r>
      <w:r>
        <w:rPr>
          <w:sz w:val="18"/>
        </w:rPr>
        <w:t>(Vic) in March 2015.</w:t>
      </w:r>
    </w:p>
    <w:p w14:paraId="7CB25C72" w14:textId="77777777" w:rsidR="008A4099" w:rsidRDefault="006A6EE2">
      <w:pPr>
        <w:spacing w:before="22" w:line="242" w:lineRule="auto"/>
        <w:ind w:left="160" w:right="674"/>
        <w:jc w:val="both"/>
        <w:rPr>
          <w:sz w:val="18"/>
        </w:rPr>
      </w:pPr>
      <w:r>
        <w:rPr>
          <w:sz w:val="18"/>
          <w:vertAlign w:val="superscript"/>
        </w:rPr>
        <w:t>10</w:t>
      </w:r>
      <w:r>
        <w:rPr>
          <w:sz w:val="18"/>
        </w:rPr>
        <w:t xml:space="preserve"> Including, but not limited to, rights under the </w:t>
      </w:r>
      <w:r>
        <w:rPr>
          <w:i/>
          <w:sz w:val="18"/>
        </w:rPr>
        <w:t>International Covenant on Economic, Social and Cultural Rights</w:t>
      </w:r>
      <w:r>
        <w:rPr>
          <w:sz w:val="18"/>
        </w:rPr>
        <w:t xml:space="preserve">, the </w:t>
      </w:r>
      <w:r>
        <w:rPr>
          <w:i/>
          <w:sz w:val="18"/>
        </w:rPr>
        <w:t>Convention on the Rights of the Child</w:t>
      </w:r>
      <w:r>
        <w:rPr>
          <w:sz w:val="18"/>
        </w:rPr>
        <w:t xml:space="preserve">, the </w:t>
      </w:r>
      <w:r>
        <w:rPr>
          <w:i/>
          <w:sz w:val="18"/>
        </w:rPr>
        <w:t>Convention on the Rights of Persons with Disabilities</w:t>
      </w:r>
      <w:r>
        <w:rPr>
          <w:sz w:val="18"/>
        </w:rPr>
        <w:t xml:space="preserve">, and the </w:t>
      </w:r>
      <w:r>
        <w:rPr>
          <w:i/>
          <w:sz w:val="18"/>
        </w:rPr>
        <w:t xml:space="preserve">Convention on the Elimination of All Forms of Discrimination against Women </w:t>
      </w:r>
      <w:r>
        <w:rPr>
          <w:sz w:val="18"/>
        </w:rPr>
        <w:t xml:space="preserve">– </w:t>
      </w:r>
      <w:r>
        <w:rPr>
          <w:i/>
          <w:sz w:val="18"/>
        </w:rPr>
        <w:t xml:space="preserve">Human Rights Act 2019 </w:t>
      </w:r>
      <w:r>
        <w:rPr>
          <w:sz w:val="18"/>
        </w:rPr>
        <w:t>(Qld) s 95(4)(a).</w:t>
      </w:r>
    </w:p>
    <w:p w14:paraId="7CB25C73" w14:textId="77777777" w:rsidR="008A4099" w:rsidRDefault="006A6EE2">
      <w:pPr>
        <w:spacing w:before="18" w:line="244" w:lineRule="auto"/>
        <w:ind w:left="160" w:right="673"/>
        <w:rPr>
          <w:sz w:val="18"/>
        </w:rPr>
      </w:pPr>
      <w:r>
        <w:rPr>
          <w:sz w:val="18"/>
          <w:vertAlign w:val="superscript"/>
        </w:rPr>
        <w:t>11</w:t>
      </w:r>
      <w:r>
        <w:rPr>
          <w:spacing w:val="-1"/>
          <w:sz w:val="18"/>
        </w:rPr>
        <w:t xml:space="preserve"> </w:t>
      </w:r>
      <w:r>
        <w:rPr>
          <w:sz w:val="18"/>
        </w:rPr>
        <w:t>Parliament</w:t>
      </w:r>
      <w:r>
        <w:rPr>
          <w:spacing w:val="74"/>
          <w:sz w:val="18"/>
        </w:rPr>
        <w:t xml:space="preserve"> </w:t>
      </w:r>
      <w:r>
        <w:rPr>
          <w:sz w:val="18"/>
        </w:rPr>
        <w:t>of</w:t>
      </w:r>
      <w:r>
        <w:rPr>
          <w:spacing w:val="73"/>
          <w:sz w:val="18"/>
        </w:rPr>
        <w:t xml:space="preserve"> </w:t>
      </w:r>
      <w:r>
        <w:rPr>
          <w:sz w:val="18"/>
        </w:rPr>
        <w:t>Victoria,</w:t>
      </w:r>
      <w:r>
        <w:rPr>
          <w:spacing w:val="73"/>
          <w:sz w:val="18"/>
        </w:rPr>
        <w:t xml:space="preserve"> </w:t>
      </w:r>
      <w:r>
        <w:rPr>
          <w:sz w:val="18"/>
        </w:rPr>
        <w:t>Legislative</w:t>
      </w:r>
      <w:r>
        <w:rPr>
          <w:spacing w:val="73"/>
          <w:sz w:val="18"/>
        </w:rPr>
        <w:t xml:space="preserve"> </w:t>
      </w:r>
      <w:r>
        <w:rPr>
          <w:sz w:val="18"/>
        </w:rPr>
        <w:t>Council</w:t>
      </w:r>
      <w:r>
        <w:rPr>
          <w:spacing w:val="74"/>
          <w:sz w:val="18"/>
        </w:rPr>
        <w:t xml:space="preserve"> </w:t>
      </w:r>
      <w:r>
        <w:rPr>
          <w:sz w:val="18"/>
        </w:rPr>
        <w:t>Legal</w:t>
      </w:r>
      <w:r>
        <w:rPr>
          <w:spacing w:val="73"/>
          <w:sz w:val="18"/>
        </w:rPr>
        <w:t xml:space="preserve"> </w:t>
      </w:r>
      <w:r>
        <w:rPr>
          <w:sz w:val="18"/>
        </w:rPr>
        <w:t>and</w:t>
      </w:r>
      <w:r>
        <w:rPr>
          <w:spacing w:val="71"/>
          <w:sz w:val="18"/>
        </w:rPr>
        <w:t xml:space="preserve"> </w:t>
      </w:r>
      <w:r>
        <w:rPr>
          <w:sz w:val="18"/>
        </w:rPr>
        <w:t>Social</w:t>
      </w:r>
      <w:r>
        <w:rPr>
          <w:spacing w:val="74"/>
          <w:sz w:val="18"/>
        </w:rPr>
        <w:t xml:space="preserve"> </w:t>
      </w:r>
      <w:r>
        <w:rPr>
          <w:sz w:val="18"/>
        </w:rPr>
        <w:t>Issues</w:t>
      </w:r>
      <w:r>
        <w:rPr>
          <w:spacing w:val="72"/>
          <w:sz w:val="18"/>
        </w:rPr>
        <w:t xml:space="preserve"> </w:t>
      </w:r>
      <w:r>
        <w:rPr>
          <w:sz w:val="18"/>
        </w:rPr>
        <w:t>Committee,</w:t>
      </w:r>
      <w:r>
        <w:rPr>
          <w:spacing w:val="74"/>
          <w:sz w:val="18"/>
        </w:rPr>
        <w:t xml:space="preserve"> </w:t>
      </w:r>
      <w:r>
        <w:rPr>
          <w:i/>
          <w:sz w:val="18"/>
        </w:rPr>
        <w:t>Inquiry</w:t>
      </w:r>
      <w:r>
        <w:rPr>
          <w:i/>
          <w:spacing w:val="70"/>
          <w:sz w:val="18"/>
        </w:rPr>
        <w:t xml:space="preserve"> </w:t>
      </w:r>
      <w:r>
        <w:rPr>
          <w:i/>
          <w:sz w:val="18"/>
        </w:rPr>
        <w:t>into</w:t>
      </w:r>
      <w:r>
        <w:rPr>
          <w:i/>
          <w:spacing w:val="72"/>
          <w:sz w:val="18"/>
        </w:rPr>
        <w:t xml:space="preserve"> </w:t>
      </w:r>
      <w:r>
        <w:rPr>
          <w:i/>
          <w:sz w:val="18"/>
        </w:rPr>
        <w:t>Homelessness</w:t>
      </w:r>
      <w:r>
        <w:rPr>
          <w:i/>
          <w:spacing w:val="72"/>
          <w:sz w:val="18"/>
        </w:rPr>
        <w:t xml:space="preserve"> </w:t>
      </w:r>
      <w:r>
        <w:rPr>
          <w:i/>
          <w:sz w:val="18"/>
        </w:rPr>
        <w:t xml:space="preserve">in Victoria </w:t>
      </w:r>
      <w:r>
        <w:rPr>
          <w:sz w:val="18"/>
        </w:rPr>
        <w:t>(4 March 2021) Recommendation 34.</w:t>
      </w:r>
    </w:p>
    <w:p w14:paraId="7CB25C74" w14:textId="77777777" w:rsidR="008A4099" w:rsidRDefault="006A6EE2">
      <w:pPr>
        <w:spacing w:before="15" w:line="244" w:lineRule="auto"/>
        <w:ind w:left="160" w:right="680"/>
        <w:rPr>
          <w:sz w:val="18"/>
        </w:rPr>
      </w:pPr>
      <w:r>
        <w:rPr>
          <w:sz w:val="18"/>
          <w:vertAlign w:val="superscript"/>
        </w:rPr>
        <w:t>12</w:t>
      </w:r>
      <w:r>
        <w:rPr>
          <w:spacing w:val="-2"/>
          <w:sz w:val="18"/>
        </w:rPr>
        <w:t xml:space="preserve"> </w:t>
      </w:r>
      <w:r>
        <w:rPr>
          <w:sz w:val="18"/>
        </w:rPr>
        <w:t>United</w:t>
      </w:r>
      <w:r>
        <w:rPr>
          <w:spacing w:val="-6"/>
          <w:sz w:val="18"/>
        </w:rPr>
        <w:t xml:space="preserve"> </w:t>
      </w:r>
      <w:r>
        <w:rPr>
          <w:sz w:val="18"/>
        </w:rPr>
        <w:t>Nations</w:t>
      </w:r>
      <w:r>
        <w:rPr>
          <w:spacing w:val="-5"/>
          <w:sz w:val="18"/>
        </w:rPr>
        <w:t xml:space="preserve"> </w:t>
      </w:r>
      <w:r>
        <w:rPr>
          <w:sz w:val="18"/>
        </w:rPr>
        <w:t>General</w:t>
      </w:r>
      <w:r>
        <w:rPr>
          <w:spacing w:val="-4"/>
          <w:sz w:val="18"/>
        </w:rPr>
        <w:t xml:space="preserve"> </w:t>
      </w:r>
      <w:r>
        <w:rPr>
          <w:sz w:val="18"/>
        </w:rPr>
        <w:t>Assembly</w:t>
      </w:r>
      <w:r>
        <w:rPr>
          <w:spacing w:val="-3"/>
          <w:sz w:val="18"/>
        </w:rPr>
        <w:t xml:space="preserve"> </w:t>
      </w:r>
      <w:r>
        <w:rPr>
          <w:sz w:val="18"/>
        </w:rPr>
        <w:t>Resolution</w:t>
      </w:r>
      <w:r>
        <w:rPr>
          <w:spacing w:val="-6"/>
          <w:sz w:val="18"/>
        </w:rPr>
        <w:t xml:space="preserve"> </w:t>
      </w:r>
      <w:r>
        <w:rPr>
          <w:sz w:val="18"/>
        </w:rPr>
        <w:t>A/76,</w:t>
      </w:r>
      <w:r>
        <w:rPr>
          <w:spacing w:val="-6"/>
          <w:sz w:val="18"/>
        </w:rPr>
        <w:t xml:space="preserve"> </w:t>
      </w:r>
      <w:r>
        <w:rPr>
          <w:sz w:val="18"/>
        </w:rPr>
        <w:t>26</w:t>
      </w:r>
      <w:r>
        <w:rPr>
          <w:spacing w:val="-6"/>
          <w:sz w:val="18"/>
        </w:rPr>
        <w:t xml:space="preserve"> </w:t>
      </w:r>
      <w:r>
        <w:rPr>
          <w:sz w:val="18"/>
        </w:rPr>
        <w:t>July</w:t>
      </w:r>
      <w:r>
        <w:rPr>
          <w:spacing w:val="-6"/>
          <w:sz w:val="18"/>
        </w:rPr>
        <w:t xml:space="preserve"> </w:t>
      </w:r>
      <w:r>
        <w:rPr>
          <w:sz w:val="18"/>
        </w:rPr>
        <w:t>2022.</w:t>
      </w:r>
      <w:r>
        <w:rPr>
          <w:spacing w:val="-8"/>
          <w:sz w:val="18"/>
        </w:rPr>
        <w:t xml:space="preserve"> </w:t>
      </w:r>
      <w:r>
        <w:rPr>
          <w:sz w:val="18"/>
        </w:rPr>
        <w:t>The</w:t>
      </w:r>
      <w:r>
        <w:rPr>
          <w:spacing w:val="-5"/>
          <w:sz w:val="18"/>
        </w:rPr>
        <w:t xml:space="preserve"> </w:t>
      </w:r>
      <w:r>
        <w:rPr>
          <w:sz w:val="18"/>
        </w:rPr>
        <w:t>Resolution</w:t>
      </w:r>
      <w:r>
        <w:rPr>
          <w:spacing w:val="-6"/>
          <w:sz w:val="18"/>
        </w:rPr>
        <w:t xml:space="preserve"> </w:t>
      </w:r>
      <w:r>
        <w:rPr>
          <w:sz w:val="18"/>
        </w:rPr>
        <w:t>effectively</w:t>
      </w:r>
      <w:r>
        <w:rPr>
          <w:spacing w:val="-5"/>
          <w:sz w:val="18"/>
        </w:rPr>
        <w:t xml:space="preserve"> </w:t>
      </w:r>
      <w:r>
        <w:rPr>
          <w:sz w:val="18"/>
        </w:rPr>
        <w:t>endorsed</w:t>
      </w:r>
      <w:r>
        <w:rPr>
          <w:spacing w:val="-3"/>
          <w:sz w:val="18"/>
        </w:rPr>
        <w:t xml:space="preserve"> </w:t>
      </w:r>
      <w:r>
        <w:rPr>
          <w:sz w:val="18"/>
        </w:rPr>
        <w:t>Resolution</w:t>
      </w:r>
      <w:r>
        <w:rPr>
          <w:spacing w:val="-6"/>
          <w:sz w:val="18"/>
        </w:rPr>
        <w:t xml:space="preserve"> </w:t>
      </w:r>
      <w:r>
        <w:rPr>
          <w:sz w:val="18"/>
        </w:rPr>
        <w:t>48/13</w:t>
      </w:r>
      <w:r>
        <w:rPr>
          <w:spacing w:val="-6"/>
          <w:sz w:val="18"/>
        </w:rPr>
        <w:t xml:space="preserve"> </w:t>
      </w:r>
      <w:r>
        <w:rPr>
          <w:sz w:val="18"/>
        </w:rPr>
        <w:t>of the United Nations Human Rights Council, Forty-eighth Session, 8 October 2021.</w:t>
      </w:r>
    </w:p>
    <w:p w14:paraId="7CB25C75" w14:textId="77777777" w:rsidR="008A4099" w:rsidRDefault="006A6EE2">
      <w:pPr>
        <w:spacing w:before="14"/>
        <w:ind w:left="160"/>
        <w:rPr>
          <w:sz w:val="18"/>
        </w:rPr>
      </w:pPr>
      <w:r>
        <w:rPr>
          <w:sz w:val="18"/>
          <w:vertAlign w:val="superscript"/>
        </w:rPr>
        <w:t>13</w:t>
      </w:r>
      <w:r>
        <w:rPr>
          <w:spacing w:val="-1"/>
          <w:sz w:val="18"/>
        </w:rPr>
        <w:t xml:space="preserve"> </w:t>
      </w:r>
      <w:r>
        <w:rPr>
          <w:sz w:val="18"/>
        </w:rPr>
        <w:t>See</w:t>
      </w:r>
      <w:r>
        <w:rPr>
          <w:spacing w:val="-1"/>
          <w:sz w:val="18"/>
        </w:rPr>
        <w:t xml:space="preserve"> </w:t>
      </w:r>
      <w:r>
        <w:rPr>
          <w:i/>
          <w:sz w:val="18"/>
        </w:rPr>
        <w:t>Human</w:t>
      </w:r>
      <w:r>
        <w:rPr>
          <w:i/>
          <w:spacing w:val="-1"/>
          <w:sz w:val="18"/>
        </w:rPr>
        <w:t xml:space="preserve"> </w:t>
      </w:r>
      <w:r>
        <w:rPr>
          <w:i/>
          <w:sz w:val="18"/>
        </w:rPr>
        <w:t>Rights</w:t>
      </w:r>
      <w:r>
        <w:rPr>
          <w:i/>
          <w:spacing w:val="-1"/>
          <w:sz w:val="18"/>
        </w:rPr>
        <w:t xml:space="preserve"> </w:t>
      </w:r>
      <w:r>
        <w:rPr>
          <w:i/>
          <w:sz w:val="18"/>
        </w:rPr>
        <w:t>(Healthy</w:t>
      </w:r>
      <w:r>
        <w:rPr>
          <w:i/>
          <w:spacing w:val="-2"/>
          <w:sz w:val="18"/>
        </w:rPr>
        <w:t xml:space="preserve"> </w:t>
      </w:r>
      <w:r>
        <w:rPr>
          <w:i/>
          <w:sz w:val="18"/>
        </w:rPr>
        <w:t>Environment) Amendment</w:t>
      </w:r>
      <w:r>
        <w:rPr>
          <w:i/>
          <w:spacing w:val="-3"/>
          <w:sz w:val="18"/>
        </w:rPr>
        <w:t xml:space="preserve"> </w:t>
      </w:r>
      <w:r>
        <w:rPr>
          <w:i/>
          <w:sz w:val="18"/>
        </w:rPr>
        <w:t>Act 2023</w:t>
      </w:r>
      <w:r>
        <w:rPr>
          <w:i/>
          <w:spacing w:val="5"/>
          <w:sz w:val="18"/>
        </w:rPr>
        <w:t xml:space="preserve"> </w:t>
      </w:r>
      <w:r>
        <w:rPr>
          <w:spacing w:val="-2"/>
          <w:sz w:val="18"/>
        </w:rPr>
        <w:t>(ACT).</w:t>
      </w:r>
    </w:p>
    <w:p w14:paraId="7CB25C76" w14:textId="77777777" w:rsidR="008A4099" w:rsidRDefault="006A6EE2">
      <w:pPr>
        <w:spacing w:before="23"/>
        <w:ind w:left="160"/>
        <w:rPr>
          <w:i/>
          <w:sz w:val="18"/>
        </w:rPr>
      </w:pPr>
      <w:r>
        <w:rPr>
          <w:sz w:val="18"/>
          <w:vertAlign w:val="superscript"/>
        </w:rPr>
        <w:t>14</w:t>
      </w:r>
      <w:r>
        <w:rPr>
          <w:spacing w:val="21"/>
          <w:sz w:val="18"/>
        </w:rPr>
        <w:t xml:space="preserve"> </w:t>
      </w:r>
      <w:r>
        <w:rPr>
          <w:sz w:val="18"/>
        </w:rPr>
        <w:t>Australian</w:t>
      </w:r>
      <w:r>
        <w:rPr>
          <w:spacing w:val="19"/>
          <w:sz w:val="18"/>
        </w:rPr>
        <w:t xml:space="preserve"> </w:t>
      </w:r>
      <w:r>
        <w:rPr>
          <w:sz w:val="18"/>
        </w:rPr>
        <w:t>Human</w:t>
      </w:r>
      <w:r>
        <w:rPr>
          <w:spacing w:val="19"/>
          <w:sz w:val="18"/>
        </w:rPr>
        <w:t xml:space="preserve"> </w:t>
      </w:r>
      <w:r>
        <w:rPr>
          <w:sz w:val="18"/>
        </w:rPr>
        <w:t>Rights</w:t>
      </w:r>
      <w:r>
        <w:rPr>
          <w:spacing w:val="18"/>
          <w:sz w:val="18"/>
        </w:rPr>
        <w:t xml:space="preserve"> </w:t>
      </w:r>
      <w:r>
        <w:rPr>
          <w:sz w:val="18"/>
        </w:rPr>
        <w:t>Commission</w:t>
      </w:r>
      <w:r>
        <w:rPr>
          <w:spacing w:val="23"/>
          <w:sz w:val="18"/>
        </w:rPr>
        <w:t xml:space="preserve"> </w:t>
      </w:r>
      <w:r>
        <w:rPr>
          <w:sz w:val="18"/>
        </w:rPr>
        <w:t>(‘AHRC’),</w:t>
      </w:r>
      <w:r>
        <w:rPr>
          <w:spacing w:val="22"/>
          <w:sz w:val="18"/>
        </w:rPr>
        <w:t xml:space="preserve"> </w:t>
      </w:r>
      <w:r>
        <w:rPr>
          <w:i/>
          <w:sz w:val="18"/>
        </w:rPr>
        <w:t>Free</w:t>
      </w:r>
      <w:r>
        <w:rPr>
          <w:i/>
          <w:spacing w:val="17"/>
          <w:sz w:val="18"/>
        </w:rPr>
        <w:t xml:space="preserve"> </w:t>
      </w:r>
      <w:r>
        <w:rPr>
          <w:i/>
          <w:sz w:val="18"/>
        </w:rPr>
        <w:t>and</w:t>
      </w:r>
      <w:r>
        <w:rPr>
          <w:i/>
          <w:spacing w:val="19"/>
          <w:sz w:val="18"/>
        </w:rPr>
        <w:t xml:space="preserve"> </w:t>
      </w:r>
      <w:r>
        <w:rPr>
          <w:i/>
          <w:sz w:val="18"/>
        </w:rPr>
        <w:t>Equal:</w:t>
      </w:r>
      <w:r>
        <w:rPr>
          <w:i/>
          <w:spacing w:val="18"/>
          <w:sz w:val="18"/>
        </w:rPr>
        <w:t xml:space="preserve"> </w:t>
      </w:r>
      <w:r>
        <w:rPr>
          <w:i/>
          <w:sz w:val="18"/>
        </w:rPr>
        <w:t>Position</w:t>
      </w:r>
      <w:r>
        <w:rPr>
          <w:i/>
          <w:spacing w:val="20"/>
          <w:sz w:val="18"/>
        </w:rPr>
        <w:t xml:space="preserve"> </w:t>
      </w:r>
      <w:r>
        <w:rPr>
          <w:i/>
          <w:sz w:val="18"/>
        </w:rPr>
        <w:t>Paper.</w:t>
      </w:r>
      <w:r>
        <w:rPr>
          <w:i/>
          <w:spacing w:val="18"/>
          <w:sz w:val="18"/>
        </w:rPr>
        <w:t xml:space="preserve"> </w:t>
      </w:r>
      <w:r>
        <w:rPr>
          <w:i/>
          <w:sz w:val="18"/>
        </w:rPr>
        <w:t>A</w:t>
      </w:r>
      <w:r>
        <w:rPr>
          <w:i/>
          <w:spacing w:val="21"/>
          <w:sz w:val="18"/>
        </w:rPr>
        <w:t xml:space="preserve"> </w:t>
      </w:r>
      <w:r>
        <w:rPr>
          <w:i/>
          <w:sz w:val="18"/>
        </w:rPr>
        <w:t>Human</w:t>
      </w:r>
      <w:r>
        <w:rPr>
          <w:i/>
          <w:spacing w:val="19"/>
          <w:sz w:val="18"/>
        </w:rPr>
        <w:t xml:space="preserve"> </w:t>
      </w:r>
      <w:r>
        <w:rPr>
          <w:i/>
          <w:sz w:val="18"/>
        </w:rPr>
        <w:t>Rights</w:t>
      </w:r>
      <w:r>
        <w:rPr>
          <w:i/>
          <w:spacing w:val="18"/>
          <w:sz w:val="18"/>
        </w:rPr>
        <w:t xml:space="preserve"> </w:t>
      </w:r>
      <w:r>
        <w:rPr>
          <w:i/>
          <w:sz w:val="18"/>
        </w:rPr>
        <w:t>Act</w:t>
      </w:r>
      <w:r>
        <w:rPr>
          <w:i/>
          <w:spacing w:val="19"/>
          <w:sz w:val="18"/>
        </w:rPr>
        <w:t xml:space="preserve"> </w:t>
      </w:r>
      <w:r>
        <w:rPr>
          <w:i/>
          <w:sz w:val="18"/>
        </w:rPr>
        <w:t>for</w:t>
      </w:r>
      <w:r>
        <w:rPr>
          <w:i/>
          <w:spacing w:val="18"/>
          <w:sz w:val="18"/>
        </w:rPr>
        <w:t xml:space="preserve"> </w:t>
      </w:r>
      <w:r>
        <w:rPr>
          <w:i/>
          <w:spacing w:val="-2"/>
          <w:sz w:val="18"/>
        </w:rPr>
        <w:t>Australia</w:t>
      </w:r>
    </w:p>
    <w:p w14:paraId="7CB25C77" w14:textId="77777777" w:rsidR="008A4099" w:rsidRDefault="006A6EE2">
      <w:pPr>
        <w:spacing w:before="5"/>
        <w:ind w:left="160"/>
        <w:rPr>
          <w:sz w:val="18"/>
        </w:rPr>
      </w:pPr>
      <w:r>
        <w:rPr>
          <w:sz w:val="18"/>
        </w:rPr>
        <w:t>(Report,</w:t>
      </w:r>
      <w:r>
        <w:rPr>
          <w:spacing w:val="-4"/>
          <w:sz w:val="18"/>
        </w:rPr>
        <w:t xml:space="preserve"> </w:t>
      </w:r>
      <w:r>
        <w:rPr>
          <w:sz w:val="18"/>
        </w:rPr>
        <w:t>2022)</w:t>
      </w:r>
      <w:r>
        <w:rPr>
          <w:spacing w:val="-5"/>
          <w:sz w:val="18"/>
        </w:rPr>
        <w:t xml:space="preserve"> </w:t>
      </w:r>
      <w:r>
        <w:rPr>
          <w:sz w:val="18"/>
        </w:rPr>
        <w:t>115</w:t>
      </w:r>
      <w:r>
        <w:rPr>
          <w:spacing w:val="-2"/>
          <w:sz w:val="18"/>
        </w:rPr>
        <w:t xml:space="preserve"> </w:t>
      </w:r>
      <w:r>
        <w:rPr>
          <w:sz w:val="18"/>
        </w:rPr>
        <w:t>&lt;https://humanrights.gov.au/human-rights-act-for-</w:t>
      </w:r>
      <w:r>
        <w:rPr>
          <w:spacing w:val="-2"/>
          <w:sz w:val="18"/>
        </w:rPr>
        <w:t>australia&gt;.</w:t>
      </w:r>
    </w:p>
    <w:p w14:paraId="7CB25C78" w14:textId="77777777" w:rsidR="008A4099" w:rsidRDefault="008A4099">
      <w:pPr>
        <w:rPr>
          <w:sz w:val="18"/>
        </w:rPr>
        <w:sectPr w:rsidR="008A4099" w:rsidSect="00D43B2D">
          <w:pgSz w:w="11910" w:h="16840"/>
          <w:pgMar w:top="980" w:right="760" w:bottom="940" w:left="1280" w:header="718" w:footer="753" w:gutter="0"/>
          <w:cols w:space="720"/>
        </w:sectPr>
      </w:pPr>
    </w:p>
    <w:p w14:paraId="7CB25C79" w14:textId="77777777" w:rsidR="008A4099" w:rsidRDefault="008A4099">
      <w:pPr>
        <w:pStyle w:val="BodyText"/>
        <w:spacing w:before="194"/>
      </w:pPr>
    </w:p>
    <w:p w14:paraId="7CB25C7A" w14:textId="77777777" w:rsidR="008A4099" w:rsidRDefault="006A6EE2">
      <w:pPr>
        <w:pStyle w:val="BodyText"/>
        <w:ind w:left="160" w:right="683"/>
        <w:jc w:val="both"/>
      </w:pPr>
      <w:r>
        <w:t>recommended for inclusion in the Tasmanian Charter of Rights in the 2007 Final Report (see Recommendations 16 and 17).</w:t>
      </w:r>
    </w:p>
    <w:p w14:paraId="7CB25C7B" w14:textId="77777777" w:rsidR="008A4099" w:rsidRDefault="006A6EE2">
      <w:pPr>
        <w:pStyle w:val="BodyText"/>
        <w:spacing w:before="219"/>
        <w:ind w:left="160" w:right="678"/>
        <w:jc w:val="both"/>
      </w:pPr>
      <w:r>
        <w:t>The TLRI maintains the view expressed in the 2007 Final Report that protected rights should extend beyond civil and political rights to include all the rights outlined in Appendix A of that Report. At a minimum, the economic, social, and cultural rights protected in other Australian jurisdictions with human</w:t>
      </w:r>
      <w:r>
        <w:rPr>
          <w:spacing w:val="-2"/>
        </w:rPr>
        <w:t xml:space="preserve"> </w:t>
      </w:r>
      <w:r>
        <w:t>rights enactments –</w:t>
      </w:r>
      <w:r>
        <w:rPr>
          <w:spacing w:val="-2"/>
        </w:rPr>
        <w:t xml:space="preserve"> </w:t>
      </w:r>
      <w:r>
        <w:t>cultural rights for Aboriginal and Torres Strait Islander people, the right to education, health rights, and the right to work – should be included in a Tasmanian human rights instrument,</w:t>
      </w:r>
      <w:r>
        <w:rPr>
          <w:spacing w:val="-14"/>
        </w:rPr>
        <w:t xml:space="preserve"> </w:t>
      </w:r>
      <w:r>
        <w:t>with</w:t>
      </w:r>
      <w:r>
        <w:rPr>
          <w:spacing w:val="-14"/>
        </w:rPr>
        <w:t xml:space="preserve"> </w:t>
      </w:r>
      <w:r>
        <w:t>the</w:t>
      </w:r>
      <w:r>
        <w:rPr>
          <w:spacing w:val="-14"/>
        </w:rPr>
        <w:t xml:space="preserve"> </w:t>
      </w:r>
      <w:r>
        <w:t>expansion</w:t>
      </w:r>
      <w:r>
        <w:rPr>
          <w:spacing w:val="-13"/>
        </w:rPr>
        <w:t xml:space="preserve"> </w:t>
      </w:r>
      <w:r>
        <w:t>of</w:t>
      </w:r>
      <w:r>
        <w:rPr>
          <w:spacing w:val="-14"/>
        </w:rPr>
        <w:t xml:space="preserve"> </w:t>
      </w:r>
      <w:r>
        <w:t>rights</w:t>
      </w:r>
      <w:r>
        <w:rPr>
          <w:spacing w:val="-14"/>
        </w:rPr>
        <w:t xml:space="preserve"> </w:t>
      </w:r>
      <w:r>
        <w:t>to</w:t>
      </w:r>
      <w:r>
        <w:rPr>
          <w:spacing w:val="-14"/>
        </w:rPr>
        <w:t xml:space="preserve"> </w:t>
      </w:r>
      <w:r>
        <w:t>all</w:t>
      </w:r>
      <w:r>
        <w:rPr>
          <w:spacing w:val="-13"/>
        </w:rPr>
        <w:t xml:space="preserve"> </w:t>
      </w:r>
      <w:r>
        <w:t>those</w:t>
      </w:r>
      <w:r>
        <w:rPr>
          <w:spacing w:val="-14"/>
        </w:rPr>
        <w:t xml:space="preserve"> </w:t>
      </w:r>
      <w:r>
        <w:t>recommended</w:t>
      </w:r>
      <w:r>
        <w:rPr>
          <w:spacing w:val="-14"/>
        </w:rPr>
        <w:t xml:space="preserve"> </w:t>
      </w:r>
      <w:r>
        <w:t>for</w:t>
      </w:r>
      <w:r>
        <w:rPr>
          <w:spacing w:val="-13"/>
        </w:rPr>
        <w:t xml:space="preserve"> </w:t>
      </w:r>
      <w:r>
        <w:t>inclusion</w:t>
      </w:r>
      <w:r>
        <w:rPr>
          <w:spacing w:val="-14"/>
        </w:rPr>
        <w:t xml:space="preserve"> </w:t>
      </w:r>
      <w:r>
        <w:t>in</w:t>
      </w:r>
      <w:r>
        <w:rPr>
          <w:spacing w:val="-13"/>
        </w:rPr>
        <w:t xml:space="preserve"> </w:t>
      </w:r>
      <w:r>
        <w:t>the</w:t>
      </w:r>
      <w:r>
        <w:rPr>
          <w:spacing w:val="-14"/>
        </w:rPr>
        <w:t xml:space="preserve"> </w:t>
      </w:r>
      <w:r>
        <w:t>2007</w:t>
      </w:r>
      <w:r>
        <w:rPr>
          <w:spacing w:val="-13"/>
        </w:rPr>
        <w:t xml:space="preserve"> </w:t>
      </w:r>
      <w:r>
        <w:t>Final</w:t>
      </w:r>
      <w:r>
        <w:rPr>
          <w:spacing w:val="-12"/>
        </w:rPr>
        <w:t xml:space="preserve"> </w:t>
      </w:r>
      <w:r>
        <w:t>Report to be considered in reviews of that enactment.</w:t>
      </w:r>
    </w:p>
    <w:p w14:paraId="7CB25C7C" w14:textId="77777777" w:rsidR="008A4099" w:rsidRDefault="008A4099">
      <w:pPr>
        <w:pStyle w:val="BodyText"/>
        <w:spacing w:before="230"/>
      </w:pPr>
    </w:p>
    <w:p w14:paraId="7CB25C7D" w14:textId="77777777" w:rsidR="008A4099" w:rsidRDefault="006A6EE2">
      <w:pPr>
        <w:pStyle w:val="Heading6"/>
      </w:pPr>
      <w:r>
        <w:t>Role</w:t>
      </w:r>
      <w:r>
        <w:rPr>
          <w:spacing w:val="-2"/>
        </w:rPr>
        <w:t xml:space="preserve"> </w:t>
      </w:r>
      <w:r>
        <w:t>of</w:t>
      </w:r>
      <w:r>
        <w:rPr>
          <w:spacing w:val="-1"/>
        </w:rPr>
        <w:t xml:space="preserve"> </w:t>
      </w:r>
      <w:r>
        <w:rPr>
          <w:spacing w:val="-2"/>
        </w:rPr>
        <w:t>Parliament</w:t>
      </w:r>
    </w:p>
    <w:p w14:paraId="7CB25C7E" w14:textId="77777777" w:rsidR="008A4099" w:rsidRDefault="006A6EE2">
      <w:pPr>
        <w:pStyle w:val="BodyText"/>
        <w:spacing w:before="218"/>
        <w:ind w:left="160" w:right="674"/>
        <w:jc w:val="both"/>
      </w:pPr>
      <w:r>
        <w:t>Parliament</w:t>
      </w:r>
      <w:r>
        <w:rPr>
          <w:spacing w:val="-11"/>
        </w:rPr>
        <w:t xml:space="preserve"> </w:t>
      </w:r>
      <w:r>
        <w:t>has</w:t>
      </w:r>
      <w:r>
        <w:rPr>
          <w:spacing w:val="-11"/>
        </w:rPr>
        <w:t xml:space="preserve"> </w:t>
      </w:r>
      <w:r>
        <w:t>a</w:t>
      </w:r>
      <w:r>
        <w:rPr>
          <w:spacing w:val="-14"/>
        </w:rPr>
        <w:t xml:space="preserve"> </w:t>
      </w:r>
      <w:r>
        <w:t>critical</w:t>
      </w:r>
      <w:r>
        <w:rPr>
          <w:spacing w:val="-13"/>
        </w:rPr>
        <w:t xml:space="preserve"> </w:t>
      </w:r>
      <w:r>
        <w:t>role</w:t>
      </w:r>
      <w:r>
        <w:rPr>
          <w:spacing w:val="-12"/>
        </w:rPr>
        <w:t xml:space="preserve"> </w:t>
      </w:r>
      <w:r>
        <w:t>in</w:t>
      </w:r>
      <w:r>
        <w:rPr>
          <w:spacing w:val="-14"/>
        </w:rPr>
        <w:t xml:space="preserve"> </w:t>
      </w:r>
      <w:r>
        <w:t>the</w:t>
      </w:r>
      <w:r>
        <w:rPr>
          <w:spacing w:val="-14"/>
        </w:rPr>
        <w:t xml:space="preserve"> </w:t>
      </w:r>
      <w:r>
        <w:t>protection</w:t>
      </w:r>
      <w:r>
        <w:rPr>
          <w:spacing w:val="-11"/>
        </w:rPr>
        <w:t xml:space="preserve"> </w:t>
      </w:r>
      <w:r>
        <w:t>of</w:t>
      </w:r>
      <w:r>
        <w:rPr>
          <w:spacing w:val="-11"/>
        </w:rPr>
        <w:t xml:space="preserve"> </w:t>
      </w:r>
      <w:r>
        <w:t>human</w:t>
      </w:r>
      <w:r>
        <w:rPr>
          <w:spacing w:val="-14"/>
        </w:rPr>
        <w:t xml:space="preserve"> </w:t>
      </w:r>
      <w:r>
        <w:t>rights.</w:t>
      </w:r>
      <w:r>
        <w:rPr>
          <w:spacing w:val="-14"/>
        </w:rPr>
        <w:t xml:space="preserve"> </w:t>
      </w:r>
      <w:r>
        <w:t>Key</w:t>
      </w:r>
      <w:r>
        <w:rPr>
          <w:spacing w:val="-11"/>
        </w:rPr>
        <w:t xml:space="preserve"> </w:t>
      </w:r>
      <w:r>
        <w:t>features</w:t>
      </w:r>
      <w:r>
        <w:rPr>
          <w:spacing w:val="-11"/>
        </w:rPr>
        <w:t xml:space="preserve"> </w:t>
      </w:r>
      <w:r>
        <w:t>of</w:t>
      </w:r>
      <w:r>
        <w:rPr>
          <w:spacing w:val="-11"/>
        </w:rPr>
        <w:t xml:space="preserve"> </w:t>
      </w:r>
      <w:r>
        <w:t>human</w:t>
      </w:r>
      <w:r>
        <w:rPr>
          <w:spacing w:val="-12"/>
        </w:rPr>
        <w:t xml:space="preserve"> </w:t>
      </w:r>
      <w:r>
        <w:t>rights</w:t>
      </w:r>
      <w:r>
        <w:rPr>
          <w:spacing w:val="-11"/>
        </w:rPr>
        <w:t xml:space="preserve"> </w:t>
      </w:r>
      <w:r>
        <w:t>enactments that are intended to embed consideration of human rights in the legislative process are statements of compatibility (which aim to enable thorough, open, and genuine pre-enactment scrutiny of legislation in</w:t>
      </w:r>
      <w:r>
        <w:rPr>
          <w:spacing w:val="-2"/>
        </w:rPr>
        <w:t xml:space="preserve"> </w:t>
      </w:r>
      <w:r>
        <w:t>human</w:t>
      </w:r>
      <w:r>
        <w:rPr>
          <w:spacing w:val="-4"/>
        </w:rPr>
        <w:t xml:space="preserve"> </w:t>
      </w:r>
      <w:r>
        <w:t>rights</w:t>
      </w:r>
      <w:r>
        <w:rPr>
          <w:spacing w:val="-4"/>
        </w:rPr>
        <w:t xml:space="preserve"> </w:t>
      </w:r>
      <w:r>
        <w:t>terms)</w:t>
      </w:r>
      <w:r>
        <w:rPr>
          <w:spacing w:val="-1"/>
        </w:rPr>
        <w:t xml:space="preserve"> </w:t>
      </w:r>
      <w:r>
        <w:t>and</w:t>
      </w:r>
      <w:r>
        <w:rPr>
          <w:spacing w:val="-5"/>
        </w:rPr>
        <w:t xml:space="preserve"> </w:t>
      </w:r>
      <w:r>
        <w:t>parliamentary</w:t>
      </w:r>
      <w:r>
        <w:rPr>
          <w:spacing w:val="-2"/>
        </w:rPr>
        <w:t xml:space="preserve"> </w:t>
      </w:r>
      <w:r>
        <w:t>oversight</w:t>
      </w:r>
      <w:r>
        <w:rPr>
          <w:spacing w:val="-1"/>
        </w:rPr>
        <w:t xml:space="preserve"> </w:t>
      </w:r>
      <w:r>
        <w:t>by</w:t>
      </w:r>
      <w:r>
        <w:rPr>
          <w:spacing w:val="-5"/>
        </w:rPr>
        <w:t xml:space="preserve"> </w:t>
      </w:r>
      <w:r>
        <w:t>a</w:t>
      </w:r>
      <w:r>
        <w:rPr>
          <w:spacing w:val="-2"/>
        </w:rPr>
        <w:t xml:space="preserve"> </w:t>
      </w:r>
      <w:r>
        <w:t>dedicated</w:t>
      </w:r>
      <w:r>
        <w:rPr>
          <w:spacing w:val="-2"/>
        </w:rPr>
        <w:t xml:space="preserve"> </w:t>
      </w:r>
      <w:r>
        <w:t>committee.</w:t>
      </w:r>
      <w:r>
        <w:rPr>
          <w:spacing w:val="-2"/>
        </w:rPr>
        <w:t xml:space="preserve"> </w:t>
      </w:r>
      <w:r>
        <w:t>The</w:t>
      </w:r>
      <w:r>
        <w:rPr>
          <w:spacing w:val="-4"/>
        </w:rPr>
        <w:t xml:space="preserve"> </w:t>
      </w:r>
      <w:r>
        <w:t>experience</w:t>
      </w:r>
      <w:r>
        <w:rPr>
          <w:spacing w:val="-4"/>
        </w:rPr>
        <w:t xml:space="preserve"> </w:t>
      </w:r>
      <w:r>
        <w:t>in</w:t>
      </w:r>
      <w:r>
        <w:rPr>
          <w:spacing w:val="-2"/>
        </w:rPr>
        <w:t xml:space="preserve"> </w:t>
      </w:r>
      <w:r>
        <w:t>other jurisdictions suggests, however, that the quality of statements of compatibility and the timeliness of parliamentary scrutiny committees can vary markedly and can have a significant impact on the rigour of human rights analysis.</w:t>
      </w:r>
    </w:p>
    <w:p w14:paraId="7CB25C7F" w14:textId="77777777" w:rsidR="008A4099" w:rsidRDefault="006A6EE2">
      <w:pPr>
        <w:pStyle w:val="BodyText"/>
        <w:spacing w:before="221"/>
        <w:ind w:left="160" w:right="674"/>
        <w:jc w:val="both"/>
      </w:pPr>
      <w:r>
        <w:t>For</w:t>
      </w:r>
      <w:r>
        <w:rPr>
          <w:spacing w:val="-10"/>
        </w:rPr>
        <w:t xml:space="preserve"> </w:t>
      </w:r>
      <w:r>
        <w:t>this</w:t>
      </w:r>
      <w:r>
        <w:rPr>
          <w:spacing w:val="-10"/>
        </w:rPr>
        <w:t xml:space="preserve"> </w:t>
      </w:r>
      <w:r>
        <w:t>reason,</w:t>
      </w:r>
      <w:r>
        <w:rPr>
          <w:spacing w:val="-11"/>
        </w:rPr>
        <w:t xml:space="preserve"> </w:t>
      </w:r>
      <w:r>
        <w:t>the</w:t>
      </w:r>
      <w:r>
        <w:rPr>
          <w:spacing w:val="-11"/>
        </w:rPr>
        <w:t xml:space="preserve"> </w:t>
      </w:r>
      <w:r>
        <w:t>TLRI</w:t>
      </w:r>
      <w:r>
        <w:rPr>
          <w:spacing w:val="-12"/>
        </w:rPr>
        <w:t xml:space="preserve"> </w:t>
      </w:r>
      <w:r>
        <w:t>adheres</w:t>
      </w:r>
      <w:r>
        <w:rPr>
          <w:spacing w:val="-10"/>
        </w:rPr>
        <w:t xml:space="preserve"> </w:t>
      </w:r>
      <w:r>
        <w:t>to</w:t>
      </w:r>
      <w:r>
        <w:rPr>
          <w:spacing w:val="-11"/>
        </w:rPr>
        <w:t xml:space="preserve"> </w:t>
      </w:r>
      <w:r>
        <w:t>its</w:t>
      </w:r>
      <w:r>
        <w:rPr>
          <w:spacing w:val="-10"/>
        </w:rPr>
        <w:t xml:space="preserve"> </w:t>
      </w:r>
      <w:r>
        <w:t>original</w:t>
      </w:r>
      <w:r>
        <w:rPr>
          <w:spacing w:val="-10"/>
        </w:rPr>
        <w:t xml:space="preserve"> </w:t>
      </w:r>
      <w:r>
        <w:t>view</w:t>
      </w:r>
      <w:r>
        <w:rPr>
          <w:spacing w:val="-11"/>
        </w:rPr>
        <w:t xml:space="preserve"> </w:t>
      </w:r>
      <w:r>
        <w:t>that</w:t>
      </w:r>
      <w:r>
        <w:rPr>
          <w:spacing w:val="-10"/>
        </w:rPr>
        <w:t xml:space="preserve"> </w:t>
      </w:r>
      <w:r>
        <w:t>a</w:t>
      </w:r>
      <w:r>
        <w:rPr>
          <w:spacing w:val="-11"/>
        </w:rPr>
        <w:t xml:space="preserve"> </w:t>
      </w:r>
      <w:r>
        <w:t>dedicated</w:t>
      </w:r>
      <w:r>
        <w:rPr>
          <w:spacing w:val="-11"/>
        </w:rPr>
        <w:t xml:space="preserve"> </w:t>
      </w:r>
      <w:r>
        <w:t>Human</w:t>
      </w:r>
      <w:r>
        <w:rPr>
          <w:spacing w:val="-11"/>
        </w:rPr>
        <w:t xml:space="preserve"> </w:t>
      </w:r>
      <w:r>
        <w:t>Rights</w:t>
      </w:r>
      <w:r>
        <w:rPr>
          <w:spacing w:val="-13"/>
        </w:rPr>
        <w:t xml:space="preserve"> </w:t>
      </w:r>
      <w:r>
        <w:t>Unit</w:t>
      </w:r>
      <w:r>
        <w:rPr>
          <w:spacing w:val="-10"/>
        </w:rPr>
        <w:t xml:space="preserve"> </w:t>
      </w:r>
      <w:r>
        <w:t>be</w:t>
      </w:r>
      <w:r>
        <w:rPr>
          <w:spacing w:val="-11"/>
        </w:rPr>
        <w:t xml:space="preserve"> </w:t>
      </w:r>
      <w:r>
        <w:t>established to prepare statements of compatibility in consultation with the responsible agencies.</w:t>
      </w:r>
      <w:r>
        <w:rPr>
          <w:position w:val="7"/>
          <w:sz w:val="13"/>
        </w:rPr>
        <w:t>15</w:t>
      </w:r>
      <w:r>
        <w:rPr>
          <w:spacing w:val="37"/>
          <w:position w:val="7"/>
          <w:sz w:val="13"/>
        </w:rPr>
        <w:t xml:space="preserve"> </w:t>
      </w:r>
      <w:r>
        <w:t>Such dialogue will foster human rights discourse across government, while maintaining quality control over the statements. Comprehensive guidance materials should be developed to assist departments to consider human</w:t>
      </w:r>
      <w:r>
        <w:rPr>
          <w:spacing w:val="-7"/>
        </w:rPr>
        <w:t xml:space="preserve"> </w:t>
      </w:r>
      <w:r>
        <w:t>rights</w:t>
      </w:r>
      <w:r>
        <w:rPr>
          <w:spacing w:val="-3"/>
        </w:rPr>
        <w:t xml:space="preserve"> </w:t>
      </w:r>
      <w:r>
        <w:t>in</w:t>
      </w:r>
      <w:r>
        <w:rPr>
          <w:spacing w:val="-3"/>
        </w:rPr>
        <w:t xml:space="preserve"> </w:t>
      </w:r>
      <w:r>
        <w:t>preparing</w:t>
      </w:r>
      <w:r>
        <w:rPr>
          <w:spacing w:val="-6"/>
        </w:rPr>
        <w:t xml:space="preserve"> </w:t>
      </w:r>
      <w:r>
        <w:t>legislation</w:t>
      </w:r>
      <w:r>
        <w:rPr>
          <w:spacing w:val="-3"/>
        </w:rPr>
        <w:t xml:space="preserve"> </w:t>
      </w:r>
      <w:r>
        <w:t>and</w:t>
      </w:r>
      <w:r>
        <w:rPr>
          <w:spacing w:val="-4"/>
        </w:rPr>
        <w:t xml:space="preserve"> </w:t>
      </w:r>
      <w:r>
        <w:t>to</w:t>
      </w:r>
      <w:r>
        <w:rPr>
          <w:spacing w:val="-3"/>
        </w:rPr>
        <w:t xml:space="preserve"> </w:t>
      </w:r>
      <w:r>
        <w:t>lift</w:t>
      </w:r>
      <w:r>
        <w:rPr>
          <w:spacing w:val="-5"/>
        </w:rPr>
        <w:t xml:space="preserve"> </w:t>
      </w:r>
      <w:r>
        <w:t>and</w:t>
      </w:r>
      <w:r>
        <w:rPr>
          <w:spacing w:val="-3"/>
        </w:rPr>
        <w:t xml:space="preserve"> </w:t>
      </w:r>
      <w:r>
        <w:t>standardise</w:t>
      </w:r>
      <w:r>
        <w:rPr>
          <w:spacing w:val="-5"/>
        </w:rPr>
        <w:t xml:space="preserve"> </w:t>
      </w:r>
      <w:r>
        <w:t>the</w:t>
      </w:r>
      <w:r>
        <w:rPr>
          <w:spacing w:val="-3"/>
        </w:rPr>
        <w:t xml:space="preserve"> </w:t>
      </w:r>
      <w:r>
        <w:t>quality</w:t>
      </w:r>
      <w:r>
        <w:rPr>
          <w:spacing w:val="-3"/>
        </w:rPr>
        <w:t xml:space="preserve"> </w:t>
      </w:r>
      <w:r>
        <w:t>of drafting</w:t>
      </w:r>
      <w:r>
        <w:rPr>
          <w:spacing w:val="-3"/>
        </w:rPr>
        <w:t xml:space="preserve"> </w:t>
      </w:r>
      <w:r>
        <w:t>and</w:t>
      </w:r>
      <w:r>
        <w:rPr>
          <w:spacing w:val="-2"/>
        </w:rPr>
        <w:t xml:space="preserve"> assessment.</w:t>
      </w:r>
    </w:p>
    <w:p w14:paraId="7CB25C80" w14:textId="77777777" w:rsidR="008A4099" w:rsidRDefault="006A6EE2">
      <w:pPr>
        <w:pStyle w:val="BodyText"/>
        <w:spacing w:before="221"/>
        <w:ind w:left="160" w:right="682"/>
        <w:jc w:val="both"/>
      </w:pPr>
      <w:r>
        <w:t>To allow for effective scrutiny, the TLRI recommends that any Tasmanian human rights legislation prescribe a minimum amount of time for human rights scrutiny of legislation by parliamentary committees and that it require scrutiny reports to be completed before legislation is debated.</w:t>
      </w:r>
    </w:p>
    <w:p w14:paraId="7CB25C81" w14:textId="77777777" w:rsidR="008A4099" w:rsidRDefault="006A6EE2">
      <w:pPr>
        <w:pStyle w:val="BodyText"/>
        <w:spacing w:before="221"/>
        <w:ind w:left="160" w:right="674"/>
        <w:jc w:val="both"/>
      </w:pPr>
      <w:r>
        <w:t>In</w:t>
      </w:r>
      <w:r>
        <w:rPr>
          <w:spacing w:val="-13"/>
        </w:rPr>
        <w:t xml:space="preserve"> </w:t>
      </w:r>
      <w:r>
        <w:t>addition,</w:t>
      </w:r>
      <w:r>
        <w:rPr>
          <w:spacing w:val="-12"/>
        </w:rPr>
        <w:t xml:space="preserve"> </w:t>
      </w:r>
      <w:r>
        <w:t>even</w:t>
      </w:r>
      <w:r>
        <w:rPr>
          <w:spacing w:val="-12"/>
        </w:rPr>
        <w:t xml:space="preserve"> </w:t>
      </w:r>
      <w:r>
        <w:t>where</w:t>
      </w:r>
      <w:r>
        <w:rPr>
          <w:spacing w:val="-14"/>
        </w:rPr>
        <w:t xml:space="preserve"> </w:t>
      </w:r>
      <w:r>
        <w:t>robust</w:t>
      </w:r>
      <w:r>
        <w:rPr>
          <w:spacing w:val="-13"/>
        </w:rPr>
        <w:t xml:space="preserve"> </w:t>
      </w:r>
      <w:r>
        <w:t>pre-debate</w:t>
      </w:r>
      <w:r>
        <w:rPr>
          <w:spacing w:val="-12"/>
        </w:rPr>
        <w:t xml:space="preserve"> </w:t>
      </w:r>
      <w:r>
        <w:t>processes</w:t>
      </w:r>
      <w:r>
        <w:rPr>
          <w:spacing w:val="-11"/>
        </w:rPr>
        <w:t xml:space="preserve"> </w:t>
      </w:r>
      <w:r>
        <w:t>exist</w:t>
      </w:r>
      <w:r>
        <w:rPr>
          <w:spacing w:val="-13"/>
        </w:rPr>
        <w:t xml:space="preserve"> </w:t>
      </w:r>
      <w:r>
        <w:t>in</w:t>
      </w:r>
      <w:r>
        <w:rPr>
          <w:spacing w:val="-14"/>
        </w:rPr>
        <w:t xml:space="preserve"> </w:t>
      </w:r>
      <w:r>
        <w:t>jurisdictions</w:t>
      </w:r>
      <w:r>
        <w:rPr>
          <w:spacing w:val="-11"/>
        </w:rPr>
        <w:t xml:space="preserve"> </w:t>
      </w:r>
      <w:r>
        <w:t>with</w:t>
      </w:r>
      <w:r>
        <w:rPr>
          <w:spacing w:val="-14"/>
        </w:rPr>
        <w:t xml:space="preserve"> </w:t>
      </w:r>
      <w:r>
        <w:t>human</w:t>
      </w:r>
      <w:r>
        <w:rPr>
          <w:spacing w:val="-12"/>
        </w:rPr>
        <w:t xml:space="preserve"> </w:t>
      </w:r>
      <w:r>
        <w:t>rights</w:t>
      </w:r>
      <w:r>
        <w:rPr>
          <w:spacing w:val="-14"/>
        </w:rPr>
        <w:t xml:space="preserve"> </w:t>
      </w:r>
      <w:r>
        <w:t>enactments, the human rights implications of amendments made during parliamentary debate are rarely examined. The</w:t>
      </w:r>
      <w:r>
        <w:rPr>
          <w:spacing w:val="-2"/>
        </w:rPr>
        <w:t xml:space="preserve"> </w:t>
      </w:r>
      <w:r>
        <w:t>TLRI</w:t>
      </w:r>
      <w:r>
        <w:rPr>
          <w:spacing w:val="-4"/>
        </w:rPr>
        <w:t xml:space="preserve"> </w:t>
      </w:r>
      <w:r>
        <w:t>recommends</w:t>
      </w:r>
      <w:r>
        <w:rPr>
          <w:spacing w:val="-2"/>
        </w:rPr>
        <w:t xml:space="preserve"> </w:t>
      </w:r>
      <w:r>
        <w:t>iterative</w:t>
      </w:r>
      <w:r>
        <w:rPr>
          <w:spacing w:val="-2"/>
        </w:rPr>
        <w:t xml:space="preserve"> </w:t>
      </w:r>
      <w:r>
        <w:t>human</w:t>
      </w:r>
      <w:r>
        <w:rPr>
          <w:spacing w:val="-2"/>
        </w:rPr>
        <w:t xml:space="preserve"> </w:t>
      </w:r>
      <w:r>
        <w:t>rights</w:t>
      </w:r>
      <w:r>
        <w:rPr>
          <w:spacing w:val="-2"/>
        </w:rPr>
        <w:t xml:space="preserve"> </w:t>
      </w:r>
      <w:r>
        <w:t>assessment,</w:t>
      </w:r>
      <w:r>
        <w:rPr>
          <w:spacing w:val="-2"/>
        </w:rPr>
        <w:t xml:space="preserve"> </w:t>
      </w:r>
      <w:r>
        <w:t>which</w:t>
      </w:r>
      <w:r>
        <w:rPr>
          <w:spacing w:val="-2"/>
        </w:rPr>
        <w:t xml:space="preserve"> </w:t>
      </w:r>
      <w:r>
        <w:t>requires</w:t>
      </w:r>
      <w:r>
        <w:rPr>
          <w:spacing w:val="-2"/>
        </w:rPr>
        <w:t xml:space="preserve"> </w:t>
      </w:r>
      <w:r>
        <w:t>any</w:t>
      </w:r>
      <w:r>
        <w:rPr>
          <w:spacing w:val="-2"/>
        </w:rPr>
        <w:t xml:space="preserve"> </w:t>
      </w:r>
      <w:r>
        <w:t>significant</w:t>
      </w:r>
      <w:r>
        <w:rPr>
          <w:spacing w:val="-1"/>
        </w:rPr>
        <w:t xml:space="preserve"> </w:t>
      </w:r>
      <w:r>
        <w:t>amendments made during parliamentary debate to be re-examined to determine whether they alter any initial assessment of human rights compatibility.</w:t>
      </w:r>
    </w:p>
    <w:p w14:paraId="7CB25C82" w14:textId="77777777" w:rsidR="008A4099" w:rsidRDefault="008A4099">
      <w:pPr>
        <w:pStyle w:val="BodyText"/>
        <w:spacing w:before="226"/>
      </w:pPr>
    </w:p>
    <w:p w14:paraId="7CB25C83" w14:textId="77777777" w:rsidR="008A4099" w:rsidRDefault="006A6EE2">
      <w:pPr>
        <w:pStyle w:val="Heading6"/>
        <w:spacing w:before="1"/>
      </w:pPr>
      <w:r>
        <w:t>Role</w:t>
      </w:r>
      <w:r>
        <w:rPr>
          <w:spacing w:val="-2"/>
        </w:rPr>
        <w:t xml:space="preserve"> </w:t>
      </w:r>
      <w:r>
        <w:t>of</w:t>
      </w:r>
      <w:r>
        <w:rPr>
          <w:spacing w:val="-1"/>
        </w:rPr>
        <w:t xml:space="preserve"> </w:t>
      </w:r>
      <w:r>
        <w:t>courts</w:t>
      </w:r>
      <w:r>
        <w:rPr>
          <w:spacing w:val="-3"/>
        </w:rPr>
        <w:t xml:space="preserve"> </w:t>
      </w:r>
      <w:r>
        <w:t>and</w:t>
      </w:r>
      <w:r>
        <w:rPr>
          <w:spacing w:val="-1"/>
        </w:rPr>
        <w:t xml:space="preserve"> </w:t>
      </w:r>
      <w:r>
        <w:rPr>
          <w:spacing w:val="-2"/>
        </w:rPr>
        <w:t>tribunals</w:t>
      </w:r>
    </w:p>
    <w:p w14:paraId="7CB25C84" w14:textId="77777777" w:rsidR="008A4099" w:rsidRDefault="006A6EE2">
      <w:pPr>
        <w:pStyle w:val="BodyText"/>
        <w:spacing w:before="219"/>
        <w:ind w:left="160" w:right="677"/>
        <w:jc w:val="both"/>
      </w:pPr>
      <w:r>
        <w:t>Courts have three primary roles in relation to human rights protection: (1) an interpretive role that involves interpreting laws in a manner that is, as far as possible, consistent with human rights; (2) dealing with legislation considered to be inconsistent with human rights; and (3) hearing and determining claims brought by citizens alleging breaches of their rights, and granting remedies in the event of their breach.</w:t>
      </w:r>
    </w:p>
    <w:p w14:paraId="7CB25C85" w14:textId="77777777" w:rsidR="008A4099" w:rsidRDefault="006A6EE2">
      <w:pPr>
        <w:pStyle w:val="BodyText"/>
        <w:spacing w:before="219"/>
        <w:ind w:left="160" w:right="677"/>
        <w:jc w:val="both"/>
      </w:pPr>
      <w:r>
        <w:t>Based on developments in</w:t>
      </w:r>
      <w:r>
        <w:rPr>
          <w:spacing w:val="-1"/>
        </w:rPr>
        <w:t xml:space="preserve"> </w:t>
      </w:r>
      <w:r>
        <w:t>the Review Period, the TLRI</w:t>
      </w:r>
      <w:r>
        <w:rPr>
          <w:spacing w:val="-1"/>
        </w:rPr>
        <w:t xml:space="preserve"> </w:t>
      </w:r>
      <w:r>
        <w:t>has re-examined the issue</w:t>
      </w:r>
      <w:r>
        <w:rPr>
          <w:spacing w:val="-1"/>
        </w:rPr>
        <w:t xml:space="preserve"> </w:t>
      </w:r>
      <w:r>
        <w:t>of providing courts and</w:t>
      </w:r>
      <w:r>
        <w:rPr>
          <w:spacing w:val="-7"/>
        </w:rPr>
        <w:t xml:space="preserve"> </w:t>
      </w:r>
      <w:r>
        <w:t>tribunals</w:t>
      </w:r>
      <w:r>
        <w:rPr>
          <w:spacing w:val="-6"/>
        </w:rPr>
        <w:t xml:space="preserve"> </w:t>
      </w:r>
      <w:r>
        <w:t>with</w:t>
      </w:r>
      <w:r>
        <w:rPr>
          <w:spacing w:val="-7"/>
        </w:rPr>
        <w:t xml:space="preserve"> </w:t>
      </w:r>
      <w:r>
        <w:t>jurisdiction</w:t>
      </w:r>
      <w:r>
        <w:rPr>
          <w:spacing w:val="-7"/>
        </w:rPr>
        <w:t xml:space="preserve"> </w:t>
      </w:r>
      <w:r>
        <w:t>to</w:t>
      </w:r>
      <w:r>
        <w:rPr>
          <w:spacing w:val="-7"/>
        </w:rPr>
        <w:t xml:space="preserve"> </w:t>
      </w:r>
      <w:r>
        <w:t>hear</w:t>
      </w:r>
      <w:r>
        <w:rPr>
          <w:spacing w:val="-6"/>
        </w:rPr>
        <w:t xml:space="preserve"> </w:t>
      </w:r>
      <w:r>
        <w:t>and</w:t>
      </w:r>
      <w:r>
        <w:rPr>
          <w:spacing w:val="-7"/>
        </w:rPr>
        <w:t xml:space="preserve"> </w:t>
      </w:r>
      <w:r>
        <w:t>determine</w:t>
      </w:r>
      <w:r>
        <w:rPr>
          <w:spacing w:val="-7"/>
        </w:rPr>
        <w:t xml:space="preserve"> </w:t>
      </w:r>
      <w:r>
        <w:t>claims</w:t>
      </w:r>
      <w:r>
        <w:rPr>
          <w:spacing w:val="-6"/>
        </w:rPr>
        <w:t xml:space="preserve"> </w:t>
      </w:r>
      <w:r>
        <w:t>brought</w:t>
      </w:r>
      <w:r>
        <w:rPr>
          <w:spacing w:val="-6"/>
        </w:rPr>
        <w:t xml:space="preserve"> </w:t>
      </w:r>
      <w:r>
        <w:t>by</w:t>
      </w:r>
      <w:r>
        <w:rPr>
          <w:spacing w:val="-7"/>
        </w:rPr>
        <w:t xml:space="preserve"> </w:t>
      </w:r>
      <w:r>
        <w:t>citizens.</w:t>
      </w:r>
      <w:r>
        <w:rPr>
          <w:spacing w:val="-6"/>
        </w:rPr>
        <w:t xml:space="preserve"> </w:t>
      </w:r>
      <w:r>
        <w:t>The</w:t>
      </w:r>
      <w:r>
        <w:rPr>
          <w:spacing w:val="-7"/>
        </w:rPr>
        <w:t xml:space="preserve"> </w:t>
      </w:r>
      <w:r>
        <w:t>2007</w:t>
      </w:r>
      <w:r>
        <w:rPr>
          <w:spacing w:val="-7"/>
        </w:rPr>
        <w:t xml:space="preserve"> </w:t>
      </w:r>
      <w:r>
        <w:t>Final</w:t>
      </w:r>
      <w:r>
        <w:rPr>
          <w:spacing w:val="-6"/>
        </w:rPr>
        <w:t xml:space="preserve"> </w:t>
      </w:r>
      <w:r>
        <w:t>Report recommended that a Tasmanian Charter allow any person who is, or would be, the victim of a breach of Charter rights by a public authority to bring standalone proceedings in the Supreme Court of Tasmania.</w:t>
      </w:r>
      <w:r>
        <w:rPr>
          <w:spacing w:val="-4"/>
        </w:rPr>
        <w:t xml:space="preserve"> </w:t>
      </w:r>
      <w:r>
        <w:t>The</w:t>
      </w:r>
      <w:r>
        <w:rPr>
          <w:spacing w:val="-4"/>
        </w:rPr>
        <w:t xml:space="preserve"> </w:t>
      </w:r>
      <w:r>
        <w:t>TLRI</w:t>
      </w:r>
      <w:r>
        <w:rPr>
          <w:spacing w:val="-6"/>
        </w:rPr>
        <w:t xml:space="preserve"> </w:t>
      </w:r>
      <w:r>
        <w:t>also</w:t>
      </w:r>
      <w:r>
        <w:rPr>
          <w:spacing w:val="-7"/>
        </w:rPr>
        <w:t xml:space="preserve"> </w:t>
      </w:r>
      <w:r>
        <w:t>recommended</w:t>
      </w:r>
      <w:r>
        <w:rPr>
          <w:spacing w:val="-7"/>
        </w:rPr>
        <w:t xml:space="preserve"> </w:t>
      </w:r>
      <w:r>
        <w:t>that</w:t>
      </w:r>
      <w:r>
        <w:rPr>
          <w:spacing w:val="-6"/>
        </w:rPr>
        <w:t xml:space="preserve"> </w:t>
      </w:r>
      <w:r>
        <w:t>the</w:t>
      </w:r>
      <w:r>
        <w:rPr>
          <w:spacing w:val="-4"/>
        </w:rPr>
        <w:t xml:space="preserve"> </w:t>
      </w:r>
      <w:r>
        <w:t>Supreme</w:t>
      </w:r>
      <w:r>
        <w:rPr>
          <w:spacing w:val="-7"/>
        </w:rPr>
        <w:t xml:space="preserve"> </w:t>
      </w:r>
      <w:r>
        <w:t>Court</w:t>
      </w:r>
      <w:r>
        <w:rPr>
          <w:spacing w:val="-4"/>
        </w:rPr>
        <w:t xml:space="preserve"> </w:t>
      </w:r>
      <w:r>
        <w:t>be</w:t>
      </w:r>
      <w:r>
        <w:rPr>
          <w:spacing w:val="-7"/>
        </w:rPr>
        <w:t xml:space="preserve"> </w:t>
      </w:r>
      <w:r>
        <w:t>able</w:t>
      </w:r>
      <w:r>
        <w:rPr>
          <w:spacing w:val="-7"/>
        </w:rPr>
        <w:t xml:space="preserve"> </w:t>
      </w:r>
      <w:r>
        <w:t>to</w:t>
      </w:r>
      <w:r>
        <w:rPr>
          <w:spacing w:val="-7"/>
        </w:rPr>
        <w:t xml:space="preserve"> </w:t>
      </w:r>
      <w:r>
        <w:t>make</w:t>
      </w:r>
      <w:r>
        <w:rPr>
          <w:spacing w:val="-7"/>
        </w:rPr>
        <w:t xml:space="preserve"> </w:t>
      </w:r>
      <w:r>
        <w:t>appropriate</w:t>
      </w:r>
      <w:r>
        <w:rPr>
          <w:spacing w:val="-7"/>
        </w:rPr>
        <w:t xml:space="preserve"> </w:t>
      </w:r>
      <w:r>
        <w:t>orders</w:t>
      </w:r>
      <w:r>
        <w:rPr>
          <w:spacing w:val="-6"/>
        </w:rPr>
        <w:t xml:space="preserve"> </w:t>
      </w:r>
      <w:r>
        <w:t>for remedy or relief, including damages.</w:t>
      </w:r>
    </w:p>
    <w:p w14:paraId="7CB25C86" w14:textId="77777777" w:rsidR="008A4099" w:rsidRDefault="008A4099">
      <w:pPr>
        <w:pStyle w:val="BodyText"/>
        <w:rPr>
          <w:sz w:val="20"/>
        </w:rPr>
      </w:pPr>
    </w:p>
    <w:p w14:paraId="7CB25C87" w14:textId="77777777" w:rsidR="008A4099" w:rsidRDefault="006A6EE2">
      <w:pPr>
        <w:pStyle w:val="BodyText"/>
        <w:spacing w:before="16"/>
        <w:rPr>
          <w:sz w:val="20"/>
        </w:rPr>
      </w:pPr>
      <w:r>
        <w:rPr>
          <w:noProof/>
        </w:rPr>
        <mc:AlternateContent>
          <mc:Choice Requires="wps">
            <w:drawing>
              <wp:anchor distT="0" distB="0" distL="0" distR="0" simplePos="0" relativeHeight="487589888" behindDoc="1" locked="0" layoutInCell="1" allowOverlap="1" wp14:anchorId="7CB265E1" wp14:editId="7CB265E2">
                <wp:simplePos x="0" y="0"/>
                <wp:positionH relativeFrom="page">
                  <wp:posOffset>914704</wp:posOffset>
                </wp:positionH>
                <wp:positionV relativeFrom="paragraph">
                  <wp:posOffset>171517</wp:posOffset>
                </wp:positionV>
                <wp:extent cx="18294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602BD0" id="Graphic 28" o:spid="_x0000_s1026" style="position:absolute;margin-left:1in;margin-top:13.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" path="m1829054,l,,,7619r1829054,l1829054,xe" fillcolor="black" stroked="f">
                <v:path arrowok="t"/>
                <w10:wrap type="topAndBottom" anchorx="page"/>
              </v:shape>
            </w:pict>
          </mc:Fallback>
        </mc:AlternateContent>
      </w:r>
    </w:p>
    <w:p w14:paraId="7CB25C88" w14:textId="77777777" w:rsidR="008A4099" w:rsidRDefault="006A6EE2">
      <w:pPr>
        <w:spacing w:before="112"/>
        <w:ind w:left="160"/>
        <w:rPr>
          <w:sz w:val="18"/>
        </w:rPr>
      </w:pPr>
      <w:r>
        <w:rPr>
          <w:sz w:val="18"/>
          <w:vertAlign w:val="superscript"/>
        </w:rPr>
        <w:t>15</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w:t>
      </w:r>
      <w:r>
        <w:rPr>
          <w:spacing w:val="-1"/>
          <w:sz w:val="18"/>
        </w:rPr>
        <w:t xml:space="preserve"> </w:t>
      </w:r>
      <w:r>
        <w:rPr>
          <w:spacing w:val="-5"/>
          <w:sz w:val="18"/>
        </w:rPr>
        <w:t>22.</w:t>
      </w:r>
    </w:p>
    <w:p w14:paraId="7CB25C89" w14:textId="77777777" w:rsidR="008A4099" w:rsidRDefault="008A4099">
      <w:pPr>
        <w:rPr>
          <w:sz w:val="18"/>
        </w:rPr>
        <w:sectPr w:rsidR="008A4099" w:rsidSect="00D43B2D">
          <w:pgSz w:w="11910" w:h="16840"/>
          <w:pgMar w:top="980" w:right="760" w:bottom="940" w:left="1280" w:header="718" w:footer="753" w:gutter="0"/>
          <w:cols w:space="720"/>
        </w:sectPr>
      </w:pPr>
    </w:p>
    <w:p w14:paraId="7CB25C8A" w14:textId="77777777" w:rsidR="008A4099" w:rsidRDefault="008A4099">
      <w:pPr>
        <w:pStyle w:val="BodyText"/>
        <w:spacing w:before="194"/>
      </w:pPr>
    </w:p>
    <w:p w14:paraId="7CB25C8B" w14:textId="77777777" w:rsidR="008A4099" w:rsidRDefault="006A6EE2">
      <w:pPr>
        <w:pStyle w:val="BodyText"/>
        <w:ind w:left="160" w:right="676"/>
        <w:jc w:val="both"/>
        <w:rPr>
          <w:sz w:val="13"/>
        </w:rPr>
      </w:pPr>
      <w:r>
        <w:t>Currently,</w:t>
      </w:r>
      <w:r>
        <w:rPr>
          <w:spacing w:val="-6"/>
        </w:rPr>
        <w:t xml:space="preserve"> </w:t>
      </w:r>
      <w:r>
        <w:t>the</w:t>
      </w:r>
      <w:r>
        <w:rPr>
          <w:spacing w:val="-6"/>
        </w:rPr>
        <w:t xml:space="preserve"> </w:t>
      </w:r>
      <w:r>
        <w:t>ACT</w:t>
      </w:r>
      <w:r>
        <w:rPr>
          <w:spacing w:val="-7"/>
        </w:rPr>
        <w:t xml:space="preserve"> </w:t>
      </w:r>
      <w:r>
        <w:t>allows</w:t>
      </w:r>
      <w:r>
        <w:rPr>
          <w:spacing w:val="-8"/>
        </w:rPr>
        <w:t xml:space="preserve"> </w:t>
      </w:r>
      <w:r>
        <w:t>a</w:t>
      </w:r>
      <w:r>
        <w:rPr>
          <w:spacing w:val="-6"/>
        </w:rPr>
        <w:t xml:space="preserve"> </w:t>
      </w:r>
      <w:r>
        <w:t>direct</w:t>
      </w:r>
      <w:r>
        <w:rPr>
          <w:spacing w:val="-5"/>
        </w:rPr>
        <w:t xml:space="preserve"> </w:t>
      </w:r>
      <w:r>
        <w:t>cause</w:t>
      </w:r>
      <w:r>
        <w:rPr>
          <w:spacing w:val="-6"/>
        </w:rPr>
        <w:t xml:space="preserve"> </w:t>
      </w:r>
      <w:r>
        <w:t>of</w:t>
      </w:r>
      <w:r>
        <w:rPr>
          <w:spacing w:val="-5"/>
        </w:rPr>
        <w:t xml:space="preserve"> </w:t>
      </w:r>
      <w:r>
        <w:t>action</w:t>
      </w:r>
      <w:r>
        <w:rPr>
          <w:spacing w:val="-6"/>
        </w:rPr>
        <w:t xml:space="preserve"> </w:t>
      </w:r>
      <w:r>
        <w:t>for</w:t>
      </w:r>
      <w:r>
        <w:rPr>
          <w:spacing w:val="-8"/>
        </w:rPr>
        <w:t xml:space="preserve"> </w:t>
      </w:r>
      <w:r>
        <w:t>breach</w:t>
      </w:r>
      <w:r>
        <w:rPr>
          <w:spacing w:val="-6"/>
        </w:rPr>
        <w:t xml:space="preserve"> </w:t>
      </w:r>
      <w:r>
        <w:t>of</w:t>
      </w:r>
      <w:r>
        <w:rPr>
          <w:spacing w:val="-5"/>
        </w:rPr>
        <w:t xml:space="preserve"> </w:t>
      </w:r>
      <w:r>
        <w:t>Human</w:t>
      </w:r>
      <w:r>
        <w:rPr>
          <w:spacing w:val="-6"/>
        </w:rPr>
        <w:t xml:space="preserve"> </w:t>
      </w:r>
      <w:r>
        <w:t>Rights</w:t>
      </w:r>
      <w:r>
        <w:rPr>
          <w:spacing w:val="-5"/>
        </w:rPr>
        <w:t xml:space="preserve"> </w:t>
      </w:r>
      <w:r>
        <w:t>Act</w:t>
      </w:r>
      <w:r>
        <w:rPr>
          <w:spacing w:val="-5"/>
        </w:rPr>
        <w:t xml:space="preserve"> </w:t>
      </w:r>
      <w:r>
        <w:t>obligations,</w:t>
      </w:r>
      <w:r>
        <w:rPr>
          <w:position w:val="7"/>
          <w:sz w:val="13"/>
        </w:rPr>
        <w:t>16</w:t>
      </w:r>
      <w:r>
        <w:rPr>
          <w:spacing w:val="16"/>
          <w:position w:val="7"/>
          <w:sz w:val="13"/>
        </w:rPr>
        <w:t xml:space="preserve"> </w:t>
      </w:r>
      <w:r>
        <w:t>while Victoria</w:t>
      </w:r>
      <w:r>
        <w:rPr>
          <w:spacing w:val="-2"/>
        </w:rPr>
        <w:t xml:space="preserve"> </w:t>
      </w:r>
      <w:r>
        <w:t>and</w:t>
      </w:r>
      <w:r>
        <w:rPr>
          <w:spacing w:val="-2"/>
        </w:rPr>
        <w:t xml:space="preserve"> </w:t>
      </w:r>
      <w:r>
        <w:t>Queensland</w:t>
      </w:r>
      <w:r>
        <w:rPr>
          <w:spacing w:val="-2"/>
        </w:rPr>
        <w:t xml:space="preserve"> </w:t>
      </w:r>
      <w:r>
        <w:t>require</w:t>
      </w:r>
      <w:r>
        <w:rPr>
          <w:spacing w:val="-2"/>
        </w:rPr>
        <w:t xml:space="preserve"> </w:t>
      </w:r>
      <w:r>
        <w:t>claims</w:t>
      </w:r>
      <w:r>
        <w:rPr>
          <w:spacing w:val="-4"/>
        </w:rPr>
        <w:t xml:space="preserve"> </w:t>
      </w:r>
      <w:r>
        <w:t>to</w:t>
      </w:r>
      <w:r>
        <w:rPr>
          <w:spacing w:val="-5"/>
        </w:rPr>
        <w:t xml:space="preserve"> </w:t>
      </w:r>
      <w:r>
        <w:t>‘piggy-back’</w:t>
      </w:r>
      <w:r>
        <w:rPr>
          <w:spacing w:val="-2"/>
        </w:rPr>
        <w:t xml:space="preserve"> </w:t>
      </w:r>
      <w:r>
        <w:t>on</w:t>
      </w:r>
      <w:r>
        <w:rPr>
          <w:spacing w:val="-2"/>
        </w:rPr>
        <w:t xml:space="preserve"> </w:t>
      </w:r>
      <w:r>
        <w:t>a</w:t>
      </w:r>
      <w:r>
        <w:rPr>
          <w:spacing w:val="-2"/>
        </w:rPr>
        <w:t xml:space="preserve"> </w:t>
      </w:r>
      <w:r>
        <w:t>claim</w:t>
      </w:r>
      <w:r>
        <w:rPr>
          <w:spacing w:val="-4"/>
        </w:rPr>
        <w:t xml:space="preserve"> </w:t>
      </w:r>
      <w:r>
        <w:t>arising</w:t>
      </w:r>
      <w:r>
        <w:rPr>
          <w:spacing w:val="-2"/>
        </w:rPr>
        <w:t xml:space="preserve"> </w:t>
      </w:r>
      <w:r>
        <w:t>under</w:t>
      </w:r>
      <w:r>
        <w:rPr>
          <w:spacing w:val="-1"/>
        </w:rPr>
        <w:t xml:space="preserve"> </w:t>
      </w:r>
      <w:r>
        <w:t>other</w:t>
      </w:r>
      <w:r>
        <w:rPr>
          <w:spacing w:val="-4"/>
        </w:rPr>
        <w:t xml:space="preserve"> </w:t>
      </w:r>
      <w:r>
        <w:t>legislation</w:t>
      </w:r>
      <w:r>
        <w:rPr>
          <w:spacing w:val="-2"/>
        </w:rPr>
        <w:t xml:space="preserve"> </w:t>
      </w:r>
      <w:r>
        <w:t>or</w:t>
      </w:r>
      <w:r>
        <w:rPr>
          <w:spacing w:val="-4"/>
        </w:rPr>
        <w:t xml:space="preserve"> </w:t>
      </w:r>
      <w:r>
        <w:t>at common</w:t>
      </w:r>
      <w:r>
        <w:rPr>
          <w:spacing w:val="-7"/>
        </w:rPr>
        <w:t xml:space="preserve"> </w:t>
      </w:r>
      <w:r>
        <w:t>law.</w:t>
      </w:r>
      <w:r>
        <w:rPr>
          <w:spacing w:val="-8"/>
        </w:rPr>
        <w:t xml:space="preserve"> </w:t>
      </w:r>
      <w:r>
        <w:t>Experience</w:t>
      </w:r>
      <w:r>
        <w:rPr>
          <w:spacing w:val="-7"/>
        </w:rPr>
        <w:t xml:space="preserve"> </w:t>
      </w:r>
      <w:r>
        <w:t>in</w:t>
      </w:r>
      <w:r>
        <w:rPr>
          <w:spacing w:val="-7"/>
        </w:rPr>
        <w:t xml:space="preserve"> </w:t>
      </w:r>
      <w:r>
        <w:t>those</w:t>
      </w:r>
      <w:r>
        <w:rPr>
          <w:spacing w:val="-6"/>
        </w:rPr>
        <w:t xml:space="preserve"> </w:t>
      </w:r>
      <w:r>
        <w:t>jurisdictions</w:t>
      </w:r>
      <w:r>
        <w:rPr>
          <w:spacing w:val="-6"/>
        </w:rPr>
        <w:t xml:space="preserve"> </w:t>
      </w:r>
      <w:r>
        <w:t>suggests</w:t>
      </w:r>
      <w:r>
        <w:rPr>
          <w:spacing w:val="-6"/>
        </w:rPr>
        <w:t xml:space="preserve"> </w:t>
      </w:r>
      <w:r>
        <w:t>that</w:t>
      </w:r>
      <w:r>
        <w:rPr>
          <w:spacing w:val="-6"/>
        </w:rPr>
        <w:t xml:space="preserve"> </w:t>
      </w:r>
      <w:r>
        <w:t>piggy-back</w:t>
      </w:r>
      <w:r>
        <w:rPr>
          <w:spacing w:val="-7"/>
        </w:rPr>
        <w:t xml:space="preserve"> </w:t>
      </w:r>
      <w:r>
        <w:t>requirements</w:t>
      </w:r>
      <w:r>
        <w:rPr>
          <w:spacing w:val="-6"/>
        </w:rPr>
        <w:t xml:space="preserve"> </w:t>
      </w:r>
      <w:r>
        <w:t>create</w:t>
      </w:r>
      <w:r>
        <w:rPr>
          <w:spacing w:val="-7"/>
        </w:rPr>
        <w:t xml:space="preserve"> </w:t>
      </w:r>
      <w:r>
        <w:t>confusion and impose unnecessary restrictions on seeking relief.</w:t>
      </w:r>
      <w:r>
        <w:rPr>
          <w:position w:val="7"/>
          <w:sz w:val="13"/>
        </w:rPr>
        <w:t>17</w:t>
      </w:r>
    </w:p>
    <w:p w14:paraId="7CB25C8C" w14:textId="77777777" w:rsidR="008A4099" w:rsidRDefault="006A6EE2">
      <w:pPr>
        <w:pStyle w:val="BodyText"/>
        <w:spacing w:before="220" w:line="242" w:lineRule="auto"/>
        <w:ind w:left="160" w:right="676"/>
        <w:jc w:val="both"/>
      </w:pPr>
      <w:r>
        <w:t>Based on the experience elsewhere, the TLRI maintains its earlier recommendation that a direct cause of</w:t>
      </w:r>
      <w:r>
        <w:rPr>
          <w:spacing w:val="-5"/>
        </w:rPr>
        <w:t xml:space="preserve"> </w:t>
      </w:r>
      <w:r>
        <w:t>action</w:t>
      </w:r>
      <w:r>
        <w:rPr>
          <w:spacing w:val="-7"/>
        </w:rPr>
        <w:t xml:space="preserve"> </w:t>
      </w:r>
      <w:r>
        <w:t>should</w:t>
      </w:r>
      <w:r>
        <w:rPr>
          <w:spacing w:val="-5"/>
        </w:rPr>
        <w:t xml:space="preserve"> </w:t>
      </w:r>
      <w:r>
        <w:t>be</w:t>
      </w:r>
      <w:r>
        <w:rPr>
          <w:spacing w:val="-5"/>
        </w:rPr>
        <w:t xml:space="preserve"> </w:t>
      </w:r>
      <w:r>
        <w:t>available</w:t>
      </w:r>
      <w:r>
        <w:rPr>
          <w:spacing w:val="-5"/>
        </w:rPr>
        <w:t xml:space="preserve"> </w:t>
      </w:r>
      <w:r>
        <w:t>for</w:t>
      </w:r>
      <w:r>
        <w:rPr>
          <w:spacing w:val="-5"/>
        </w:rPr>
        <w:t xml:space="preserve"> </w:t>
      </w:r>
      <w:r>
        <w:t>breach</w:t>
      </w:r>
      <w:r>
        <w:rPr>
          <w:spacing w:val="-5"/>
        </w:rPr>
        <w:t xml:space="preserve"> </w:t>
      </w:r>
      <w:r>
        <w:t>of</w:t>
      </w:r>
      <w:r>
        <w:rPr>
          <w:spacing w:val="-6"/>
        </w:rPr>
        <w:t xml:space="preserve"> </w:t>
      </w:r>
      <w:r>
        <w:t>a</w:t>
      </w:r>
      <w:r>
        <w:rPr>
          <w:spacing w:val="-5"/>
        </w:rPr>
        <w:t xml:space="preserve"> </w:t>
      </w:r>
      <w:r>
        <w:t>human</w:t>
      </w:r>
      <w:r>
        <w:rPr>
          <w:spacing w:val="-7"/>
        </w:rPr>
        <w:t xml:space="preserve"> </w:t>
      </w:r>
      <w:r>
        <w:t>rights</w:t>
      </w:r>
      <w:r>
        <w:rPr>
          <w:spacing w:val="-6"/>
        </w:rPr>
        <w:t xml:space="preserve"> </w:t>
      </w:r>
      <w:r>
        <w:t>obligation.</w:t>
      </w:r>
      <w:r>
        <w:rPr>
          <w:spacing w:val="-1"/>
        </w:rPr>
        <w:t xml:space="preserve"> </w:t>
      </w:r>
      <w:r>
        <w:t>Applications</w:t>
      </w:r>
      <w:r>
        <w:rPr>
          <w:spacing w:val="-7"/>
        </w:rPr>
        <w:t xml:space="preserve"> </w:t>
      </w:r>
      <w:r>
        <w:t>should</w:t>
      </w:r>
      <w:r>
        <w:rPr>
          <w:spacing w:val="-5"/>
        </w:rPr>
        <w:t xml:space="preserve"> </w:t>
      </w:r>
      <w:r>
        <w:t>be</w:t>
      </w:r>
      <w:r>
        <w:rPr>
          <w:spacing w:val="-5"/>
        </w:rPr>
        <w:t xml:space="preserve"> </w:t>
      </w:r>
      <w:r>
        <w:t>able</w:t>
      </w:r>
      <w:r>
        <w:rPr>
          <w:spacing w:val="-7"/>
        </w:rPr>
        <w:t xml:space="preserve"> </w:t>
      </w:r>
      <w:r>
        <w:t>to</w:t>
      </w:r>
      <w:r>
        <w:rPr>
          <w:spacing w:val="-7"/>
        </w:rPr>
        <w:t xml:space="preserve"> </w:t>
      </w:r>
      <w:r>
        <w:t>be made in either the Tasmanian Civil and Administrative Tribunal (‘TasCAT’) or the Supreme Court, supported by provisions for conciliation of complaints by the Human Rights Commission.</w:t>
      </w:r>
    </w:p>
    <w:p w14:paraId="7CB25C8D" w14:textId="77777777" w:rsidR="008A4099" w:rsidRDefault="008A4099">
      <w:pPr>
        <w:pStyle w:val="BodyText"/>
        <w:spacing w:before="220"/>
      </w:pPr>
    </w:p>
    <w:p w14:paraId="7CB25C8E" w14:textId="77777777" w:rsidR="008A4099" w:rsidRDefault="006A6EE2">
      <w:pPr>
        <w:pStyle w:val="Heading6"/>
      </w:pPr>
      <w:r>
        <w:t>Role</w:t>
      </w:r>
      <w:r>
        <w:rPr>
          <w:spacing w:val="-3"/>
        </w:rPr>
        <w:t xml:space="preserve"> </w:t>
      </w:r>
      <w:r>
        <w:t>of</w:t>
      </w:r>
      <w:r>
        <w:rPr>
          <w:spacing w:val="-3"/>
        </w:rPr>
        <w:t xml:space="preserve"> </w:t>
      </w:r>
      <w:r>
        <w:t>the</w:t>
      </w:r>
      <w:r>
        <w:rPr>
          <w:spacing w:val="-3"/>
        </w:rPr>
        <w:t xml:space="preserve"> </w:t>
      </w:r>
      <w:r>
        <w:t>Human</w:t>
      </w:r>
      <w:r>
        <w:rPr>
          <w:spacing w:val="-3"/>
        </w:rPr>
        <w:t xml:space="preserve"> </w:t>
      </w:r>
      <w:r>
        <w:t>Rights</w:t>
      </w:r>
      <w:r>
        <w:rPr>
          <w:spacing w:val="-4"/>
        </w:rPr>
        <w:t xml:space="preserve"> </w:t>
      </w:r>
      <w:r>
        <w:rPr>
          <w:spacing w:val="-2"/>
        </w:rPr>
        <w:t>Commission</w:t>
      </w:r>
    </w:p>
    <w:p w14:paraId="7CB25C8F" w14:textId="77777777" w:rsidR="008A4099" w:rsidRDefault="006A6EE2">
      <w:pPr>
        <w:pStyle w:val="BodyText"/>
        <w:spacing w:before="217"/>
        <w:ind w:left="160" w:right="674"/>
        <w:jc w:val="both"/>
      </w:pPr>
      <w:r>
        <w:t>Following the review of developments in the Review Period, the TLRI has re-examined its recommendations concerning the role of the Human Rights Commission. The TLRI reiterates its recommendation contained in the 2007 Final Report that an independent office of the Tasmanian Human Rights Commissioner be established under the human rights enactment. The TLRI commends arrangements in the ACT that allow the Human Rights Commission to comment on draft submissions prepared by government directorates for consideration by Cabinet. This reflects the powers and functions for the Commissioner contained in the 2007 Final Report. The TLRI’s view is that this arrangement provides an important opportunity to engage with human rights issues early in the development process, which has helped to improve the human rights compatibility of legislation presented to parliament in comparable Australian jurisdiction.</w:t>
      </w:r>
    </w:p>
    <w:p w14:paraId="7CB25C90" w14:textId="77777777" w:rsidR="008A4099" w:rsidRDefault="006A6EE2">
      <w:pPr>
        <w:pStyle w:val="BodyText"/>
        <w:spacing w:before="222"/>
        <w:ind w:left="160" w:right="674"/>
        <w:jc w:val="both"/>
      </w:pPr>
      <w:r>
        <w:t>In the 2007 Final Report, the TLRI also recommended that the Human Rights Commission be able to intervene or be joined as party in any proceedings involving the interpretation of the Charter. In this Research</w:t>
      </w:r>
      <w:r>
        <w:rPr>
          <w:spacing w:val="-16"/>
        </w:rPr>
        <w:t xml:space="preserve"> </w:t>
      </w:r>
      <w:r>
        <w:t>Paper,</w:t>
      </w:r>
      <w:r>
        <w:rPr>
          <w:spacing w:val="-14"/>
        </w:rPr>
        <w:t xml:space="preserve"> </w:t>
      </w:r>
      <w:r>
        <w:t>the</w:t>
      </w:r>
      <w:r>
        <w:rPr>
          <w:spacing w:val="-14"/>
        </w:rPr>
        <w:t xml:space="preserve"> </w:t>
      </w:r>
      <w:r>
        <w:t>TLRI</w:t>
      </w:r>
      <w:r>
        <w:rPr>
          <w:spacing w:val="-13"/>
        </w:rPr>
        <w:t xml:space="preserve"> </w:t>
      </w:r>
      <w:r>
        <w:t>has</w:t>
      </w:r>
      <w:r>
        <w:rPr>
          <w:spacing w:val="-14"/>
        </w:rPr>
        <w:t xml:space="preserve"> </w:t>
      </w:r>
      <w:r>
        <w:t>reconsidered</w:t>
      </w:r>
      <w:r>
        <w:rPr>
          <w:spacing w:val="-14"/>
        </w:rPr>
        <w:t xml:space="preserve"> </w:t>
      </w:r>
      <w:r>
        <w:t>this</w:t>
      </w:r>
      <w:r>
        <w:rPr>
          <w:spacing w:val="-14"/>
        </w:rPr>
        <w:t xml:space="preserve"> </w:t>
      </w:r>
      <w:r>
        <w:t>recommendation</w:t>
      </w:r>
      <w:r>
        <w:rPr>
          <w:spacing w:val="-13"/>
        </w:rPr>
        <w:t xml:space="preserve"> </w:t>
      </w:r>
      <w:r>
        <w:t>and</w:t>
      </w:r>
      <w:r>
        <w:rPr>
          <w:spacing w:val="-14"/>
        </w:rPr>
        <w:t xml:space="preserve"> </w:t>
      </w:r>
      <w:r>
        <w:t>has</w:t>
      </w:r>
      <w:r>
        <w:rPr>
          <w:spacing w:val="-14"/>
        </w:rPr>
        <w:t xml:space="preserve"> </w:t>
      </w:r>
      <w:r>
        <w:t>modified</w:t>
      </w:r>
      <w:r>
        <w:rPr>
          <w:spacing w:val="-14"/>
        </w:rPr>
        <w:t xml:space="preserve"> </w:t>
      </w:r>
      <w:r>
        <w:t>its</w:t>
      </w:r>
      <w:r>
        <w:rPr>
          <w:spacing w:val="-13"/>
        </w:rPr>
        <w:t xml:space="preserve"> </w:t>
      </w:r>
      <w:r>
        <w:t>recommendations to</w:t>
      </w:r>
      <w:r>
        <w:rPr>
          <w:spacing w:val="-7"/>
        </w:rPr>
        <w:t xml:space="preserve"> </w:t>
      </w:r>
      <w:r>
        <w:t>provide</w:t>
      </w:r>
      <w:r>
        <w:rPr>
          <w:spacing w:val="-9"/>
        </w:rPr>
        <w:t xml:space="preserve"> </w:t>
      </w:r>
      <w:r>
        <w:t>that</w:t>
      </w:r>
      <w:r>
        <w:rPr>
          <w:spacing w:val="-7"/>
        </w:rPr>
        <w:t xml:space="preserve"> </w:t>
      </w:r>
      <w:r>
        <w:t>the</w:t>
      </w:r>
      <w:r>
        <w:rPr>
          <w:spacing w:val="-9"/>
        </w:rPr>
        <w:t xml:space="preserve"> </w:t>
      </w:r>
      <w:r>
        <w:t>Human</w:t>
      </w:r>
      <w:r>
        <w:rPr>
          <w:spacing w:val="-10"/>
        </w:rPr>
        <w:t xml:space="preserve"> </w:t>
      </w:r>
      <w:r>
        <w:t>Rights</w:t>
      </w:r>
      <w:r>
        <w:rPr>
          <w:spacing w:val="-6"/>
        </w:rPr>
        <w:t xml:space="preserve"> </w:t>
      </w:r>
      <w:r>
        <w:t>Commission</w:t>
      </w:r>
      <w:r>
        <w:rPr>
          <w:spacing w:val="-10"/>
        </w:rPr>
        <w:t xml:space="preserve"> </w:t>
      </w:r>
      <w:r>
        <w:t>may</w:t>
      </w:r>
      <w:r>
        <w:rPr>
          <w:spacing w:val="-9"/>
        </w:rPr>
        <w:t xml:space="preserve"> </w:t>
      </w:r>
      <w:r>
        <w:t>intervene</w:t>
      </w:r>
      <w:r>
        <w:rPr>
          <w:spacing w:val="-9"/>
        </w:rPr>
        <w:t xml:space="preserve"> </w:t>
      </w:r>
      <w:r>
        <w:t>in</w:t>
      </w:r>
      <w:r>
        <w:rPr>
          <w:spacing w:val="-10"/>
        </w:rPr>
        <w:t xml:space="preserve"> </w:t>
      </w:r>
      <w:r>
        <w:t>any</w:t>
      </w:r>
      <w:r>
        <w:rPr>
          <w:spacing w:val="-9"/>
        </w:rPr>
        <w:t xml:space="preserve"> </w:t>
      </w:r>
      <w:r>
        <w:t>court</w:t>
      </w:r>
      <w:r>
        <w:rPr>
          <w:spacing w:val="-8"/>
        </w:rPr>
        <w:t xml:space="preserve"> </w:t>
      </w:r>
      <w:r>
        <w:t>or</w:t>
      </w:r>
      <w:r>
        <w:rPr>
          <w:spacing w:val="-9"/>
        </w:rPr>
        <w:t xml:space="preserve"> </w:t>
      </w:r>
      <w:r>
        <w:t>tribunal</w:t>
      </w:r>
      <w:r>
        <w:rPr>
          <w:spacing w:val="-8"/>
        </w:rPr>
        <w:t xml:space="preserve"> </w:t>
      </w:r>
      <w:r>
        <w:t>proceeding,</w:t>
      </w:r>
      <w:r>
        <w:rPr>
          <w:spacing w:val="-10"/>
        </w:rPr>
        <w:t xml:space="preserve"> </w:t>
      </w:r>
      <w:r>
        <w:t>when the matters raise human rights issues where intervention would be in the interests of justice. This is consistent with the approach in all three Australian jurisdictions with human rights enactments explicitly allow the Attorney-General and the Human Rights Commission to intervene in any court or tribunal proceeding that raises a question of law relating to their respective human rights legislation.</w:t>
      </w:r>
      <w:r>
        <w:rPr>
          <w:position w:val="7"/>
          <w:sz w:val="13"/>
        </w:rPr>
        <w:t>18</w:t>
      </w:r>
      <w:r>
        <w:rPr>
          <w:spacing w:val="40"/>
          <w:position w:val="7"/>
          <w:sz w:val="13"/>
        </w:rPr>
        <w:t xml:space="preserve"> </w:t>
      </w:r>
      <w:r>
        <w:t>The</w:t>
      </w:r>
      <w:r>
        <w:rPr>
          <w:spacing w:val="-13"/>
        </w:rPr>
        <w:t xml:space="preserve"> </w:t>
      </w:r>
      <w:r>
        <w:t>TLRI’s</w:t>
      </w:r>
      <w:r>
        <w:rPr>
          <w:spacing w:val="-12"/>
        </w:rPr>
        <w:t xml:space="preserve"> </w:t>
      </w:r>
      <w:r>
        <w:t>view</w:t>
      </w:r>
      <w:r>
        <w:rPr>
          <w:spacing w:val="-14"/>
        </w:rPr>
        <w:t xml:space="preserve"> </w:t>
      </w:r>
      <w:r>
        <w:t>is</w:t>
      </w:r>
      <w:r>
        <w:rPr>
          <w:spacing w:val="-13"/>
        </w:rPr>
        <w:t xml:space="preserve"> </w:t>
      </w:r>
      <w:r>
        <w:t>that</w:t>
      </w:r>
      <w:r>
        <w:rPr>
          <w:spacing w:val="-12"/>
        </w:rPr>
        <w:t xml:space="preserve"> </w:t>
      </w:r>
      <w:r>
        <w:t>this</w:t>
      </w:r>
      <w:r>
        <w:rPr>
          <w:spacing w:val="-13"/>
        </w:rPr>
        <w:t xml:space="preserve"> </w:t>
      </w:r>
      <w:r>
        <w:t>power</w:t>
      </w:r>
      <w:r>
        <w:rPr>
          <w:spacing w:val="-14"/>
        </w:rPr>
        <w:t xml:space="preserve"> </w:t>
      </w:r>
      <w:r>
        <w:t>to</w:t>
      </w:r>
      <w:r>
        <w:rPr>
          <w:spacing w:val="-13"/>
        </w:rPr>
        <w:t xml:space="preserve"> </w:t>
      </w:r>
      <w:r>
        <w:t>intervene</w:t>
      </w:r>
      <w:r>
        <w:rPr>
          <w:spacing w:val="-13"/>
        </w:rPr>
        <w:t xml:space="preserve"> </w:t>
      </w:r>
      <w:r>
        <w:t>is</w:t>
      </w:r>
      <w:r>
        <w:rPr>
          <w:spacing w:val="-13"/>
        </w:rPr>
        <w:t xml:space="preserve"> </w:t>
      </w:r>
      <w:r>
        <w:t>likely</w:t>
      </w:r>
      <w:r>
        <w:rPr>
          <w:spacing w:val="-14"/>
        </w:rPr>
        <w:t xml:space="preserve"> </w:t>
      </w:r>
      <w:r>
        <w:t>undermined</w:t>
      </w:r>
      <w:r>
        <w:rPr>
          <w:spacing w:val="-13"/>
        </w:rPr>
        <w:t xml:space="preserve"> </w:t>
      </w:r>
      <w:r>
        <w:t>where</w:t>
      </w:r>
      <w:r>
        <w:rPr>
          <w:spacing w:val="-13"/>
        </w:rPr>
        <w:t xml:space="preserve"> </w:t>
      </w:r>
      <w:r>
        <w:t>the</w:t>
      </w:r>
      <w:r>
        <w:rPr>
          <w:spacing w:val="-13"/>
        </w:rPr>
        <w:t xml:space="preserve"> </w:t>
      </w:r>
      <w:r>
        <w:t>Commission</w:t>
      </w:r>
      <w:r>
        <w:rPr>
          <w:spacing w:val="-13"/>
        </w:rPr>
        <w:t xml:space="preserve"> </w:t>
      </w:r>
      <w:r>
        <w:t>is</w:t>
      </w:r>
      <w:r>
        <w:rPr>
          <w:spacing w:val="-13"/>
        </w:rPr>
        <w:t xml:space="preserve"> </w:t>
      </w:r>
      <w:r>
        <w:t>not</w:t>
      </w:r>
      <w:r>
        <w:rPr>
          <w:spacing w:val="-12"/>
        </w:rPr>
        <w:t xml:space="preserve"> </w:t>
      </w:r>
      <w:r>
        <w:t>made aware of relevant proceedings in a timely way or lacks the resources to intervene in all matters. Accordingly,</w:t>
      </w:r>
      <w:r>
        <w:rPr>
          <w:spacing w:val="-5"/>
        </w:rPr>
        <w:t xml:space="preserve"> </w:t>
      </w:r>
      <w:r>
        <w:t>the</w:t>
      </w:r>
      <w:r>
        <w:rPr>
          <w:spacing w:val="-2"/>
        </w:rPr>
        <w:t xml:space="preserve"> </w:t>
      </w:r>
      <w:r>
        <w:t>TLRI</w:t>
      </w:r>
      <w:r>
        <w:rPr>
          <w:spacing w:val="-4"/>
        </w:rPr>
        <w:t xml:space="preserve"> </w:t>
      </w:r>
      <w:r>
        <w:t>recommends</w:t>
      </w:r>
      <w:r>
        <w:rPr>
          <w:spacing w:val="-4"/>
        </w:rPr>
        <w:t xml:space="preserve"> </w:t>
      </w:r>
      <w:r>
        <w:t>that</w:t>
      </w:r>
      <w:r>
        <w:rPr>
          <w:spacing w:val="-1"/>
        </w:rPr>
        <w:t xml:space="preserve"> </w:t>
      </w:r>
      <w:r>
        <w:t>parties</w:t>
      </w:r>
      <w:r>
        <w:rPr>
          <w:spacing w:val="-4"/>
        </w:rPr>
        <w:t xml:space="preserve"> </w:t>
      </w:r>
      <w:r>
        <w:t>to</w:t>
      </w:r>
      <w:r>
        <w:rPr>
          <w:spacing w:val="-2"/>
        </w:rPr>
        <w:t xml:space="preserve"> </w:t>
      </w:r>
      <w:r>
        <w:t>Supreme</w:t>
      </w:r>
      <w:r>
        <w:rPr>
          <w:spacing w:val="-2"/>
        </w:rPr>
        <w:t xml:space="preserve"> </w:t>
      </w:r>
      <w:r>
        <w:t>Court</w:t>
      </w:r>
      <w:r>
        <w:rPr>
          <w:spacing w:val="-4"/>
        </w:rPr>
        <w:t xml:space="preserve"> </w:t>
      </w:r>
      <w:r>
        <w:t>proceedings</w:t>
      </w:r>
      <w:r>
        <w:rPr>
          <w:spacing w:val="-4"/>
        </w:rPr>
        <w:t xml:space="preserve"> </w:t>
      </w:r>
      <w:r>
        <w:t>that</w:t>
      </w:r>
      <w:r>
        <w:rPr>
          <w:spacing w:val="-1"/>
        </w:rPr>
        <w:t xml:space="preserve"> </w:t>
      </w:r>
      <w:r>
        <w:t>raise</w:t>
      </w:r>
      <w:r>
        <w:rPr>
          <w:spacing w:val="-2"/>
        </w:rPr>
        <w:t xml:space="preserve"> </w:t>
      </w:r>
      <w:r>
        <w:t>human</w:t>
      </w:r>
      <w:r>
        <w:rPr>
          <w:spacing w:val="-4"/>
        </w:rPr>
        <w:t xml:space="preserve"> </w:t>
      </w:r>
      <w:r>
        <w:t>rights issues be required to notify the Attorney-General and the Commission, and Magistrates and tribunal members be given discretion to require parties to notify the Attorney-General and the Commission, where</w:t>
      </w:r>
      <w:r>
        <w:rPr>
          <w:spacing w:val="-6"/>
        </w:rPr>
        <w:t xml:space="preserve"> </w:t>
      </w:r>
      <w:r>
        <w:t>they</w:t>
      </w:r>
      <w:r>
        <w:rPr>
          <w:spacing w:val="-6"/>
        </w:rPr>
        <w:t xml:space="preserve"> </w:t>
      </w:r>
      <w:r>
        <w:t>are</w:t>
      </w:r>
      <w:r>
        <w:rPr>
          <w:spacing w:val="-6"/>
        </w:rPr>
        <w:t xml:space="preserve"> </w:t>
      </w:r>
      <w:r>
        <w:t>satisfied</w:t>
      </w:r>
      <w:r>
        <w:rPr>
          <w:spacing w:val="-6"/>
        </w:rPr>
        <w:t xml:space="preserve"> </w:t>
      </w:r>
      <w:r>
        <w:t>that</w:t>
      </w:r>
      <w:r>
        <w:rPr>
          <w:spacing w:val="-7"/>
        </w:rPr>
        <w:t xml:space="preserve"> </w:t>
      </w:r>
      <w:r>
        <w:t>intervention</w:t>
      </w:r>
      <w:r>
        <w:rPr>
          <w:spacing w:val="-6"/>
        </w:rPr>
        <w:t xml:space="preserve"> </w:t>
      </w:r>
      <w:r>
        <w:t>would</w:t>
      </w:r>
      <w:r>
        <w:rPr>
          <w:spacing w:val="-6"/>
        </w:rPr>
        <w:t xml:space="preserve"> </w:t>
      </w:r>
      <w:r>
        <w:t>be</w:t>
      </w:r>
      <w:r>
        <w:rPr>
          <w:spacing w:val="-6"/>
        </w:rPr>
        <w:t xml:space="preserve"> </w:t>
      </w:r>
      <w:r>
        <w:t>in</w:t>
      </w:r>
      <w:r>
        <w:rPr>
          <w:spacing w:val="-6"/>
        </w:rPr>
        <w:t xml:space="preserve"> </w:t>
      </w:r>
      <w:r>
        <w:t>the</w:t>
      </w:r>
      <w:r>
        <w:rPr>
          <w:spacing w:val="-6"/>
        </w:rPr>
        <w:t xml:space="preserve"> </w:t>
      </w:r>
      <w:r>
        <w:t>interests</w:t>
      </w:r>
      <w:r>
        <w:rPr>
          <w:spacing w:val="-6"/>
        </w:rPr>
        <w:t xml:space="preserve"> </w:t>
      </w:r>
      <w:r>
        <w:t>of</w:t>
      </w:r>
      <w:r>
        <w:rPr>
          <w:spacing w:val="-6"/>
        </w:rPr>
        <w:t xml:space="preserve"> </w:t>
      </w:r>
      <w:r>
        <w:t>justice.</w:t>
      </w:r>
      <w:r>
        <w:rPr>
          <w:spacing w:val="-6"/>
        </w:rPr>
        <w:t xml:space="preserve"> </w:t>
      </w:r>
      <w:r>
        <w:t>Further,</w:t>
      </w:r>
      <w:r>
        <w:rPr>
          <w:spacing w:val="-6"/>
        </w:rPr>
        <w:t xml:space="preserve"> </w:t>
      </w:r>
      <w:r>
        <w:t>given</w:t>
      </w:r>
      <w:r>
        <w:rPr>
          <w:spacing w:val="-6"/>
        </w:rPr>
        <w:t xml:space="preserve"> </w:t>
      </w:r>
      <w:r>
        <w:t>the</w:t>
      </w:r>
      <w:r>
        <w:rPr>
          <w:spacing w:val="-6"/>
        </w:rPr>
        <w:t xml:space="preserve"> </w:t>
      </w:r>
      <w:r>
        <w:t>benefits of</w:t>
      </w:r>
      <w:r>
        <w:rPr>
          <w:spacing w:val="-5"/>
        </w:rPr>
        <w:t xml:space="preserve"> </w:t>
      </w:r>
      <w:r>
        <w:t>intervention</w:t>
      </w:r>
      <w:r>
        <w:rPr>
          <w:spacing w:val="-7"/>
        </w:rPr>
        <w:t xml:space="preserve"> </w:t>
      </w:r>
      <w:r>
        <w:t>in</w:t>
      </w:r>
      <w:r>
        <w:rPr>
          <w:spacing w:val="-5"/>
        </w:rPr>
        <w:t xml:space="preserve"> </w:t>
      </w:r>
      <w:r>
        <w:t>developing</w:t>
      </w:r>
      <w:r>
        <w:rPr>
          <w:spacing w:val="-5"/>
        </w:rPr>
        <w:t xml:space="preserve"> </w:t>
      </w:r>
      <w:r>
        <w:t>precedents,</w:t>
      </w:r>
      <w:r>
        <w:rPr>
          <w:spacing w:val="-5"/>
        </w:rPr>
        <w:t xml:space="preserve"> </w:t>
      </w:r>
      <w:r>
        <w:t>clarifying</w:t>
      </w:r>
      <w:r>
        <w:rPr>
          <w:spacing w:val="-7"/>
        </w:rPr>
        <w:t xml:space="preserve"> </w:t>
      </w:r>
      <w:r>
        <w:t>interpretation,</w:t>
      </w:r>
      <w:r>
        <w:rPr>
          <w:spacing w:val="-5"/>
        </w:rPr>
        <w:t xml:space="preserve"> </w:t>
      </w:r>
      <w:r>
        <w:t>and</w:t>
      </w:r>
      <w:r>
        <w:rPr>
          <w:spacing w:val="-5"/>
        </w:rPr>
        <w:t xml:space="preserve"> </w:t>
      </w:r>
      <w:r>
        <w:t>identifying</w:t>
      </w:r>
      <w:r>
        <w:rPr>
          <w:spacing w:val="-5"/>
        </w:rPr>
        <w:t xml:space="preserve"> </w:t>
      </w:r>
      <w:r>
        <w:t>areas</w:t>
      </w:r>
      <w:r>
        <w:rPr>
          <w:spacing w:val="-7"/>
        </w:rPr>
        <w:t xml:space="preserve"> </w:t>
      </w:r>
      <w:r>
        <w:t>for</w:t>
      </w:r>
      <w:r>
        <w:rPr>
          <w:spacing w:val="-5"/>
        </w:rPr>
        <w:t xml:space="preserve"> </w:t>
      </w:r>
      <w:r>
        <w:t>reform,</w:t>
      </w:r>
      <w:r>
        <w:rPr>
          <w:spacing w:val="-5"/>
        </w:rPr>
        <w:t xml:space="preserve"> </w:t>
      </w:r>
      <w:r>
        <w:t>the TLRI is of the view that the government should ensure that a Tasmanian Human Rights Commission has sufficient resources to intervene in any relevant matter.</w:t>
      </w:r>
    </w:p>
    <w:p w14:paraId="7CB25C91" w14:textId="77777777" w:rsidR="008A4099" w:rsidRDefault="008A4099">
      <w:pPr>
        <w:pStyle w:val="BodyText"/>
        <w:rPr>
          <w:sz w:val="20"/>
        </w:rPr>
      </w:pPr>
    </w:p>
    <w:p w14:paraId="7CB25C92" w14:textId="77777777" w:rsidR="008A4099" w:rsidRDefault="008A4099">
      <w:pPr>
        <w:pStyle w:val="BodyText"/>
        <w:rPr>
          <w:sz w:val="20"/>
        </w:rPr>
      </w:pPr>
    </w:p>
    <w:p w14:paraId="7CB25C93" w14:textId="77777777" w:rsidR="008A4099" w:rsidRDefault="008A4099">
      <w:pPr>
        <w:pStyle w:val="BodyText"/>
        <w:rPr>
          <w:sz w:val="20"/>
        </w:rPr>
      </w:pPr>
    </w:p>
    <w:p w14:paraId="7CB25C94" w14:textId="77777777" w:rsidR="008A4099" w:rsidRDefault="008A4099">
      <w:pPr>
        <w:pStyle w:val="BodyText"/>
        <w:rPr>
          <w:sz w:val="20"/>
        </w:rPr>
      </w:pPr>
    </w:p>
    <w:p w14:paraId="7CB25C95" w14:textId="77777777" w:rsidR="008A4099" w:rsidRDefault="008A4099">
      <w:pPr>
        <w:pStyle w:val="BodyText"/>
        <w:rPr>
          <w:sz w:val="20"/>
        </w:rPr>
      </w:pPr>
    </w:p>
    <w:p w14:paraId="7CB25C96" w14:textId="77777777" w:rsidR="008A4099" w:rsidRDefault="008A4099">
      <w:pPr>
        <w:pStyle w:val="BodyText"/>
        <w:rPr>
          <w:sz w:val="20"/>
        </w:rPr>
      </w:pPr>
    </w:p>
    <w:p w14:paraId="7CB25C97" w14:textId="77777777" w:rsidR="008A4099" w:rsidRDefault="008A4099">
      <w:pPr>
        <w:pStyle w:val="BodyText"/>
        <w:rPr>
          <w:sz w:val="20"/>
        </w:rPr>
      </w:pPr>
    </w:p>
    <w:p w14:paraId="7CB25C98" w14:textId="77777777" w:rsidR="008A4099" w:rsidRDefault="006A6EE2">
      <w:pPr>
        <w:pStyle w:val="BodyText"/>
        <w:spacing w:before="224"/>
        <w:rPr>
          <w:sz w:val="20"/>
        </w:rPr>
      </w:pPr>
      <w:r>
        <w:rPr>
          <w:noProof/>
        </w:rPr>
        <mc:AlternateContent>
          <mc:Choice Requires="wps">
            <w:drawing>
              <wp:anchor distT="0" distB="0" distL="0" distR="0" simplePos="0" relativeHeight="487590400" behindDoc="1" locked="0" layoutInCell="1" allowOverlap="1" wp14:anchorId="7CB265E3" wp14:editId="7CB265E4">
                <wp:simplePos x="0" y="0"/>
                <wp:positionH relativeFrom="page">
                  <wp:posOffset>914704</wp:posOffset>
                </wp:positionH>
                <wp:positionV relativeFrom="paragraph">
                  <wp:posOffset>303678</wp:posOffset>
                </wp:positionV>
                <wp:extent cx="1829435"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1D6009" id="Graphic 29" o:spid="_x0000_s1026" style="position:absolute;margin-left:1in;margin-top:23.9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" path="m1829054,l,,,7619r1829054,l1829054,xe" fillcolor="black" stroked="f">
                <v:path arrowok="t"/>
                <w10:wrap type="topAndBottom" anchorx="page"/>
              </v:shape>
            </w:pict>
          </mc:Fallback>
        </mc:AlternateContent>
      </w:r>
    </w:p>
    <w:p w14:paraId="7CB25C99" w14:textId="77777777" w:rsidR="008A4099" w:rsidRDefault="006A6EE2">
      <w:pPr>
        <w:spacing w:before="112"/>
        <w:ind w:left="160"/>
        <w:jc w:val="both"/>
        <w:rPr>
          <w:sz w:val="18"/>
        </w:rPr>
      </w:pPr>
      <w:r>
        <w:rPr>
          <w:sz w:val="18"/>
          <w:vertAlign w:val="superscript"/>
        </w:rPr>
        <w:t>16</w:t>
      </w:r>
      <w:r>
        <w:rPr>
          <w:sz w:val="18"/>
        </w:rPr>
        <w:t xml:space="preserve"> </w:t>
      </w:r>
      <w:r>
        <w:rPr>
          <w:i/>
          <w:sz w:val="18"/>
        </w:rPr>
        <w:t>Human</w:t>
      </w:r>
      <w:r>
        <w:rPr>
          <w:i/>
          <w:spacing w:val="-1"/>
          <w:sz w:val="18"/>
        </w:rPr>
        <w:t xml:space="preserve"> </w:t>
      </w:r>
      <w:r>
        <w:rPr>
          <w:i/>
          <w:sz w:val="18"/>
        </w:rPr>
        <w:t>Rights</w:t>
      </w:r>
      <w:r>
        <w:rPr>
          <w:i/>
          <w:spacing w:val="1"/>
          <w:sz w:val="18"/>
        </w:rPr>
        <w:t xml:space="preserve"> </w:t>
      </w:r>
      <w:r>
        <w:rPr>
          <w:i/>
          <w:sz w:val="18"/>
        </w:rPr>
        <w:t>Act</w:t>
      </w:r>
      <w:r>
        <w:rPr>
          <w:i/>
          <w:spacing w:val="-2"/>
          <w:sz w:val="18"/>
        </w:rPr>
        <w:t xml:space="preserve"> </w:t>
      </w:r>
      <w:r>
        <w:rPr>
          <w:i/>
          <w:sz w:val="18"/>
        </w:rPr>
        <w:t>2004</w:t>
      </w:r>
      <w:r>
        <w:rPr>
          <w:i/>
          <w:spacing w:val="4"/>
          <w:sz w:val="18"/>
        </w:rPr>
        <w:t xml:space="preserve"> </w:t>
      </w:r>
      <w:r>
        <w:rPr>
          <w:sz w:val="18"/>
        </w:rPr>
        <w:t>(ACT) s</w:t>
      </w:r>
      <w:r>
        <w:rPr>
          <w:spacing w:val="-2"/>
          <w:sz w:val="18"/>
        </w:rPr>
        <w:t xml:space="preserve"> </w:t>
      </w:r>
      <w:r>
        <w:rPr>
          <w:spacing w:val="-4"/>
          <w:sz w:val="18"/>
        </w:rPr>
        <w:t>40C.</w:t>
      </w:r>
    </w:p>
    <w:p w14:paraId="7CB25C9A" w14:textId="77777777" w:rsidR="008A4099" w:rsidRDefault="006A6EE2">
      <w:pPr>
        <w:spacing w:before="24" w:line="242" w:lineRule="auto"/>
        <w:ind w:left="160" w:right="674"/>
        <w:jc w:val="both"/>
        <w:rPr>
          <w:sz w:val="18"/>
        </w:rPr>
      </w:pPr>
      <w:r>
        <w:rPr>
          <w:sz w:val="18"/>
          <w:vertAlign w:val="superscript"/>
        </w:rPr>
        <w:t>17</w:t>
      </w:r>
      <w:r>
        <w:rPr>
          <w:spacing w:val="-8"/>
          <w:sz w:val="18"/>
        </w:rPr>
        <w:t xml:space="preserve"> </w:t>
      </w:r>
      <w:r>
        <w:rPr>
          <w:i/>
          <w:sz w:val="18"/>
        </w:rPr>
        <w:t>Director</w:t>
      </w:r>
      <w:r>
        <w:rPr>
          <w:i/>
          <w:spacing w:val="-9"/>
          <w:sz w:val="18"/>
        </w:rPr>
        <w:t xml:space="preserve"> </w:t>
      </w:r>
      <w:r>
        <w:rPr>
          <w:i/>
          <w:sz w:val="18"/>
        </w:rPr>
        <w:t>of</w:t>
      </w:r>
      <w:r>
        <w:rPr>
          <w:i/>
          <w:spacing w:val="-8"/>
          <w:sz w:val="18"/>
        </w:rPr>
        <w:t xml:space="preserve"> </w:t>
      </w:r>
      <w:r>
        <w:rPr>
          <w:i/>
          <w:sz w:val="18"/>
        </w:rPr>
        <w:t>Housing</w:t>
      </w:r>
      <w:r>
        <w:rPr>
          <w:i/>
          <w:spacing w:val="-9"/>
          <w:sz w:val="18"/>
        </w:rPr>
        <w:t xml:space="preserve"> </w:t>
      </w:r>
      <w:r>
        <w:rPr>
          <w:i/>
          <w:sz w:val="18"/>
        </w:rPr>
        <w:t>v</w:t>
      </w:r>
      <w:r>
        <w:rPr>
          <w:i/>
          <w:spacing w:val="-9"/>
          <w:sz w:val="18"/>
        </w:rPr>
        <w:t xml:space="preserve"> </w:t>
      </w:r>
      <w:r>
        <w:rPr>
          <w:i/>
          <w:sz w:val="18"/>
        </w:rPr>
        <w:t>Sudi</w:t>
      </w:r>
      <w:r>
        <w:rPr>
          <w:i/>
          <w:spacing w:val="-7"/>
          <w:sz w:val="18"/>
        </w:rPr>
        <w:t xml:space="preserve"> </w:t>
      </w:r>
      <w:r>
        <w:rPr>
          <w:sz w:val="18"/>
        </w:rPr>
        <w:t>(2011)</w:t>
      </w:r>
      <w:r>
        <w:rPr>
          <w:spacing w:val="-8"/>
          <w:sz w:val="18"/>
        </w:rPr>
        <w:t xml:space="preserve"> </w:t>
      </w:r>
      <w:r>
        <w:rPr>
          <w:sz w:val="18"/>
        </w:rPr>
        <w:t>33</w:t>
      </w:r>
      <w:r>
        <w:rPr>
          <w:spacing w:val="-7"/>
          <w:sz w:val="18"/>
        </w:rPr>
        <w:t xml:space="preserve"> </w:t>
      </w:r>
      <w:r>
        <w:rPr>
          <w:sz w:val="18"/>
        </w:rPr>
        <w:t>VR</w:t>
      </w:r>
      <w:r>
        <w:rPr>
          <w:spacing w:val="-11"/>
          <w:sz w:val="18"/>
        </w:rPr>
        <w:t xml:space="preserve"> </w:t>
      </w:r>
      <w:r>
        <w:rPr>
          <w:sz w:val="18"/>
        </w:rPr>
        <w:t>559</w:t>
      </w:r>
      <w:r>
        <w:rPr>
          <w:spacing w:val="-7"/>
          <w:sz w:val="18"/>
        </w:rPr>
        <w:t xml:space="preserve"> </w:t>
      </w:r>
      <w:r>
        <w:rPr>
          <w:sz w:val="18"/>
        </w:rPr>
        <w:t>per</w:t>
      </w:r>
      <w:r>
        <w:rPr>
          <w:spacing w:val="-8"/>
          <w:sz w:val="18"/>
        </w:rPr>
        <w:t xml:space="preserve"> </w:t>
      </w:r>
      <w:r>
        <w:rPr>
          <w:sz w:val="18"/>
        </w:rPr>
        <w:t>Weinberg</w:t>
      </w:r>
      <w:r>
        <w:rPr>
          <w:spacing w:val="-7"/>
          <w:sz w:val="18"/>
        </w:rPr>
        <w:t xml:space="preserve"> </w:t>
      </w:r>
      <w:r>
        <w:rPr>
          <w:sz w:val="18"/>
        </w:rPr>
        <w:t>JA</w:t>
      </w:r>
      <w:r>
        <w:rPr>
          <w:spacing w:val="-9"/>
          <w:sz w:val="18"/>
        </w:rPr>
        <w:t xml:space="preserve"> </w:t>
      </w:r>
      <w:r>
        <w:rPr>
          <w:sz w:val="18"/>
        </w:rPr>
        <w:t>at</w:t>
      </w:r>
      <w:r>
        <w:rPr>
          <w:spacing w:val="-10"/>
          <w:sz w:val="18"/>
        </w:rPr>
        <w:t xml:space="preserve"> </w:t>
      </w:r>
      <w:r>
        <w:rPr>
          <w:sz w:val="18"/>
        </w:rPr>
        <w:t>596.</w:t>
      </w:r>
      <w:r>
        <w:rPr>
          <w:spacing w:val="-10"/>
          <w:sz w:val="18"/>
        </w:rPr>
        <w:t xml:space="preserve"> </w:t>
      </w:r>
      <w:r>
        <w:rPr>
          <w:sz w:val="18"/>
        </w:rPr>
        <w:t>See</w:t>
      </w:r>
      <w:r>
        <w:rPr>
          <w:spacing w:val="-9"/>
          <w:sz w:val="18"/>
        </w:rPr>
        <w:t xml:space="preserve"> </w:t>
      </w:r>
      <w:r>
        <w:rPr>
          <w:sz w:val="18"/>
        </w:rPr>
        <w:t>Bruce</w:t>
      </w:r>
      <w:r>
        <w:rPr>
          <w:spacing w:val="-9"/>
          <w:sz w:val="18"/>
        </w:rPr>
        <w:t xml:space="preserve"> </w:t>
      </w:r>
      <w:r>
        <w:rPr>
          <w:sz w:val="18"/>
        </w:rPr>
        <w:t>Chen,</w:t>
      </w:r>
      <w:r>
        <w:rPr>
          <w:spacing w:val="-8"/>
          <w:sz w:val="18"/>
        </w:rPr>
        <w:t xml:space="preserve"> </w:t>
      </w:r>
      <w:r>
        <w:rPr>
          <w:sz w:val="18"/>
        </w:rPr>
        <w:t>‘The</w:t>
      </w:r>
      <w:r>
        <w:rPr>
          <w:spacing w:val="-5"/>
          <w:sz w:val="18"/>
        </w:rPr>
        <w:t xml:space="preserve"> </w:t>
      </w:r>
      <w:r>
        <w:rPr>
          <w:i/>
          <w:sz w:val="18"/>
        </w:rPr>
        <w:t>Human</w:t>
      </w:r>
      <w:r>
        <w:rPr>
          <w:i/>
          <w:spacing w:val="-9"/>
          <w:sz w:val="18"/>
        </w:rPr>
        <w:t xml:space="preserve"> </w:t>
      </w:r>
      <w:r>
        <w:rPr>
          <w:i/>
          <w:sz w:val="18"/>
        </w:rPr>
        <w:t>Rights</w:t>
      </w:r>
      <w:r>
        <w:rPr>
          <w:i/>
          <w:spacing w:val="-10"/>
          <w:sz w:val="18"/>
        </w:rPr>
        <w:t xml:space="preserve"> </w:t>
      </w:r>
      <w:r>
        <w:rPr>
          <w:i/>
          <w:sz w:val="18"/>
        </w:rPr>
        <w:t>Act</w:t>
      </w:r>
      <w:r>
        <w:rPr>
          <w:i/>
          <w:spacing w:val="-8"/>
          <w:sz w:val="18"/>
        </w:rPr>
        <w:t xml:space="preserve"> </w:t>
      </w:r>
      <w:r>
        <w:rPr>
          <w:i/>
          <w:sz w:val="18"/>
        </w:rPr>
        <w:t>2019</w:t>
      </w:r>
      <w:r>
        <w:rPr>
          <w:i/>
          <w:spacing w:val="-5"/>
          <w:sz w:val="18"/>
        </w:rPr>
        <w:t xml:space="preserve"> </w:t>
      </w:r>
      <w:r>
        <w:rPr>
          <w:sz w:val="18"/>
        </w:rPr>
        <w:t>(Qld): Some Perspectives from Victoria’</w:t>
      </w:r>
      <w:r>
        <w:rPr>
          <w:spacing w:val="-2"/>
          <w:sz w:val="18"/>
        </w:rPr>
        <w:t xml:space="preserve"> </w:t>
      </w:r>
      <w:r>
        <w:rPr>
          <w:sz w:val="18"/>
        </w:rPr>
        <w:t>(2020)</w:t>
      </w:r>
      <w:r>
        <w:rPr>
          <w:spacing w:val="-2"/>
          <w:sz w:val="18"/>
        </w:rPr>
        <w:t xml:space="preserve"> </w:t>
      </w:r>
      <w:r>
        <w:rPr>
          <w:sz w:val="18"/>
        </w:rPr>
        <w:t xml:space="preserve">45(1) </w:t>
      </w:r>
      <w:r>
        <w:rPr>
          <w:i/>
          <w:sz w:val="18"/>
        </w:rPr>
        <w:t>Alternative Law Journal</w:t>
      </w:r>
      <w:r>
        <w:rPr>
          <w:i/>
          <w:spacing w:val="-3"/>
          <w:sz w:val="18"/>
        </w:rPr>
        <w:t xml:space="preserve"> </w:t>
      </w:r>
      <w:r>
        <w:rPr>
          <w:sz w:val="18"/>
        </w:rPr>
        <w:t>4,</w:t>
      </w:r>
      <w:r>
        <w:rPr>
          <w:spacing w:val="-2"/>
          <w:sz w:val="18"/>
        </w:rPr>
        <w:t xml:space="preserve"> </w:t>
      </w:r>
      <w:r>
        <w:rPr>
          <w:sz w:val="18"/>
        </w:rPr>
        <w:t>10. Chen</w:t>
      </w:r>
      <w:r>
        <w:rPr>
          <w:spacing w:val="-1"/>
          <w:sz w:val="18"/>
        </w:rPr>
        <w:t xml:space="preserve"> </w:t>
      </w:r>
      <w:r>
        <w:rPr>
          <w:sz w:val="18"/>
        </w:rPr>
        <w:t>notes that</w:t>
      </w:r>
      <w:r>
        <w:rPr>
          <w:spacing w:val="-2"/>
          <w:sz w:val="18"/>
        </w:rPr>
        <w:t xml:space="preserve"> </w:t>
      </w:r>
      <w:r>
        <w:rPr>
          <w:sz w:val="18"/>
        </w:rPr>
        <w:t>the Explanatory</w:t>
      </w:r>
      <w:r>
        <w:rPr>
          <w:spacing w:val="-1"/>
          <w:sz w:val="18"/>
        </w:rPr>
        <w:t xml:space="preserve"> </w:t>
      </w:r>
      <w:r>
        <w:rPr>
          <w:sz w:val="18"/>
        </w:rPr>
        <w:t>Notes for</w:t>
      </w:r>
      <w:r>
        <w:rPr>
          <w:spacing w:val="-2"/>
          <w:sz w:val="18"/>
        </w:rPr>
        <w:t xml:space="preserve"> </w:t>
      </w:r>
      <w:r>
        <w:rPr>
          <w:sz w:val="18"/>
        </w:rPr>
        <w:t xml:space="preserve">the Bill says these are ‘additional relevant factors to be taken into account’, rather than limitations, but considers that the text of those provisions might be interpreted more narrowly. See also Simon Evans and Carolyn Evans, ‘Legal Redress under the Victorian Charter of Human Rights and Responsibilities’ (2006) 17 </w:t>
      </w:r>
      <w:r>
        <w:rPr>
          <w:i/>
          <w:sz w:val="18"/>
        </w:rPr>
        <w:t xml:space="preserve">Public Law Review </w:t>
      </w:r>
      <w:r>
        <w:rPr>
          <w:sz w:val="18"/>
        </w:rPr>
        <w:t>264, 281.</w:t>
      </w:r>
    </w:p>
    <w:p w14:paraId="7CB25C9B" w14:textId="77777777" w:rsidR="008A4099" w:rsidRDefault="006A6EE2">
      <w:pPr>
        <w:spacing w:before="13"/>
        <w:ind w:left="160"/>
        <w:jc w:val="both"/>
        <w:rPr>
          <w:sz w:val="18"/>
        </w:rPr>
      </w:pPr>
      <w:r>
        <w:rPr>
          <w:sz w:val="18"/>
          <w:vertAlign w:val="superscript"/>
        </w:rPr>
        <w:t>18</w:t>
      </w:r>
      <w:r>
        <w:rPr>
          <w:sz w:val="18"/>
        </w:rPr>
        <w:t xml:space="preserve"> See</w:t>
      </w:r>
      <w:r>
        <w:rPr>
          <w:spacing w:val="-1"/>
          <w:sz w:val="18"/>
        </w:rPr>
        <w:t xml:space="preserve"> </w:t>
      </w:r>
      <w:r>
        <w:rPr>
          <w:sz w:val="18"/>
        </w:rPr>
        <w:t>[4.6.7]–[4.6.9]</w:t>
      </w:r>
      <w:r>
        <w:rPr>
          <w:spacing w:val="-2"/>
          <w:sz w:val="18"/>
        </w:rPr>
        <w:t xml:space="preserve"> </w:t>
      </w:r>
      <w:r>
        <w:rPr>
          <w:sz w:val="18"/>
        </w:rPr>
        <w:t>of this</w:t>
      </w:r>
      <w:r>
        <w:rPr>
          <w:spacing w:val="1"/>
          <w:sz w:val="18"/>
        </w:rPr>
        <w:t xml:space="preserve"> </w:t>
      </w:r>
      <w:r>
        <w:rPr>
          <w:sz w:val="18"/>
        </w:rPr>
        <w:t>Research</w:t>
      </w:r>
      <w:r>
        <w:rPr>
          <w:spacing w:val="1"/>
          <w:sz w:val="18"/>
        </w:rPr>
        <w:t xml:space="preserve"> </w:t>
      </w:r>
      <w:r>
        <w:rPr>
          <w:spacing w:val="-2"/>
          <w:sz w:val="18"/>
        </w:rPr>
        <w:t>Paper.</w:t>
      </w:r>
    </w:p>
    <w:p w14:paraId="7CB25C9C"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C9D" w14:textId="77777777" w:rsidR="008A4099" w:rsidRDefault="008A4099">
      <w:pPr>
        <w:pStyle w:val="BodyText"/>
        <w:spacing w:before="118"/>
        <w:rPr>
          <w:sz w:val="32"/>
        </w:rPr>
      </w:pPr>
    </w:p>
    <w:p w14:paraId="7CB25C9E" w14:textId="77777777" w:rsidR="008A4099" w:rsidRDefault="006A6EE2">
      <w:pPr>
        <w:ind w:left="538" w:right="1059"/>
        <w:jc w:val="center"/>
        <w:rPr>
          <w:b/>
          <w:sz w:val="32"/>
        </w:rPr>
      </w:pPr>
      <w:r>
        <w:rPr>
          <w:b/>
          <w:sz w:val="32"/>
        </w:rPr>
        <w:t>Part</w:t>
      </w:r>
      <w:r>
        <w:rPr>
          <w:b/>
          <w:spacing w:val="-8"/>
          <w:sz w:val="32"/>
        </w:rPr>
        <w:t xml:space="preserve"> </w:t>
      </w:r>
      <w:r>
        <w:rPr>
          <w:b/>
          <w:spacing w:val="-10"/>
          <w:sz w:val="32"/>
        </w:rPr>
        <w:t>1</w:t>
      </w:r>
    </w:p>
    <w:p w14:paraId="7CB25C9F" w14:textId="77777777" w:rsidR="008A4099" w:rsidRDefault="008A4099">
      <w:pPr>
        <w:pStyle w:val="BodyText"/>
        <w:spacing w:before="119"/>
        <w:rPr>
          <w:b/>
          <w:sz w:val="32"/>
        </w:rPr>
      </w:pPr>
    </w:p>
    <w:p w14:paraId="7CB25CA0" w14:textId="77777777" w:rsidR="008A4099" w:rsidRDefault="006A6EE2">
      <w:pPr>
        <w:pStyle w:val="Heading1"/>
      </w:pPr>
      <w:r>
        <w:rPr>
          <w:spacing w:val="-2"/>
        </w:rPr>
        <w:t>Introduction</w:t>
      </w:r>
    </w:p>
    <w:p w14:paraId="7CB25CA1" w14:textId="77777777" w:rsidR="008A4099" w:rsidRDefault="008A4099">
      <w:pPr>
        <w:pStyle w:val="BodyText"/>
        <w:spacing w:before="42"/>
        <w:rPr>
          <w:b/>
          <w:sz w:val="52"/>
        </w:rPr>
      </w:pPr>
    </w:p>
    <w:p w14:paraId="7CB25CA2" w14:textId="77777777" w:rsidR="008A4099" w:rsidRDefault="006A6EE2">
      <w:pPr>
        <w:pStyle w:val="Heading2"/>
        <w:numPr>
          <w:ilvl w:val="1"/>
          <w:numId w:val="11"/>
        </w:numPr>
        <w:tabs>
          <w:tab w:val="left" w:pos="878"/>
        </w:tabs>
        <w:ind w:left="878" w:hanging="718"/>
        <w:jc w:val="both"/>
      </w:pPr>
      <w:bookmarkStart w:id="1" w:name="_TOC_250059"/>
      <w:r>
        <w:t>Background</w:t>
      </w:r>
      <w:r>
        <w:rPr>
          <w:spacing w:val="-10"/>
        </w:rPr>
        <w:t xml:space="preserve"> </w:t>
      </w:r>
      <w:r>
        <w:t>to</w:t>
      </w:r>
      <w:r>
        <w:rPr>
          <w:spacing w:val="-9"/>
        </w:rPr>
        <w:t xml:space="preserve"> </w:t>
      </w:r>
      <w:r>
        <w:t>this</w:t>
      </w:r>
      <w:r>
        <w:rPr>
          <w:spacing w:val="-10"/>
        </w:rPr>
        <w:t xml:space="preserve"> </w:t>
      </w:r>
      <w:r>
        <w:t>Research</w:t>
      </w:r>
      <w:r>
        <w:rPr>
          <w:spacing w:val="-8"/>
        </w:rPr>
        <w:t xml:space="preserve"> </w:t>
      </w:r>
      <w:bookmarkEnd w:id="1"/>
      <w:r>
        <w:rPr>
          <w:spacing w:val="-2"/>
        </w:rPr>
        <w:t>Paper</w:t>
      </w:r>
    </w:p>
    <w:p w14:paraId="7CB25CA3" w14:textId="77777777" w:rsidR="008A4099" w:rsidRDefault="006A6EE2">
      <w:pPr>
        <w:pStyle w:val="ListParagraph"/>
        <w:numPr>
          <w:ilvl w:val="2"/>
          <w:numId w:val="11"/>
        </w:numPr>
        <w:tabs>
          <w:tab w:val="left" w:pos="879"/>
        </w:tabs>
        <w:ind w:right="675" w:firstLine="0"/>
        <w:jc w:val="both"/>
      </w:pPr>
      <w:r>
        <w:t xml:space="preserve">In 2019, the Board of the Tasmania Law Reform Institute (‘TLRI’) accepted a request from members of the community to review and update its 2007 Final Report: </w:t>
      </w:r>
      <w:r>
        <w:rPr>
          <w:i/>
        </w:rPr>
        <w:t xml:space="preserve">A Charter of Rights for Tasmania </w:t>
      </w:r>
      <w:r>
        <w:t>(‘2007 Final Report’). As part of that reference, the TLRI was asked to investigate how the fundamental rights Tasmanians consider significant might be further enhanced and legally secured. In its 2007 Final Report, the TLRI indicated that it shared the view of the majority of those who made submissions: that there was currently no systematic, logical, or comprehensive protection of human rights in Tasmania. As discussed at [1.3], that Report made a range of recommendations, with the aim of giving better effect to human rights principles in Tasmanian law, including enacting a Charter of Rights for Tasmania.</w:t>
      </w:r>
    </w:p>
    <w:p w14:paraId="7CB25CA4" w14:textId="77777777" w:rsidR="008A4099" w:rsidRDefault="006A6EE2">
      <w:pPr>
        <w:pStyle w:val="ListParagraph"/>
        <w:numPr>
          <w:ilvl w:val="2"/>
          <w:numId w:val="11"/>
        </w:numPr>
        <w:tabs>
          <w:tab w:val="left" w:pos="879"/>
        </w:tabs>
        <w:spacing w:before="216"/>
        <w:ind w:right="677" w:firstLine="0"/>
        <w:jc w:val="both"/>
      </w:pPr>
      <w:r>
        <w:t>While</w:t>
      </w:r>
      <w:r>
        <w:rPr>
          <w:spacing w:val="-4"/>
        </w:rPr>
        <w:t xml:space="preserve"> </w:t>
      </w:r>
      <w:r>
        <w:t>accepting</w:t>
      </w:r>
      <w:r>
        <w:rPr>
          <w:spacing w:val="-7"/>
        </w:rPr>
        <w:t xml:space="preserve"> </w:t>
      </w:r>
      <w:r>
        <w:t>that</w:t>
      </w:r>
      <w:r>
        <w:rPr>
          <w:spacing w:val="-4"/>
        </w:rPr>
        <w:t xml:space="preserve"> </w:t>
      </w:r>
      <w:r>
        <w:t>a</w:t>
      </w:r>
      <w:r>
        <w:rPr>
          <w:spacing w:val="-4"/>
        </w:rPr>
        <w:t xml:space="preserve"> </w:t>
      </w:r>
      <w:r>
        <w:t>Charter</w:t>
      </w:r>
      <w:r>
        <w:rPr>
          <w:spacing w:val="-6"/>
        </w:rPr>
        <w:t xml:space="preserve"> </w:t>
      </w:r>
      <w:r>
        <w:t>of</w:t>
      </w:r>
      <w:r>
        <w:rPr>
          <w:spacing w:val="-4"/>
        </w:rPr>
        <w:t xml:space="preserve"> </w:t>
      </w:r>
      <w:r>
        <w:t>Rights</w:t>
      </w:r>
      <w:r>
        <w:rPr>
          <w:spacing w:val="-4"/>
        </w:rPr>
        <w:t xml:space="preserve"> </w:t>
      </w:r>
      <w:r>
        <w:t>would</w:t>
      </w:r>
      <w:r>
        <w:rPr>
          <w:spacing w:val="-4"/>
        </w:rPr>
        <w:t xml:space="preserve"> </w:t>
      </w:r>
      <w:r>
        <w:t>not</w:t>
      </w:r>
      <w:r>
        <w:rPr>
          <w:spacing w:val="-4"/>
        </w:rPr>
        <w:t xml:space="preserve"> </w:t>
      </w:r>
      <w:r>
        <w:t>be</w:t>
      </w:r>
      <w:r>
        <w:rPr>
          <w:spacing w:val="-7"/>
        </w:rPr>
        <w:t xml:space="preserve"> </w:t>
      </w:r>
      <w:r>
        <w:t>a</w:t>
      </w:r>
      <w:r>
        <w:rPr>
          <w:spacing w:val="-7"/>
        </w:rPr>
        <w:t xml:space="preserve"> </w:t>
      </w:r>
      <w:r>
        <w:t>panacea</w:t>
      </w:r>
      <w:r>
        <w:rPr>
          <w:spacing w:val="-7"/>
        </w:rPr>
        <w:t xml:space="preserve"> </w:t>
      </w:r>
      <w:r>
        <w:t>for</w:t>
      </w:r>
      <w:r>
        <w:rPr>
          <w:spacing w:val="-6"/>
        </w:rPr>
        <w:t xml:space="preserve"> </w:t>
      </w:r>
      <w:r>
        <w:t>all</w:t>
      </w:r>
      <w:r>
        <w:rPr>
          <w:spacing w:val="-4"/>
        </w:rPr>
        <w:t xml:space="preserve"> </w:t>
      </w:r>
      <w:r>
        <w:t>human</w:t>
      </w:r>
      <w:r>
        <w:rPr>
          <w:spacing w:val="-7"/>
        </w:rPr>
        <w:t xml:space="preserve"> </w:t>
      </w:r>
      <w:r>
        <w:t>rights</w:t>
      </w:r>
      <w:r>
        <w:rPr>
          <w:spacing w:val="-4"/>
        </w:rPr>
        <w:t xml:space="preserve"> </w:t>
      </w:r>
      <w:r>
        <w:t>problems or prevent social inequality</w:t>
      </w:r>
      <w:r>
        <w:rPr>
          <w:spacing w:val="-2"/>
        </w:rPr>
        <w:t xml:space="preserve"> </w:t>
      </w:r>
      <w:r>
        <w:t>and injustice</w:t>
      </w:r>
      <w:r>
        <w:rPr>
          <w:spacing w:val="-1"/>
        </w:rPr>
        <w:t xml:space="preserve"> </w:t>
      </w:r>
      <w:r>
        <w:t>in Tasmania,</w:t>
      </w:r>
      <w:r>
        <w:rPr>
          <w:spacing w:val="-1"/>
        </w:rPr>
        <w:t xml:space="preserve"> </w:t>
      </w:r>
      <w:r>
        <w:t>the view of the TLRI</w:t>
      </w:r>
      <w:r>
        <w:rPr>
          <w:spacing w:val="-1"/>
        </w:rPr>
        <w:t xml:space="preserve"> </w:t>
      </w:r>
      <w:r>
        <w:t>was that it would provide a</w:t>
      </w:r>
      <w:r>
        <w:rPr>
          <w:spacing w:val="-10"/>
        </w:rPr>
        <w:t xml:space="preserve"> </w:t>
      </w:r>
      <w:r>
        <w:t>single,</w:t>
      </w:r>
      <w:r>
        <w:rPr>
          <w:spacing w:val="-10"/>
        </w:rPr>
        <w:t xml:space="preserve"> </w:t>
      </w:r>
      <w:r>
        <w:t>comprehensible</w:t>
      </w:r>
      <w:r>
        <w:rPr>
          <w:spacing w:val="-13"/>
        </w:rPr>
        <w:t xml:space="preserve"> </w:t>
      </w:r>
      <w:r>
        <w:t>statement</w:t>
      </w:r>
      <w:r>
        <w:rPr>
          <w:spacing w:val="-10"/>
        </w:rPr>
        <w:t xml:space="preserve"> </w:t>
      </w:r>
      <w:r>
        <w:t>of</w:t>
      </w:r>
      <w:r>
        <w:rPr>
          <w:spacing w:val="-10"/>
        </w:rPr>
        <w:t xml:space="preserve"> </w:t>
      </w:r>
      <w:r>
        <w:t>the</w:t>
      </w:r>
      <w:r>
        <w:rPr>
          <w:spacing w:val="-10"/>
        </w:rPr>
        <w:t xml:space="preserve"> </w:t>
      </w:r>
      <w:r>
        <w:t>fundamental</w:t>
      </w:r>
      <w:r>
        <w:rPr>
          <w:spacing w:val="-12"/>
        </w:rPr>
        <w:t xml:space="preserve"> </w:t>
      </w:r>
      <w:r>
        <w:t>rights</w:t>
      </w:r>
      <w:r>
        <w:rPr>
          <w:spacing w:val="-12"/>
        </w:rPr>
        <w:t xml:space="preserve"> </w:t>
      </w:r>
      <w:r>
        <w:t>applicable</w:t>
      </w:r>
      <w:r>
        <w:rPr>
          <w:spacing w:val="-10"/>
        </w:rPr>
        <w:t xml:space="preserve"> </w:t>
      </w:r>
      <w:r>
        <w:t>in</w:t>
      </w:r>
      <w:r>
        <w:rPr>
          <w:spacing w:val="-11"/>
        </w:rPr>
        <w:t xml:space="preserve"> </w:t>
      </w:r>
      <w:r>
        <w:t>Tasmania,</w:t>
      </w:r>
      <w:r>
        <w:rPr>
          <w:spacing w:val="-13"/>
        </w:rPr>
        <w:t xml:space="preserve"> </w:t>
      </w:r>
      <w:r>
        <w:t>foster</w:t>
      </w:r>
      <w:r>
        <w:rPr>
          <w:spacing w:val="-12"/>
        </w:rPr>
        <w:t xml:space="preserve"> </w:t>
      </w:r>
      <w:r>
        <w:t>community awareness</w:t>
      </w:r>
      <w:r>
        <w:rPr>
          <w:spacing w:val="-2"/>
        </w:rPr>
        <w:t xml:space="preserve"> </w:t>
      </w:r>
      <w:r>
        <w:t>of</w:t>
      </w:r>
      <w:r>
        <w:rPr>
          <w:spacing w:val="-2"/>
        </w:rPr>
        <w:t xml:space="preserve"> </w:t>
      </w:r>
      <w:r>
        <w:t>human</w:t>
      </w:r>
      <w:r>
        <w:rPr>
          <w:spacing w:val="-2"/>
        </w:rPr>
        <w:t xml:space="preserve"> </w:t>
      </w:r>
      <w:r>
        <w:t>rights,</w:t>
      </w:r>
      <w:r>
        <w:rPr>
          <w:spacing w:val="-4"/>
        </w:rPr>
        <w:t xml:space="preserve"> </w:t>
      </w:r>
      <w:r>
        <w:t>and</w:t>
      </w:r>
      <w:r>
        <w:rPr>
          <w:spacing w:val="-2"/>
        </w:rPr>
        <w:t xml:space="preserve"> </w:t>
      </w:r>
      <w:r>
        <w:t>encourage</w:t>
      </w:r>
      <w:r>
        <w:rPr>
          <w:spacing w:val="-2"/>
        </w:rPr>
        <w:t xml:space="preserve"> </w:t>
      </w:r>
      <w:r>
        <w:t>the</w:t>
      </w:r>
      <w:r>
        <w:rPr>
          <w:spacing w:val="-2"/>
        </w:rPr>
        <w:t xml:space="preserve"> </w:t>
      </w:r>
      <w:r>
        <w:t>systematic</w:t>
      </w:r>
      <w:r>
        <w:rPr>
          <w:spacing w:val="-2"/>
        </w:rPr>
        <w:t xml:space="preserve"> </w:t>
      </w:r>
      <w:r>
        <w:t>development</w:t>
      </w:r>
      <w:r>
        <w:rPr>
          <w:spacing w:val="-1"/>
        </w:rPr>
        <w:t xml:space="preserve"> </w:t>
      </w:r>
      <w:r>
        <w:t>and</w:t>
      </w:r>
      <w:r>
        <w:rPr>
          <w:spacing w:val="-2"/>
        </w:rPr>
        <w:t xml:space="preserve"> </w:t>
      </w:r>
      <w:r>
        <w:t>observance</w:t>
      </w:r>
      <w:r>
        <w:rPr>
          <w:spacing w:val="-2"/>
        </w:rPr>
        <w:t xml:space="preserve"> </w:t>
      </w:r>
      <w:r>
        <w:t>across</w:t>
      </w:r>
      <w:r>
        <w:rPr>
          <w:spacing w:val="-2"/>
        </w:rPr>
        <w:t xml:space="preserve"> </w:t>
      </w:r>
      <w:r>
        <w:t>all</w:t>
      </w:r>
      <w:r>
        <w:rPr>
          <w:spacing w:val="-1"/>
        </w:rPr>
        <w:t xml:space="preserve"> </w:t>
      </w:r>
      <w:r>
        <w:t>arms of government of processes responsive to human rights. The TLRI’s view was that the current law provided no clear statement of fundamental rights and freedoms for Tasmanians and set no minimum standards for governments</w:t>
      </w:r>
      <w:r>
        <w:rPr>
          <w:spacing w:val="-2"/>
        </w:rPr>
        <w:t xml:space="preserve"> </w:t>
      </w:r>
      <w:r>
        <w:t>and public authorities. Consequently, there was no general gauge by which to judge government legislation or the actions of public authorities. Additionally, the haphazard and complex nature of rights’ protection in Tasmania impeded the exercise and observance of rights.</w:t>
      </w:r>
    </w:p>
    <w:p w14:paraId="7CB25CA5" w14:textId="77777777" w:rsidR="008A4099" w:rsidRDefault="006A6EE2">
      <w:pPr>
        <w:pStyle w:val="ListParagraph"/>
        <w:numPr>
          <w:ilvl w:val="2"/>
          <w:numId w:val="11"/>
        </w:numPr>
        <w:tabs>
          <w:tab w:val="left" w:pos="879"/>
        </w:tabs>
        <w:spacing w:before="219"/>
        <w:ind w:right="677" w:firstLine="0"/>
        <w:jc w:val="both"/>
        <w:rPr>
          <w:sz w:val="13"/>
        </w:rPr>
      </w:pPr>
      <w:r>
        <w:t>Tasmania still has no Charter of Rights or equivalent legislative framework that sets out legal guarantees for rights in a comprehensive and easily accessible format. In response to a reference from a collection of community groups, the Board of the TLRI agreed to consider whether subsequent developments, within and outside Tasmania, since the 2007 Final Report support any amendments to its earlier recommendations.</w:t>
      </w:r>
      <w:r>
        <w:rPr>
          <w:position w:val="7"/>
          <w:sz w:val="13"/>
        </w:rPr>
        <w:t>19</w:t>
      </w:r>
    </w:p>
    <w:p w14:paraId="7CB25CA6" w14:textId="77777777" w:rsidR="008A4099" w:rsidRDefault="008A4099">
      <w:pPr>
        <w:pStyle w:val="BodyText"/>
      </w:pPr>
    </w:p>
    <w:p w14:paraId="7CB25CA7" w14:textId="77777777" w:rsidR="008A4099" w:rsidRDefault="008A4099">
      <w:pPr>
        <w:pStyle w:val="BodyText"/>
        <w:spacing w:before="128"/>
      </w:pPr>
    </w:p>
    <w:p w14:paraId="7CB25CA8" w14:textId="77777777" w:rsidR="008A4099" w:rsidRDefault="006A6EE2">
      <w:pPr>
        <w:pStyle w:val="Heading2"/>
        <w:numPr>
          <w:ilvl w:val="1"/>
          <w:numId w:val="11"/>
        </w:numPr>
        <w:tabs>
          <w:tab w:val="left" w:pos="878"/>
        </w:tabs>
        <w:ind w:left="878" w:hanging="718"/>
        <w:jc w:val="both"/>
      </w:pPr>
      <w:bookmarkStart w:id="2" w:name="_TOC_250058"/>
      <w:r>
        <w:t>Scope</w:t>
      </w:r>
      <w:r>
        <w:rPr>
          <w:spacing w:val="-8"/>
        </w:rPr>
        <w:t xml:space="preserve"> </w:t>
      </w:r>
      <w:r>
        <w:t>of</w:t>
      </w:r>
      <w:r>
        <w:rPr>
          <w:spacing w:val="-6"/>
        </w:rPr>
        <w:t xml:space="preserve"> </w:t>
      </w:r>
      <w:r>
        <w:t>this</w:t>
      </w:r>
      <w:r>
        <w:rPr>
          <w:spacing w:val="-7"/>
        </w:rPr>
        <w:t xml:space="preserve"> </w:t>
      </w:r>
      <w:r>
        <w:t>Research</w:t>
      </w:r>
      <w:r>
        <w:rPr>
          <w:spacing w:val="-8"/>
        </w:rPr>
        <w:t xml:space="preserve"> </w:t>
      </w:r>
      <w:bookmarkEnd w:id="2"/>
      <w:r>
        <w:rPr>
          <w:spacing w:val="-2"/>
        </w:rPr>
        <w:t>Paper</w:t>
      </w:r>
    </w:p>
    <w:p w14:paraId="7CB25CA9" w14:textId="77777777" w:rsidR="008A4099" w:rsidRDefault="006A6EE2">
      <w:pPr>
        <w:pStyle w:val="ListParagraph"/>
        <w:numPr>
          <w:ilvl w:val="2"/>
          <w:numId w:val="11"/>
        </w:numPr>
        <w:tabs>
          <w:tab w:val="left" w:pos="879"/>
        </w:tabs>
        <w:ind w:right="674" w:firstLine="0"/>
        <w:jc w:val="both"/>
      </w:pPr>
      <w:r>
        <w:t>The research questions for</w:t>
      </w:r>
      <w:r>
        <w:rPr>
          <w:spacing w:val="-1"/>
        </w:rPr>
        <w:t xml:space="preserve"> </w:t>
      </w:r>
      <w:r>
        <w:t>this review are to review and report on developments in Australian human rights law and practice that bear on the TLRI’s recommendations in 2007 for a Tasmanian Human Rights Act. In preparing this report the TLRI will:</w:t>
      </w:r>
    </w:p>
    <w:p w14:paraId="7CB25CAA" w14:textId="77777777" w:rsidR="008A4099" w:rsidRDefault="006A6EE2">
      <w:pPr>
        <w:pStyle w:val="ListParagraph"/>
        <w:numPr>
          <w:ilvl w:val="3"/>
          <w:numId w:val="11"/>
        </w:numPr>
        <w:tabs>
          <w:tab w:val="left" w:pos="1228"/>
        </w:tabs>
        <w:spacing w:before="218" w:line="276" w:lineRule="auto"/>
        <w:ind w:right="682"/>
      </w:pPr>
      <w:r>
        <w:t>consider if developments since 2007 require amendments or improvements to the TLRI’s original</w:t>
      </w:r>
      <w:r>
        <w:rPr>
          <w:spacing w:val="-16"/>
        </w:rPr>
        <w:t xml:space="preserve"> </w:t>
      </w:r>
      <w:r>
        <w:t>model.</w:t>
      </w:r>
      <w:r>
        <w:rPr>
          <w:spacing w:val="-14"/>
        </w:rPr>
        <w:t xml:space="preserve"> </w:t>
      </w:r>
      <w:r>
        <w:t>In</w:t>
      </w:r>
      <w:r>
        <w:rPr>
          <w:spacing w:val="-14"/>
        </w:rPr>
        <w:t xml:space="preserve"> </w:t>
      </w:r>
      <w:r>
        <w:t>particular,</w:t>
      </w:r>
      <w:r>
        <w:rPr>
          <w:spacing w:val="-13"/>
        </w:rPr>
        <w:t xml:space="preserve"> </w:t>
      </w:r>
      <w:r>
        <w:t>it</w:t>
      </w:r>
      <w:r>
        <w:rPr>
          <w:spacing w:val="-14"/>
        </w:rPr>
        <w:t xml:space="preserve"> </w:t>
      </w:r>
      <w:r>
        <w:t>will</w:t>
      </w:r>
      <w:r>
        <w:rPr>
          <w:spacing w:val="-14"/>
        </w:rPr>
        <w:t xml:space="preserve"> </w:t>
      </w:r>
      <w:r>
        <w:t>consider</w:t>
      </w:r>
      <w:r>
        <w:rPr>
          <w:spacing w:val="-14"/>
        </w:rPr>
        <w:t xml:space="preserve"> </w:t>
      </w:r>
      <w:r>
        <w:t>the</w:t>
      </w:r>
      <w:r>
        <w:rPr>
          <w:spacing w:val="-13"/>
        </w:rPr>
        <w:t xml:space="preserve"> </w:t>
      </w:r>
      <w:r>
        <w:t>experience</w:t>
      </w:r>
      <w:r>
        <w:rPr>
          <w:spacing w:val="-14"/>
        </w:rPr>
        <w:t xml:space="preserve"> </w:t>
      </w:r>
      <w:r>
        <w:t>in</w:t>
      </w:r>
      <w:r>
        <w:rPr>
          <w:spacing w:val="-14"/>
        </w:rPr>
        <w:t xml:space="preserve"> </w:t>
      </w:r>
      <w:r>
        <w:t>other</w:t>
      </w:r>
      <w:r>
        <w:rPr>
          <w:spacing w:val="-14"/>
        </w:rPr>
        <w:t xml:space="preserve"> </w:t>
      </w:r>
      <w:r>
        <w:t>Australian</w:t>
      </w:r>
      <w:r>
        <w:rPr>
          <w:spacing w:val="-13"/>
        </w:rPr>
        <w:t xml:space="preserve"> </w:t>
      </w:r>
      <w:r>
        <w:t>jurisdictions with human rights statutes.</w:t>
      </w:r>
    </w:p>
    <w:p w14:paraId="7CB25CAB" w14:textId="77777777" w:rsidR="008A4099" w:rsidRDefault="006A6EE2">
      <w:pPr>
        <w:pStyle w:val="ListParagraph"/>
        <w:numPr>
          <w:ilvl w:val="3"/>
          <w:numId w:val="11"/>
        </w:numPr>
        <w:tabs>
          <w:tab w:val="left" w:pos="1228"/>
        </w:tabs>
        <w:spacing w:before="116" w:line="276" w:lineRule="auto"/>
        <w:ind w:right="680"/>
      </w:pPr>
      <w:r>
        <w:t>consider if developments since 2007 make a State Human Rights Act more or less necessary.</w:t>
      </w:r>
      <w:r>
        <w:rPr>
          <w:spacing w:val="-7"/>
        </w:rPr>
        <w:t xml:space="preserve"> </w:t>
      </w:r>
      <w:r>
        <w:t>In</w:t>
      </w:r>
      <w:r>
        <w:rPr>
          <w:spacing w:val="-7"/>
        </w:rPr>
        <w:t xml:space="preserve"> </w:t>
      </w:r>
      <w:r>
        <w:t>particular,</w:t>
      </w:r>
      <w:r>
        <w:rPr>
          <w:spacing w:val="-7"/>
        </w:rPr>
        <w:t xml:space="preserve"> </w:t>
      </w:r>
      <w:r>
        <w:t>it</w:t>
      </w:r>
      <w:r>
        <w:rPr>
          <w:spacing w:val="-9"/>
        </w:rPr>
        <w:t xml:space="preserve"> </w:t>
      </w:r>
      <w:r>
        <w:t>will</w:t>
      </w:r>
      <w:r>
        <w:rPr>
          <w:spacing w:val="-8"/>
        </w:rPr>
        <w:t xml:space="preserve"> </w:t>
      </w:r>
      <w:r>
        <w:t>consider</w:t>
      </w:r>
      <w:r>
        <w:rPr>
          <w:spacing w:val="-8"/>
        </w:rPr>
        <w:t xml:space="preserve"> </w:t>
      </w:r>
      <w:r>
        <w:t>the</w:t>
      </w:r>
      <w:r>
        <w:rPr>
          <w:spacing w:val="-9"/>
        </w:rPr>
        <w:t xml:space="preserve"> </w:t>
      </w:r>
      <w:r>
        <w:t>extent</w:t>
      </w:r>
      <w:r>
        <w:rPr>
          <w:spacing w:val="-8"/>
        </w:rPr>
        <w:t xml:space="preserve"> </w:t>
      </w:r>
      <w:r>
        <w:t>to</w:t>
      </w:r>
      <w:r>
        <w:rPr>
          <w:spacing w:val="-12"/>
        </w:rPr>
        <w:t xml:space="preserve"> </w:t>
      </w:r>
      <w:r>
        <w:t>which</w:t>
      </w:r>
      <w:r>
        <w:rPr>
          <w:spacing w:val="-7"/>
        </w:rPr>
        <w:t xml:space="preserve"> </w:t>
      </w:r>
      <w:r>
        <w:t>human</w:t>
      </w:r>
      <w:r>
        <w:rPr>
          <w:spacing w:val="-7"/>
        </w:rPr>
        <w:t xml:space="preserve"> </w:t>
      </w:r>
      <w:r>
        <w:t>rights</w:t>
      </w:r>
      <w:r>
        <w:rPr>
          <w:spacing w:val="-9"/>
        </w:rPr>
        <w:t xml:space="preserve"> </w:t>
      </w:r>
      <w:r>
        <w:t>are</w:t>
      </w:r>
      <w:r>
        <w:rPr>
          <w:spacing w:val="-9"/>
        </w:rPr>
        <w:t xml:space="preserve"> </w:t>
      </w:r>
      <w:r>
        <w:t>today</w:t>
      </w:r>
      <w:r>
        <w:rPr>
          <w:spacing w:val="-7"/>
        </w:rPr>
        <w:t xml:space="preserve"> </w:t>
      </w:r>
      <w:r>
        <w:t>more</w:t>
      </w:r>
      <w:r>
        <w:rPr>
          <w:spacing w:val="-9"/>
        </w:rPr>
        <w:t xml:space="preserve"> </w:t>
      </w:r>
      <w:r>
        <w:t>or less understood, respected, and protected.</w:t>
      </w:r>
    </w:p>
    <w:p w14:paraId="7CB25CAC" w14:textId="77777777" w:rsidR="008A4099" w:rsidRDefault="006A6EE2">
      <w:pPr>
        <w:pStyle w:val="BodyText"/>
        <w:spacing w:before="208"/>
        <w:rPr>
          <w:sz w:val="20"/>
        </w:rPr>
      </w:pPr>
      <w:r>
        <w:rPr>
          <w:noProof/>
        </w:rPr>
        <mc:AlternateContent>
          <mc:Choice Requires="wps">
            <w:drawing>
              <wp:anchor distT="0" distB="0" distL="0" distR="0" simplePos="0" relativeHeight="487590912" behindDoc="1" locked="0" layoutInCell="1" allowOverlap="1" wp14:anchorId="7CB265E5" wp14:editId="7CB265E6">
                <wp:simplePos x="0" y="0"/>
                <wp:positionH relativeFrom="page">
                  <wp:posOffset>914704</wp:posOffset>
                </wp:positionH>
                <wp:positionV relativeFrom="paragraph">
                  <wp:posOffset>293615</wp:posOffset>
                </wp:positionV>
                <wp:extent cx="1829435"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98781C" id="Graphic 36" o:spid="_x0000_s1026" style="position:absolute;margin-left:1in;margin-top:23.1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" path="m1829054,l,,,7619r1829054,l1829054,xe" fillcolor="black" stroked="f">
                <v:path arrowok="t"/>
                <w10:wrap type="topAndBottom" anchorx="page"/>
              </v:shape>
            </w:pict>
          </mc:Fallback>
        </mc:AlternateContent>
      </w:r>
    </w:p>
    <w:p w14:paraId="7CB25CAD" w14:textId="77777777" w:rsidR="008A4099" w:rsidRDefault="006A6EE2">
      <w:pPr>
        <w:spacing w:before="112"/>
        <w:ind w:left="160"/>
        <w:rPr>
          <w:sz w:val="18"/>
        </w:rPr>
      </w:pPr>
      <w:r>
        <w:rPr>
          <w:sz w:val="18"/>
          <w:vertAlign w:val="superscript"/>
        </w:rPr>
        <w:t>19</w:t>
      </w:r>
      <w:r>
        <w:rPr>
          <w:spacing w:val="1"/>
          <w:sz w:val="18"/>
        </w:rPr>
        <w:t xml:space="preserve"> </w:t>
      </w:r>
      <w:r>
        <w:rPr>
          <w:sz w:val="18"/>
        </w:rPr>
        <w:t>These community</w:t>
      </w:r>
      <w:r>
        <w:rPr>
          <w:spacing w:val="3"/>
          <w:sz w:val="18"/>
        </w:rPr>
        <w:t xml:space="preserve"> </w:t>
      </w:r>
      <w:r>
        <w:rPr>
          <w:sz w:val="18"/>
        </w:rPr>
        <w:t>groups</w:t>
      </w:r>
      <w:r>
        <w:rPr>
          <w:spacing w:val="1"/>
          <w:sz w:val="18"/>
        </w:rPr>
        <w:t xml:space="preserve"> </w:t>
      </w:r>
      <w:r>
        <w:rPr>
          <w:sz w:val="18"/>
        </w:rPr>
        <w:t>are</w:t>
      </w:r>
      <w:r>
        <w:rPr>
          <w:spacing w:val="1"/>
          <w:sz w:val="18"/>
        </w:rPr>
        <w:t xml:space="preserve"> </w:t>
      </w:r>
      <w:r>
        <w:rPr>
          <w:sz w:val="18"/>
        </w:rPr>
        <w:t>listed</w:t>
      </w:r>
      <w:r>
        <w:rPr>
          <w:spacing w:val="2"/>
          <w:sz w:val="18"/>
        </w:rPr>
        <w:t xml:space="preserve"> </w:t>
      </w:r>
      <w:r>
        <w:rPr>
          <w:sz w:val="18"/>
        </w:rPr>
        <w:t>on page</w:t>
      </w:r>
      <w:r>
        <w:rPr>
          <w:spacing w:val="-2"/>
          <w:sz w:val="18"/>
        </w:rPr>
        <w:t xml:space="preserve"> </w:t>
      </w:r>
      <w:r>
        <w:rPr>
          <w:spacing w:val="-5"/>
          <w:sz w:val="18"/>
        </w:rPr>
        <w:t>vi.</w:t>
      </w:r>
    </w:p>
    <w:p w14:paraId="7CB25CAE" w14:textId="77777777" w:rsidR="008A4099" w:rsidRDefault="008A4099">
      <w:pPr>
        <w:rPr>
          <w:sz w:val="18"/>
        </w:rPr>
        <w:sectPr w:rsidR="008A4099" w:rsidSect="00D43B2D">
          <w:headerReference w:type="even" r:id="rId41"/>
          <w:headerReference w:type="default" r:id="rId42"/>
          <w:footerReference w:type="even" r:id="rId43"/>
          <w:footerReference w:type="default" r:id="rId44"/>
          <w:pgSz w:w="11910" w:h="16840"/>
          <w:pgMar w:top="980" w:right="760" w:bottom="940" w:left="1280" w:header="718" w:footer="753" w:gutter="0"/>
          <w:pgNumType w:start="1"/>
          <w:cols w:space="720"/>
        </w:sectPr>
      </w:pPr>
    </w:p>
    <w:p w14:paraId="7CB25CAF" w14:textId="77777777" w:rsidR="008A4099" w:rsidRDefault="008A4099">
      <w:pPr>
        <w:pStyle w:val="BodyText"/>
        <w:spacing w:before="195"/>
      </w:pPr>
    </w:p>
    <w:p w14:paraId="7CB25CB0" w14:textId="77777777" w:rsidR="008A4099" w:rsidRDefault="006A6EE2">
      <w:pPr>
        <w:pStyle w:val="ListParagraph"/>
        <w:numPr>
          <w:ilvl w:val="3"/>
          <w:numId w:val="11"/>
        </w:numPr>
        <w:tabs>
          <w:tab w:val="left" w:pos="1228"/>
        </w:tabs>
        <w:spacing w:before="0" w:line="276" w:lineRule="auto"/>
        <w:ind w:right="681"/>
        <w:jc w:val="left"/>
      </w:pPr>
      <w:r>
        <w:t>seek the input of legal experts, government representatives, and peak community bodies, as necessary, to inform the above considerations.</w:t>
      </w:r>
    </w:p>
    <w:p w14:paraId="7CB25CB1" w14:textId="77777777" w:rsidR="008A4099" w:rsidRDefault="006A6EE2">
      <w:pPr>
        <w:pStyle w:val="ListParagraph"/>
        <w:numPr>
          <w:ilvl w:val="2"/>
          <w:numId w:val="11"/>
        </w:numPr>
        <w:tabs>
          <w:tab w:val="left" w:pos="879"/>
        </w:tabs>
        <w:spacing w:before="218"/>
        <w:ind w:right="675" w:firstLine="0"/>
        <w:jc w:val="both"/>
      </w:pPr>
      <w:r>
        <w:t>It</w:t>
      </w:r>
      <w:r>
        <w:rPr>
          <w:spacing w:val="-8"/>
        </w:rPr>
        <w:t xml:space="preserve"> </w:t>
      </w:r>
      <w:r>
        <w:t>is</w:t>
      </w:r>
      <w:r>
        <w:rPr>
          <w:spacing w:val="-8"/>
        </w:rPr>
        <w:t xml:space="preserve"> </w:t>
      </w:r>
      <w:r>
        <w:t>important</w:t>
      </w:r>
      <w:r>
        <w:rPr>
          <w:spacing w:val="-8"/>
        </w:rPr>
        <w:t xml:space="preserve"> </w:t>
      </w:r>
      <w:r>
        <w:t>to</w:t>
      </w:r>
      <w:r>
        <w:rPr>
          <w:spacing w:val="-9"/>
        </w:rPr>
        <w:t xml:space="preserve"> </w:t>
      </w:r>
      <w:r>
        <w:t>stress</w:t>
      </w:r>
      <w:r>
        <w:rPr>
          <w:spacing w:val="-8"/>
        </w:rPr>
        <w:t xml:space="preserve"> </w:t>
      </w:r>
      <w:r>
        <w:t>that</w:t>
      </w:r>
      <w:r>
        <w:rPr>
          <w:spacing w:val="-10"/>
        </w:rPr>
        <w:t xml:space="preserve"> </w:t>
      </w:r>
      <w:r>
        <w:t>this</w:t>
      </w:r>
      <w:r>
        <w:rPr>
          <w:spacing w:val="-8"/>
        </w:rPr>
        <w:t xml:space="preserve"> </w:t>
      </w:r>
      <w:r>
        <w:t>current</w:t>
      </w:r>
      <w:r>
        <w:rPr>
          <w:spacing w:val="-8"/>
        </w:rPr>
        <w:t xml:space="preserve"> </w:t>
      </w:r>
      <w:r>
        <w:t>review</w:t>
      </w:r>
      <w:r>
        <w:rPr>
          <w:spacing w:val="-9"/>
        </w:rPr>
        <w:t xml:space="preserve"> </w:t>
      </w:r>
      <w:r>
        <w:t>was</w:t>
      </w:r>
      <w:r>
        <w:rPr>
          <w:spacing w:val="-8"/>
        </w:rPr>
        <w:t xml:space="preserve"> </w:t>
      </w:r>
      <w:r>
        <w:t>not</w:t>
      </w:r>
      <w:r>
        <w:rPr>
          <w:spacing w:val="-8"/>
        </w:rPr>
        <w:t xml:space="preserve"> </w:t>
      </w:r>
      <w:r>
        <w:t>given</w:t>
      </w:r>
      <w:r>
        <w:rPr>
          <w:spacing w:val="-11"/>
        </w:rPr>
        <w:t xml:space="preserve"> </w:t>
      </w:r>
      <w:r>
        <w:t>to</w:t>
      </w:r>
      <w:r>
        <w:rPr>
          <w:spacing w:val="-9"/>
        </w:rPr>
        <w:t xml:space="preserve"> </w:t>
      </w:r>
      <w:r>
        <w:t>the</w:t>
      </w:r>
      <w:r>
        <w:rPr>
          <w:spacing w:val="-8"/>
        </w:rPr>
        <w:t xml:space="preserve"> </w:t>
      </w:r>
      <w:r>
        <w:t>TLRI</w:t>
      </w:r>
      <w:r>
        <w:rPr>
          <w:spacing w:val="-10"/>
        </w:rPr>
        <w:t xml:space="preserve"> </w:t>
      </w:r>
      <w:r>
        <w:t>to</w:t>
      </w:r>
      <w:r>
        <w:rPr>
          <w:spacing w:val="-9"/>
        </w:rPr>
        <w:t xml:space="preserve"> </w:t>
      </w:r>
      <w:r>
        <w:t>reopen</w:t>
      </w:r>
      <w:r>
        <w:rPr>
          <w:spacing w:val="-11"/>
        </w:rPr>
        <w:t xml:space="preserve"> </w:t>
      </w:r>
      <w:r>
        <w:t>the</w:t>
      </w:r>
      <w:r>
        <w:rPr>
          <w:spacing w:val="-8"/>
        </w:rPr>
        <w:t xml:space="preserve"> </w:t>
      </w:r>
      <w:r>
        <w:t>original reference or for it to be undertaken in the manner of a full reference. It has a more limited scope as a Research</w:t>
      </w:r>
      <w:r>
        <w:rPr>
          <w:spacing w:val="-14"/>
        </w:rPr>
        <w:t xml:space="preserve"> </w:t>
      </w:r>
      <w:r>
        <w:t>Paper</w:t>
      </w:r>
      <w:r>
        <w:rPr>
          <w:spacing w:val="-11"/>
        </w:rPr>
        <w:t xml:space="preserve"> </w:t>
      </w:r>
      <w:r>
        <w:t>confined</w:t>
      </w:r>
      <w:r>
        <w:rPr>
          <w:spacing w:val="-14"/>
        </w:rPr>
        <w:t xml:space="preserve"> </w:t>
      </w:r>
      <w:r>
        <w:t>to</w:t>
      </w:r>
      <w:r>
        <w:rPr>
          <w:spacing w:val="-14"/>
        </w:rPr>
        <w:t xml:space="preserve"> </w:t>
      </w:r>
      <w:r>
        <w:t>exploring</w:t>
      </w:r>
      <w:r>
        <w:rPr>
          <w:spacing w:val="-11"/>
        </w:rPr>
        <w:t xml:space="preserve"> </w:t>
      </w:r>
      <w:r>
        <w:t>questions</w:t>
      </w:r>
      <w:r>
        <w:rPr>
          <w:spacing w:val="-11"/>
        </w:rPr>
        <w:t xml:space="preserve"> </w:t>
      </w:r>
      <w:r>
        <w:t>about</w:t>
      </w:r>
      <w:r>
        <w:rPr>
          <w:spacing w:val="-13"/>
        </w:rPr>
        <w:t xml:space="preserve"> </w:t>
      </w:r>
      <w:r>
        <w:t>how</w:t>
      </w:r>
      <w:r>
        <w:rPr>
          <w:spacing w:val="-13"/>
        </w:rPr>
        <w:t xml:space="preserve"> </w:t>
      </w:r>
      <w:r>
        <w:t>events</w:t>
      </w:r>
      <w:r>
        <w:rPr>
          <w:spacing w:val="-14"/>
        </w:rPr>
        <w:t xml:space="preserve"> </w:t>
      </w:r>
      <w:r>
        <w:t>and</w:t>
      </w:r>
      <w:r>
        <w:rPr>
          <w:spacing w:val="-13"/>
        </w:rPr>
        <w:t xml:space="preserve"> </w:t>
      </w:r>
      <w:r>
        <w:t>human</w:t>
      </w:r>
      <w:r>
        <w:rPr>
          <w:spacing w:val="-14"/>
        </w:rPr>
        <w:t xml:space="preserve"> </w:t>
      </w:r>
      <w:r>
        <w:t>rights</w:t>
      </w:r>
      <w:r>
        <w:rPr>
          <w:spacing w:val="-13"/>
        </w:rPr>
        <w:t xml:space="preserve"> </w:t>
      </w:r>
      <w:r>
        <w:t>developments</w:t>
      </w:r>
      <w:r>
        <w:rPr>
          <w:spacing w:val="-14"/>
        </w:rPr>
        <w:t xml:space="preserve"> </w:t>
      </w:r>
      <w:r>
        <w:t>since 2007 may have relevance and import for the recommendations made in the 2007 Final Report. Accordingly,</w:t>
      </w:r>
      <w:r>
        <w:rPr>
          <w:spacing w:val="-2"/>
        </w:rPr>
        <w:t xml:space="preserve"> </w:t>
      </w:r>
      <w:r>
        <w:t>the</w:t>
      </w:r>
      <w:r>
        <w:rPr>
          <w:spacing w:val="-2"/>
        </w:rPr>
        <w:t xml:space="preserve"> </w:t>
      </w:r>
      <w:r>
        <w:t>TLRI</w:t>
      </w:r>
      <w:r>
        <w:rPr>
          <w:spacing w:val="-3"/>
        </w:rPr>
        <w:t xml:space="preserve"> </w:t>
      </w:r>
      <w:r>
        <w:t>did</w:t>
      </w:r>
      <w:r>
        <w:rPr>
          <w:spacing w:val="-2"/>
        </w:rPr>
        <w:t xml:space="preserve"> </w:t>
      </w:r>
      <w:r>
        <w:t>not</w:t>
      </w:r>
      <w:r>
        <w:rPr>
          <w:spacing w:val="-1"/>
        </w:rPr>
        <w:t xml:space="preserve"> </w:t>
      </w:r>
      <w:r>
        <w:t>obtain</w:t>
      </w:r>
      <w:r>
        <w:rPr>
          <w:spacing w:val="-2"/>
        </w:rPr>
        <w:t xml:space="preserve"> </w:t>
      </w:r>
      <w:r>
        <w:t>either</w:t>
      </w:r>
      <w:r>
        <w:rPr>
          <w:spacing w:val="-3"/>
        </w:rPr>
        <w:t xml:space="preserve"> </w:t>
      </w:r>
      <w:r>
        <w:t>the</w:t>
      </w:r>
      <w:r>
        <w:rPr>
          <w:spacing w:val="-2"/>
        </w:rPr>
        <w:t xml:space="preserve"> </w:t>
      </w:r>
      <w:r>
        <w:t>financial</w:t>
      </w:r>
      <w:r>
        <w:rPr>
          <w:spacing w:val="-1"/>
        </w:rPr>
        <w:t xml:space="preserve"> </w:t>
      </w:r>
      <w:r>
        <w:t>or</w:t>
      </w:r>
      <w:r>
        <w:rPr>
          <w:spacing w:val="-2"/>
        </w:rPr>
        <w:t xml:space="preserve"> </w:t>
      </w:r>
      <w:r>
        <w:t>human</w:t>
      </w:r>
      <w:r>
        <w:rPr>
          <w:spacing w:val="-3"/>
        </w:rPr>
        <w:t xml:space="preserve"> </w:t>
      </w:r>
      <w:r>
        <w:t>resources to</w:t>
      </w:r>
      <w:r>
        <w:rPr>
          <w:spacing w:val="-2"/>
        </w:rPr>
        <w:t xml:space="preserve"> </w:t>
      </w:r>
      <w:r>
        <w:t>conduct</w:t>
      </w:r>
      <w:r>
        <w:rPr>
          <w:spacing w:val="-3"/>
        </w:rPr>
        <w:t xml:space="preserve"> </w:t>
      </w:r>
      <w:r>
        <w:t>this</w:t>
      </w:r>
      <w:r>
        <w:rPr>
          <w:spacing w:val="-2"/>
        </w:rPr>
        <w:t xml:space="preserve"> </w:t>
      </w:r>
      <w:r>
        <w:t>review</w:t>
      </w:r>
      <w:r>
        <w:rPr>
          <w:spacing w:val="-2"/>
        </w:rPr>
        <w:t xml:space="preserve"> </w:t>
      </w:r>
      <w:r>
        <w:t>in the same manner as the original reference and did not undertake a full community consultation of the kind undertaken in the preparation of the 2007 Final Report. The TLRI did, however, receive advice from the people who gave the reference to the TLRI (see Appendix C) and had the benefit of advice and</w:t>
      </w:r>
      <w:r>
        <w:rPr>
          <w:spacing w:val="-4"/>
        </w:rPr>
        <w:t xml:space="preserve"> </w:t>
      </w:r>
      <w:r>
        <w:t>oversight</w:t>
      </w:r>
      <w:r>
        <w:rPr>
          <w:spacing w:val="-6"/>
        </w:rPr>
        <w:t xml:space="preserve"> </w:t>
      </w:r>
      <w:r>
        <w:t>in</w:t>
      </w:r>
      <w:r>
        <w:rPr>
          <w:spacing w:val="-5"/>
        </w:rPr>
        <w:t xml:space="preserve"> </w:t>
      </w:r>
      <w:r>
        <w:t>the</w:t>
      </w:r>
      <w:r>
        <w:rPr>
          <w:spacing w:val="-4"/>
        </w:rPr>
        <w:t xml:space="preserve"> </w:t>
      </w:r>
      <w:r>
        <w:t>preparation</w:t>
      </w:r>
      <w:r>
        <w:rPr>
          <w:spacing w:val="-5"/>
        </w:rPr>
        <w:t xml:space="preserve"> </w:t>
      </w:r>
      <w:r>
        <w:t>of</w:t>
      </w:r>
      <w:r>
        <w:rPr>
          <w:spacing w:val="-4"/>
        </w:rPr>
        <w:t xml:space="preserve"> </w:t>
      </w:r>
      <w:r>
        <w:t>this</w:t>
      </w:r>
      <w:r>
        <w:rPr>
          <w:spacing w:val="-4"/>
        </w:rPr>
        <w:t xml:space="preserve"> </w:t>
      </w:r>
      <w:r>
        <w:t>Research</w:t>
      </w:r>
      <w:r>
        <w:rPr>
          <w:spacing w:val="-4"/>
        </w:rPr>
        <w:t xml:space="preserve"> </w:t>
      </w:r>
      <w:r>
        <w:t>Paper</w:t>
      </w:r>
      <w:r>
        <w:rPr>
          <w:spacing w:val="-6"/>
        </w:rPr>
        <w:t xml:space="preserve"> </w:t>
      </w:r>
      <w:r>
        <w:t>provided</w:t>
      </w:r>
      <w:r>
        <w:rPr>
          <w:spacing w:val="-4"/>
        </w:rPr>
        <w:t xml:space="preserve"> </w:t>
      </w:r>
      <w:r>
        <w:t>by</w:t>
      </w:r>
      <w:r>
        <w:rPr>
          <w:spacing w:val="-5"/>
        </w:rPr>
        <w:t xml:space="preserve"> </w:t>
      </w:r>
      <w:r>
        <w:t>an</w:t>
      </w:r>
      <w:r>
        <w:rPr>
          <w:spacing w:val="-5"/>
        </w:rPr>
        <w:t xml:space="preserve"> </w:t>
      </w:r>
      <w:r>
        <w:t>Expert</w:t>
      </w:r>
      <w:r>
        <w:rPr>
          <w:spacing w:val="-4"/>
        </w:rPr>
        <w:t xml:space="preserve"> </w:t>
      </w:r>
      <w:r>
        <w:t>Advisory</w:t>
      </w:r>
      <w:r>
        <w:rPr>
          <w:spacing w:val="-5"/>
        </w:rPr>
        <w:t xml:space="preserve"> </w:t>
      </w:r>
      <w:r>
        <w:t>Group.</w:t>
      </w:r>
      <w:r>
        <w:rPr>
          <w:position w:val="7"/>
          <w:sz w:val="13"/>
        </w:rPr>
        <w:t>20</w:t>
      </w:r>
      <w:r>
        <w:rPr>
          <w:spacing w:val="17"/>
          <w:position w:val="7"/>
          <w:sz w:val="13"/>
        </w:rPr>
        <w:t xml:space="preserve"> </w:t>
      </w:r>
      <w:r>
        <w:t>It</w:t>
      </w:r>
      <w:r>
        <w:rPr>
          <w:spacing w:val="-4"/>
        </w:rPr>
        <w:t xml:space="preserve"> </w:t>
      </w:r>
      <w:r>
        <w:t>has also taken account of reviews and developments in other jurisdictions to inform its views and the recommendations set out in this Research Paper.</w:t>
      </w:r>
    </w:p>
    <w:p w14:paraId="7CB25CB2" w14:textId="77777777" w:rsidR="008A4099" w:rsidRDefault="006A6EE2">
      <w:pPr>
        <w:pStyle w:val="ListParagraph"/>
        <w:numPr>
          <w:ilvl w:val="2"/>
          <w:numId w:val="11"/>
        </w:numPr>
        <w:tabs>
          <w:tab w:val="left" w:pos="879"/>
        </w:tabs>
        <w:spacing w:before="216"/>
        <w:ind w:right="675" w:firstLine="0"/>
        <w:jc w:val="both"/>
      </w:pPr>
      <w:r>
        <w:t xml:space="preserve">In this context, the most relevant developments are legislative changes to the Human Rights legislation that existed in Australian jurisdictions in 2007, which were influential in the development of the TLRI’s recommendations set out in the Final Report. These were the </w:t>
      </w:r>
      <w:r>
        <w:rPr>
          <w:i/>
        </w:rPr>
        <w:t xml:space="preserve">Human Rights Act 2004 </w:t>
      </w:r>
      <w:r>
        <w:t xml:space="preserve">(ACT) and the </w:t>
      </w:r>
      <w:r>
        <w:rPr>
          <w:i/>
        </w:rPr>
        <w:t xml:space="preserve">Charter of Human Rights and Responsibilities 2006 </w:t>
      </w:r>
      <w:r>
        <w:t xml:space="preserve">(Vic). Both these Acts have undergone review and reform since 2007 to improve their operational and legal efficacy. In 2020, Queensland became the third Australian State to implement a contemporary human rights regime, contained in the </w:t>
      </w:r>
      <w:r>
        <w:rPr>
          <w:i/>
        </w:rPr>
        <w:t xml:space="preserve">Human Rights Act 2019 </w:t>
      </w:r>
      <w:r>
        <w:t xml:space="preserve">(Qld). The Commonwealth also took a step towards a more thorough and consistent approach to the analysis of the human rights impacts of legislation with the implementation of the </w:t>
      </w:r>
      <w:r>
        <w:rPr>
          <w:i/>
        </w:rPr>
        <w:t xml:space="preserve">Human Rights (Parliamentary Scrutiny) Act 2011 </w:t>
      </w:r>
      <w:r>
        <w:t>(Cth).</w:t>
      </w:r>
    </w:p>
    <w:p w14:paraId="7CB25CB3" w14:textId="77777777" w:rsidR="008A4099" w:rsidRDefault="006A6EE2">
      <w:pPr>
        <w:pStyle w:val="ListParagraph"/>
        <w:numPr>
          <w:ilvl w:val="2"/>
          <w:numId w:val="11"/>
        </w:numPr>
        <w:tabs>
          <w:tab w:val="left" w:pos="879"/>
        </w:tabs>
        <w:spacing w:before="215"/>
        <w:ind w:right="677" w:firstLine="0"/>
        <w:jc w:val="both"/>
      </w:pPr>
      <w:r>
        <w:t xml:space="preserve">In addition, since 2007, the Tasmanian community has not remained static. There may have been changes in society and community standards and, potentially, attitudes and understanding of human rights (reflecting local, national, and international events). This is likely to have altered the context in which any human rights regime would operate, and so may have implications for possible changes to the TLRI’s 2007 recommendations. These changes are considered further in the Research </w:t>
      </w:r>
      <w:r>
        <w:rPr>
          <w:spacing w:val="-2"/>
        </w:rPr>
        <w:t>Paper.</w:t>
      </w:r>
    </w:p>
    <w:p w14:paraId="7CB25CB4" w14:textId="77777777" w:rsidR="008A4099" w:rsidRDefault="006A6EE2">
      <w:pPr>
        <w:pStyle w:val="ListParagraph"/>
        <w:numPr>
          <w:ilvl w:val="2"/>
          <w:numId w:val="11"/>
        </w:numPr>
        <w:tabs>
          <w:tab w:val="left" w:pos="879"/>
        </w:tabs>
        <w:spacing w:before="219" w:line="237" w:lineRule="auto"/>
        <w:ind w:right="684" w:firstLine="0"/>
        <w:jc w:val="both"/>
      </w:pPr>
      <w:r>
        <w:t>Part 1 of this Research Paper outlines the main features of the TLRI’s model for a Charter of Rights as recommended in the TLRI’s 2007 Final Report.</w:t>
      </w:r>
    </w:p>
    <w:p w14:paraId="7CB25CB5" w14:textId="77777777" w:rsidR="008A4099" w:rsidRDefault="006A6EE2">
      <w:pPr>
        <w:pStyle w:val="ListParagraph"/>
        <w:numPr>
          <w:ilvl w:val="2"/>
          <w:numId w:val="11"/>
        </w:numPr>
        <w:tabs>
          <w:tab w:val="left" w:pos="879"/>
        </w:tabs>
        <w:spacing w:line="237" w:lineRule="auto"/>
        <w:ind w:right="681" w:firstLine="0"/>
        <w:jc w:val="both"/>
      </w:pPr>
      <w:r>
        <w:t>Part 2 considers developments in other jurisdictions since 2007, including reviews of, and reforms to, existing human rights laws in Victoria and the ACT, and the introduction of human rights related legislation in Queensland and at the Commonwealth level.</w:t>
      </w:r>
    </w:p>
    <w:p w14:paraId="7CB25CB6" w14:textId="77777777" w:rsidR="008A4099" w:rsidRDefault="006A6EE2">
      <w:pPr>
        <w:pStyle w:val="ListParagraph"/>
        <w:numPr>
          <w:ilvl w:val="2"/>
          <w:numId w:val="11"/>
        </w:numPr>
        <w:tabs>
          <w:tab w:val="left" w:pos="879"/>
        </w:tabs>
        <w:spacing w:before="222"/>
        <w:ind w:right="674" w:firstLine="0"/>
        <w:jc w:val="both"/>
      </w:pPr>
      <w:r>
        <w:t>Part 3 examines how key issues arising between 2007</w:t>
      </w:r>
      <w:r>
        <w:rPr>
          <w:spacing w:val="-1"/>
        </w:rPr>
        <w:t xml:space="preserve"> </w:t>
      </w:r>
      <w:r>
        <w:t>and 2022 (the Review Period) affecting human rights have been dealt with in Tasmania and in Australian jurisdictions with human rights enactments.</w:t>
      </w:r>
      <w:r>
        <w:rPr>
          <w:spacing w:val="-6"/>
        </w:rPr>
        <w:t xml:space="preserve"> </w:t>
      </w:r>
      <w:r>
        <w:t>It</w:t>
      </w:r>
      <w:r>
        <w:rPr>
          <w:spacing w:val="-6"/>
        </w:rPr>
        <w:t xml:space="preserve"> </w:t>
      </w:r>
      <w:r>
        <w:t>also</w:t>
      </w:r>
      <w:r>
        <w:rPr>
          <w:spacing w:val="-6"/>
        </w:rPr>
        <w:t xml:space="preserve"> </w:t>
      </w:r>
      <w:r>
        <w:t>discusses</w:t>
      </w:r>
      <w:r>
        <w:rPr>
          <w:spacing w:val="-6"/>
        </w:rPr>
        <w:t xml:space="preserve"> </w:t>
      </w:r>
      <w:r>
        <w:t>the</w:t>
      </w:r>
      <w:r>
        <w:rPr>
          <w:spacing w:val="-9"/>
        </w:rPr>
        <w:t xml:space="preserve"> </w:t>
      </w:r>
      <w:r>
        <w:t>impact</w:t>
      </w:r>
      <w:r>
        <w:rPr>
          <w:spacing w:val="-6"/>
        </w:rPr>
        <w:t xml:space="preserve"> </w:t>
      </w:r>
      <w:r>
        <w:t>that</w:t>
      </w:r>
      <w:r>
        <w:rPr>
          <w:spacing w:val="-6"/>
        </w:rPr>
        <w:t xml:space="preserve"> </w:t>
      </w:r>
      <w:r>
        <w:t>a</w:t>
      </w:r>
      <w:r>
        <w:rPr>
          <w:spacing w:val="-9"/>
        </w:rPr>
        <w:t xml:space="preserve"> </w:t>
      </w:r>
      <w:r>
        <w:t>legislative</w:t>
      </w:r>
      <w:r>
        <w:rPr>
          <w:spacing w:val="-7"/>
        </w:rPr>
        <w:t xml:space="preserve"> </w:t>
      </w:r>
      <w:r>
        <w:t>human</w:t>
      </w:r>
      <w:r>
        <w:rPr>
          <w:spacing w:val="-7"/>
        </w:rPr>
        <w:t xml:space="preserve"> </w:t>
      </w:r>
      <w:r>
        <w:t>rights</w:t>
      </w:r>
      <w:r>
        <w:rPr>
          <w:spacing w:val="-6"/>
        </w:rPr>
        <w:t xml:space="preserve"> </w:t>
      </w:r>
      <w:r>
        <w:t>framework</w:t>
      </w:r>
      <w:r>
        <w:rPr>
          <w:spacing w:val="-10"/>
        </w:rPr>
        <w:t xml:space="preserve"> </w:t>
      </w:r>
      <w:r>
        <w:t>may</w:t>
      </w:r>
      <w:r>
        <w:rPr>
          <w:spacing w:val="-7"/>
        </w:rPr>
        <w:t xml:space="preserve"> </w:t>
      </w:r>
      <w:r>
        <w:t>have</w:t>
      </w:r>
      <w:r>
        <w:rPr>
          <w:spacing w:val="-7"/>
        </w:rPr>
        <w:t xml:space="preserve"> </w:t>
      </w:r>
      <w:r>
        <w:t>had</w:t>
      </w:r>
      <w:r>
        <w:rPr>
          <w:spacing w:val="-7"/>
        </w:rPr>
        <w:t xml:space="preserve"> </w:t>
      </w:r>
      <w:r>
        <w:t>on</w:t>
      </w:r>
      <w:r>
        <w:rPr>
          <w:spacing w:val="-7"/>
        </w:rPr>
        <w:t xml:space="preserve"> </w:t>
      </w:r>
      <w:r>
        <w:t>the discourse</w:t>
      </w:r>
      <w:r>
        <w:rPr>
          <w:spacing w:val="-2"/>
        </w:rPr>
        <w:t xml:space="preserve"> </w:t>
      </w:r>
      <w:r>
        <w:t>and</w:t>
      </w:r>
      <w:r>
        <w:rPr>
          <w:spacing w:val="-5"/>
        </w:rPr>
        <w:t xml:space="preserve"> </w:t>
      </w:r>
      <w:r>
        <w:t>transparency</w:t>
      </w:r>
      <w:r>
        <w:rPr>
          <w:spacing w:val="-4"/>
        </w:rPr>
        <w:t xml:space="preserve"> </w:t>
      </w:r>
      <w:r>
        <w:t>in</w:t>
      </w:r>
      <w:r>
        <w:rPr>
          <w:spacing w:val="-5"/>
        </w:rPr>
        <w:t xml:space="preserve"> </w:t>
      </w:r>
      <w:r>
        <w:t>relation</w:t>
      </w:r>
      <w:r>
        <w:rPr>
          <w:spacing w:val="-5"/>
        </w:rPr>
        <w:t xml:space="preserve"> </w:t>
      </w:r>
      <w:r>
        <w:t>to</w:t>
      </w:r>
      <w:r>
        <w:rPr>
          <w:spacing w:val="-5"/>
        </w:rPr>
        <w:t xml:space="preserve"> </w:t>
      </w:r>
      <w:r>
        <w:t>human</w:t>
      </w:r>
      <w:r>
        <w:rPr>
          <w:spacing w:val="-4"/>
        </w:rPr>
        <w:t xml:space="preserve"> </w:t>
      </w:r>
      <w:r>
        <w:t>rights</w:t>
      </w:r>
      <w:r>
        <w:rPr>
          <w:spacing w:val="-2"/>
        </w:rPr>
        <w:t xml:space="preserve"> </w:t>
      </w:r>
      <w:r>
        <w:t>issues.</w:t>
      </w:r>
      <w:r>
        <w:rPr>
          <w:spacing w:val="-2"/>
        </w:rPr>
        <w:t xml:space="preserve"> </w:t>
      </w:r>
      <w:r>
        <w:t>For</w:t>
      </w:r>
      <w:r>
        <w:rPr>
          <w:spacing w:val="-2"/>
        </w:rPr>
        <w:t xml:space="preserve"> </w:t>
      </w:r>
      <w:r>
        <w:t>reasons</w:t>
      </w:r>
      <w:r>
        <w:rPr>
          <w:spacing w:val="-2"/>
        </w:rPr>
        <w:t xml:space="preserve"> </w:t>
      </w:r>
      <w:r>
        <w:t>of</w:t>
      </w:r>
      <w:r>
        <w:rPr>
          <w:spacing w:val="-2"/>
        </w:rPr>
        <w:t xml:space="preserve"> </w:t>
      </w:r>
      <w:r>
        <w:t>practicality,</w:t>
      </w:r>
      <w:r>
        <w:rPr>
          <w:spacing w:val="-5"/>
        </w:rPr>
        <w:t xml:space="preserve"> </w:t>
      </w:r>
      <w:r>
        <w:t>the</w:t>
      </w:r>
      <w:r>
        <w:rPr>
          <w:spacing w:val="-2"/>
        </w:rPr>
        <w:t xml:space="preserve"> </w:t>
      </w:r>
      <w:r>
        <w:t>TLRI</w:t>
      </w:r>
      <w:r>
        <w:rPr>
          <w:spacing w:val="-4"/>
        </w:rPr>
        <w:t xml:space="preserve"> </w:t>
      </w:r>
      <w:r>
        <w:t>has been selective, rather than comprehensive, in its focus on key issues in the Review Period, namely: governments’ response to COVID-19; legislative restrictions on political communication and protest; incursions on privacy rights; prisoners’ rights; religious freedoms; and homelessness and housing. Discussion of these issues provides insight into the different approaches adopted in human rights and non-human rights jurisdictions.</w:t>
      </w:r>
    </w:p>
    <w:p w14:paraId="7CB25CB7" w14:textId="77777777" w:rsidR="008A4099" w:rsidRDefault="006A6EE2">
      <w:pPr>
        <w:pStyle w:val="ListParagraph"/>
        <w:numPr>
          <w:ilvl w:val="2"/>
          <w:numId w:val="11"/>
        </w:numPr>
        <w:tabs>
          <w:tab w:val="left" w:pos="879"/>
        </w:tabs>
        <w:spacing w:before="219" w:line="237" w:lineRule="auto"/>
        <w:ind w:right="683" w:firstLine="0"/>
        <w:jc w:val="both"/>
      </w:pPr>
      <w:r>
        <w:t>Other significant areas have not been addressed in this Research Paper, on the basis that they have been the subject of other full, independent reports.</w:t>
      </w:r>
    </w:p>
    <w:p w14:paraId="7CB25CB8" w14:textId="77777777" w:rsidR="008A4099" w:rsidRDefault="008A4099">
      <w:pPr>
        <w:pStyle w:val="BodyText"/>
        <w:rPr>
          <w:sz w:val="20"/>
        </w:rPr>
      </w:pPr>
    </w:p>
    <w:p w14:paraId="7CB25CB9" w14:textId="77777777" w:rsidR="008A4099" w:rsidRDefault="008A4099">
      <w:pPr>
        <w:pStyle w:val="BodyText"/>
        <w:rPr>
          <w:sz w:val="20"/>
        </w:rPr>
      </w:pPr>
    </w:p>
    <w:p w14:paraId="7CB25CBA" w14:textId="77777777" w:rsidR="008A4099" w:rsidRDefault="006A6EE2">
      <w:pPr>
        <w:pStyle w:val="BodyText"/>
        <w:spacing w:before="13"/>
        <w:rPr>
          <w:sz w:val="20"/>
        </w:rPr>
      </w:pPr>
      <w:r>
        <w:rPr>
          <w:noProof/>
        </w:rPr>
        <mc:AlternateContent>
          <mc:Choice Requires="wps">
            <w:drawing>
              <wp:anchor distT="0" distB="0" distL="0" distR="0" simplePos="0" relativeHeight="487591424" behindDoc="1" locked="0" layoutInCell="1" allowOverlap="1" wp14:anchorId="7CB265E7" wp14:editId="7CB265E8">
                <wp:simplePos x="0" y="0"/>
                <wp:positionH relativeFrom="page">
                  <wp:posOffset>914704</wp:posOffset>
                </wp:positionH>
                <wp:positionV relativeFrom="paragraph">
                  <wp:posOffset>169938</wp:posOffset>
                </wp:positionV>
                <wp:extent cx="1829435"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E03A32" id="Graphic 37" o:spid="_x0000_s1026" style="position:absolute;margin-left:1in;margin-top:13.4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" path="m1829054,l,,,7619r1829054,l1829054,xe" fillcolor="black" stroked="f">
                <v:path arrowok="t"/>
                <w10:wrap type="topAndBottom" anchorx="page"/>
              </v:shape>
            </w:pict>
          </mc:Fallback>
        </mc:AlternateContent>
      </w:r>
    </w:p>
    <w:p w14:paraId="7CB25CBB" w14:textId="77777777" w:rsidR="008A4099" w:rsidRDefault="006A6EE2">
      <w:pPr>
        <w:spacing w:before="112"/>
        <w:ind w:left="160"/>
        <w:rPr>
          <w:sz w:val="18"/>
        </w:rPr>
      </w:pPr>
      <w:r>
        <w:rPr>
          <w:sz w:val="18"/>
          <w:vertAlign w:val="superscript"/>
        </w:rPr>
        <w:t>20</w:t>
      </w:r>
      <w:r>
        <w:rPr>
          <w:spacing w:val="-1"/>
          <w:sz w:val="18"/>
        </w:rPr>
        <w:t xml:space="preserve"> </w:t>
      </w:r>
      <w:r>
        <w:rPr>
          <w:sz w:val="18"/>
        </w:rPr>
        <w:t>See</w:t>
      </w:r>
      <w:r>
        <w:rPr>
          <w:spacing w:val="-1"/>
          <w:sz w:val="18"/>
        </w:rPr>
        <w:t xml:space="preserve"> </w:t>
      </w:r>
      <w:r>
        <w:rPr>
          <w:sz w:val="18"/>
        </w:rPr>
        <w:t>the</w:t>
      </w:r>
      <w:r>
        <w:rPr>
          <w:spacing w:val="-1"/>
          <w:sz w:val="18"/>
        </w:rPr>
        <w:t xml:space="preserve"> </w:t>
      </w:r>
      <w:r>
        <w:rPr>
          <w:sz w:val="18"/>
        </w:rPr>
        <w:t>Acknowledgments</w:t>
      </w:r>
      <w:r>
        <w:rPr>
          <w:spacing w:val="-1"/>
          <w:sz w:val="18"/>
        </w:rPr>
        <w:t xml:space="preserve"> </w:t>
      </w:r>
      <w:r>
        <w:rPr>
          <w:sz w:val="18"/>
        </w:rPr>
        <w:t>section</w:t>
      </w:r>
      <w:r>
        <w:rPr>
          <w:spacing w:val="1"/>
          <w:sz w:val="18"/>
        </w:rPr>
        <w:t xml:space="preserve"> </w:t>
      </w:r>
      <w:r>
        <w:rPr>
          <w:sz w:val="18"/>
        </w:rPr>
        <w:t>of</w:t>
      </w:r>
      <w:r>
        <w:rPr>
          <w:spacing w:val="-2"/>
          <w:sz w:val="18"/>
        </w:rPr>
        <w:t xml:space="preserve"> </w:t>
      </w:r>
      <w:r>
        <w:rPr>
          <w:sz w:val="18"/>
        </w:rPr>
        <w:t>this</w:t>
      </w:r>
      <w:r>
        <w:rPr>
          <w:spacing w:val="-1"/>
          <w:sz w:val="18"/>
        </w:rPr>
        <w:t xml:space="preserve"> </w:t>
      </w:r>
      <w:r>
        <w:rPr>
          <w:sz w:val="18"/>
        </w:rPr>
        <w:t>Research</w:t>
      </w:r>
      <w:r>
        <w:rPr>
          <w:spacing w:val="1"/>
          <w:sz w:val="18"/>
        </w:rPr>
        <w:t xml:space="preserve"> </w:t>
      </w:r>
      <w:r>
        <w:rPr>
          <w:spacing w:val="-2"/>
          <w:sz w:val="18"/>
        </w:rPr>
        <w:t>Paper.</w:t>
      </w:r>
    </w:p>
    <w:p w14:paraId="7CB25CBC" w14:textId="77777777" w:rsidR="008A4099" w:rsidRDefault="008A4099">
      <w:pPr>
        <w:rPr>
          <w:sz w:val="18"/>
        </w:rPr>
        <w:sectPr w:rsidR="008A4099" w:rsidSect="00D43B2D">
          <w:pgSz w:w="11910" w:h="16840"/>
          <w:pgMar w:top="980" w:right="760" w:bottom="940" w:left="1280" w:header="718" w:footer="753" w:gutter="0"/>
          <w:cols w:space="720"/>
        </w:sectPr>
      </w:pPr>
    </w:p>
    <w:p w14:paraId="7CB25CBD" w14:textId="77777777" w:rsidR="008A4099" w:rsidRDefault="008A4099">
      <w:pPr>
        <w:pStyle w:val="BodyText"/>
        <w:spacing w:before="195"/>
      </w:pPr>
    </w:p>
    <w:p w14:paraId="7CB25CBE" w14:textId="77777777" w:rsidR="008A4099" w:rsidRDefault="006A6EE2">
      <w:pPr>
        <w:pStyle w:val="ListParagraph"/>
        <w:numPr>
          <w:ilvl w:val="3"/>
          <w:numId w:val="11"/>
        </w:numPr>
        <w:tabs>
          <w:tab w:val="left" w:pos="1228"/>
        </w:tabs>
        <w:spacing w:before="0" w:line="276" w:lineRule="auto"/>
        <w:ind w:right="892"/>
        <w:jc w:val="left"/>
      </w:pPr>
      <w:r>
        <w:t>Achieving</w:t>
      </w:r>
      <w:r>
        <w:rPr>
          <w:spacing w:val="-6"/>
        </w:rPr>
        <w:t xml:space="preserve"> </w:t>
      </w:r>
      <w:r>
        <w:t>reconciliation</w:t>
      </w:r>
      <w:r>
        <w:rPr>
          <w:spacing w:val="-3"/>
        </w:rPr>
        <w:t xml:space="preserve"> </w:t>
      </w:r>
      <w:r>
        <w:t>with</w:t>
      </w:r>
      <w:r>
        <w:rPr>
          <w:spacing w:val="-3"/>
        </w:rPr>
        <w:t xml:space="preserve"> </w:t>
      </w:r>
      <w:r>
        <w:t>Tasmania’s</w:t>
      </w:r>
      <w:r>
        <w:rPr>
          <w:spacing w:val="-3"/>
        </w:rPr>
        <w:t xml:space="preserve"> </w:t>
      </w:r>
      <w:r>
        <w:t>First</w:t>
      </w:r>
      <w:r>
        <w:rPr>
          <w:spacing w:val="-3"/>
        </w:rPr>
        <w:t xml:space="preserve"> </w:t>
      </w:r>
      <w:r>
        <w:t>Nations</w:t>
      </w:r>
      <w:r>
        <w:rPr>
          <w:spacing w:val="-5"/>
        </w:rPr>
        <w:t xml:space="preserve"> </w:t>
      </w:r>
      <w:r>
        <w:t>peoples.</w:t>
      </w:r>
      <w:r>
        <w:rPr>
          <w:spacing w:val="-3"/>
        </w:rPr>
        <w:t xml:space="preserve"> </w:t>
      </w:r>
      <w:r>
        <w:t xml:space="preserve">The </w:t>
      </w:r>
      <w:r>
        <w:rPr>
          <w:i/>
        </w:rPr>
        <w:t>Pathway</w:t>
      </w:r>
      <w:r>
        <w:rPr>
          <w:i/>
          <w:spacing w:val="-5"/>
        </w:rPr>
        <w:t xml:space="preserve"> </w:t>
      </w:r>
      <w:r>
        <w:rPr>
          <w:i/>
        </w:rPr>
        <w:t>to</w:t>
      </w:r>
      <w:r>
        <w:rPr>
          <w:i/>
          <w:spacing w:val="-3"/>
        </w:rPr>
        <w:t xml:space="preserve"> </w:t>
      </w:r>
      <w:r>
        <w:rPr>
          <w:i/>
        </w:rPr>
        <w:t>Truth- Telling and Treaty Report</w:t>
      </w:r>
      <w:r>
        <w:t>, prepared by Professor Kate Warner, Professor Tim McCormack, and Ms Fauve Kurnadi, was tabled in the Tasmanian Parliament on</w:t>
      </w:r>
    </w:p>
    <w:p w14:paraId="7CB25CBF" w14:textId="77777777" w:rsidR="008A4099" w:rsidRDefault="006A6EE2">
      <w:pPr>
        <w:pStyle w:val="BodyText"/>
        <w:spacing w:line="251" w:lineRule="exact"/>
        <w:ind w:left="1228"/>
        <w:rPr>
          <w:sz w:val="13"/>
        </w:rPr>
      </w:pPr>
      <w:r>
        <w:t>25</w:t>
      </w:r>
      <w:r>
        <w:rPr>
          <w:spacing w:val="-3"/>
        </w:rPr>
        <w:t xml:space="preserve"> </w:t>
      </w:r>
      <w:r>
        <w:t>November</w:t>
      </w:r>
      <w:r>
        <w:rPr>
          <w:spacing w:val="-2"/>
        </w:rPr>
        <w:t xml:space="preserve"> 2021.</w:t>
      </w:r>
      <w:r>
        <w:rPr>
          <w:spacing w:val="-2"/>
          <w:position w:val="7"/>
          <w:sz w:val="13"/>
        </w:rPr>
        <w:t>21</w:t>
      </w:r>
    </w:p>
    <w:p w14:paraId="7CB25CC0" w14:textId="77777777" w:rsidR="008A4099" w:rsidRDefault="006A6EE2">
      <w:pPr>
        <w:pStyle w:val="ListParagraph"/>
        <w:numPr>
          <w:ilvl w:val="3"/>
          <w:numId w:val="11"/>
        </w:numPr>
        <w:tabs>
          <w:tab w:val="left" w:pos="1228"/>
        </w:tabs>
        <w:spacing w:before="156" w:line="276" w:lineRule="auto"/>
        <w:ind w:right="713"/>
        <w:jc w:val="left"/>
        <w:rPr>
          <w:sz w:val="13"/>
        </w:rPr>
      </w:pPr>
      <w:r>
        <w:t>Child</w:t>
      </w:r>
      <w:r>
        <w:rPr>
          <w:spacing w:val="-5"/>
        </w:rPr>
        <w:t xml:space="preserve"> </w:t>
      </w:r>
      <w:r>
        <w:t>sexual</w:t>
      </w:r>
      <w:r>
        <w:rPr>
          <w:spacing w:val="-4"/>
        </w:rPr>
        <w:t xml:space="preserve"> </w:t>
      </w:r>
      <w:r>
        <w:t>abuse</w:t>
      </w:r>
      <w:r>
        <w:rPr>
          <w:spacing w:val="-4"/>
        </w:rPr>
        <w:t xml:space="preserve"> </w:t>
      </w:r>
      <w:r>
        <w:t>in</w:t>
      </w:r>
      <w:r>
        <w:rPr>
          <w:spacing w:val="-5"/>
        </w:rPr>
        <w:t xml:space="preserve"> </w:t>
      </w:r>
      <w:r>
        <w:t>institutional</w:t>
      </w:r>
      <w:r>
        <w:rPr>
          <w:spacing w:val="-4"/>
        </w:rPr>
        <w:t xml:space="preserve"> </w:t>
      </w:r>
      <w:r>
        <w:t>settings.</w:t>
      </w:r>
      <w:r>
        <w:rPr>
          <w:spacing w:val="-4"/>
        </w:rPr>
        <w:t xml:space="preserve"> </w:t>
      </w:r>
      <w:r>
        <w:t>A</w:t>
      </w:r>
      <w:r>
        <w:rPr>
          <w:spacing w:val="-3"/>
        </w:rPr>
        <w:t xml:space="preserve"> </w:t>
      </w:r>
      <w:r>
        <w:t>Commission</w:t>
      </w:r>
      <w:r>
        <w:rPr>
          <w:spacing w:val="-2"/>
        </w:rPr>
        <w:t xml:space="preserve"> </w:t>
      </w:r>
      <w:r>
        <w:t>of</w:t>
      </w:r>
      <w:r>
        <w:rPr>
          <w:spacing w:val="-2"/>
        </w:rPr>
        <w:t xml:space="preserve"> </w:t>
      </w:r>
      <w:r>
        <w:t>Inquiry</w:t>
      </w:r>
      <w:r>
        <w:rPr>
          <w:spacing w:val="-2"/>
        </w:rPr>
        <w:t xml:space="preserve"> </w:t>
      </w:r>
      <w:r>
        <w:t>was</w:t>
      </w:r>
      <w:r>
        <w:rPr>
          <w:spacing w:val="-2"/>
        </w:rPr>
        <w:t xml:space="preserve"> </w:t>
      </w:r>
      <w:r>
        <w:t>established</w:t>
      </w:r>
      <w:r>
        <w:rPr>
          <w:spacing w:val="-2"/>
        </w:rPr>
        <w:t xml:space="preserve"> </w:t>
      </w:r>
      <w:r>
        <w:t>into to the Tasmanian Government’s response to this matter on 15 March 2021. The Report was released on 26 September 2023.</w:t>
      </w:r>
      <w:r>
        <w:rPr>
          <w:position w:val="7"/>
          <w:sz w:val="13"/>
        </w:rPr>
        <w:t>22</w:t>
      </w:r>
    </w:p>
    <w:p w14:paraId="7CB25CC1" w14:textId="77777777" w:rsidR="008A4099" w:rsidRDefault="006A6EE2">
      <w:pPr>
        <w:pStyle w:val="ListParagraph"/>
        <w:numPr>
          <w:ilvl w:val="2"/>
          <w:numId w:val="11"/>
        </w:numPr>
        <w:tabs>
          <w:tab w:val="left" w:pos="879"/>
        </w:tabs>
        <w:spacing w:before="221" w:line="237" w:lineRule="auto"/>
        <w:ind w:right="680" w:firstLine="0"/>
        <w:jc w:val="both"/>
      </w:pPr>
      <w:r>
        <w:t>Part</w:t>
      </w:r>
      <w:r>
        <w:rPr>
          <w:spacing w:val="-6"/>
        </w:rPr>
        <w:t xml:space="preserve"> </w:t>
      </w:r>
      <w:r>
        <w:t>4</w:t>
      </w:r>
      <w:r>
        <w:rPr>
          <w:spacing w:val="-7"/>
        </w:rPr>
        <w:t xml:space="preserve"> </w:t>
      </w:r>
      <w:r>
        <w:t>provides</w:t>
      </w:r>
      <w:r>
        <w:rPr>
          <w:spacing w:val="-4"/>
        </w:rPr>
        <w:t xml:space="preserve"> </w:t>
      </w:r>
      <w:r>
        <w:t>updated</w:t>
      </w:r>
      <w:r>
        <w:rPr>
          <w:spacing w:val="-7"/>
        </w:rPr>
        <w:t xml:space="preserve"> </w:t>
      </w:r>
      <w:r>
        <w:t>recommendations</w:t>
      </w:r>
      <w:r>
        <w:rPr>
          <w:spacing w:val="-7"/>
        </w:rPr>
        <w:t xml:space="preserve"> </w:t>
      </w:r>
      <w:r>
        <w:t>regarding</w:t>
      </w:r>
      <w:r>
        <w:rPr>
          <w:spacing w:val="-7"/>
        </w:rPr>
        <w:t xml:space="preserve"> </w:t>
      </w:r>
      <w:r>
        <w:t>an</w:t>
      </w:r>
      <w:r>
        <w:rPr>
          <w:spacing w:val="-7"/>
        </w:rPr>
        <w:t xml:space="preserve"> </w:t>
      </w:r>
      <w:r>
        <w:t>appropriate</w:t>
      </w:r>
      <w:r>
        <w:rPr>
          <w:spacing w:val="-7"/>
        </w:rPr>
        <w:t xml:space="preserve"> </w:t>
      </w:r>
      <w:r>
        <w:t>model</w:t>
      </w:r>
      <w:r>
        <w:rPr>
          <w:spacing w:val="-6"/>
        </w:rPr>
        <w:t xml:space="preserve"> </w:t>
      </w:r>
      <w:r>
        <w:t>for</w:t>
      </w:r>
      <w:r>
        <w:rPr>
          <w:spacing w:val="-6"/>
        </w:rPr>
        <w:t xml:space="preserve"> </w:t>
      </w:r>
      <w:r>
        <w:t>the</w:t>
      </w:r>
      <w:r>
        <w:rPr>
          <w:spacing w:val="-7"/>
        </w:rPr>
        <w:t xml:space="preserve"> </w:t>
      </w:r>
      <w:r>
        <w:t>protection</w:t>
      </w:r>
      <w:r>
        <w:rPr>
          <w:spacing w:val="-7"/>
        </w:rPr>
        <w:t xml:space="preserve"> </w:t>
      </w:r>
      <w:r>
        <w:t>of human rights in Tasmania, having regard to the progress and experiences in other jurisdictions.</w:t>
      </w:r>
    </w:p>
    <w:p w14:paraId="7CB25CC2" w14:textId="77777777" w:rsidR="008A4099" w:rsidRDefault="008A4099">
      <w:pPr>
        <w:pStyle w:val="BodyText"/>
      </w:pPr>
    </w:p>
    <w:p w14:paraId="7CB25CC3" w14:textId="77777777" w:rsidR="008A4099" w:rsidRDefault="008A4099">
      <w:pPr>
        <w:pStyle w:val="BodyText"/>
        <w:spacing w:before="133"/>
      </w:pPr>
    </w:p>
    <w:p w14:paraId="7CB25CC4" w14:textId="77777777" w:rsidR="008A4099" w:rsidRDefault="006A6EE2">
      <w:pPr>
        <w:pStyle w:val="Heading2"/>
        <w:numPr>
          <w:ilvl w:val="1"/>
          <w:numId w:val="11"/>
        </w:numPr>
        <w:tabs>
          <w:tab w:val="left" w:pos="878"/>
        </w:tabs>
        <w:ind w:left="878" w:hanging="718"/>
        <w:jc w:val="both"/>
      </w:pPr>
      <w:bookmarkStart w:id="3" w:name="_TOC_250057"/>
      <w:r>
        <w:t>The</w:t>
      </w:r>
      <w:r>
        <w:rPr>
          <w:spacing w:val="-8"/>
        </w:rPr>
        <w:t xml:space="preserve"> </w:t>
      </w:r>
      <w:r>
        <w:t>2007</w:t>
      </w:r>
      <w:r>
        <w:rPr>
          <w:spacing w:val="-7"/>
        </w:rPr>
        <w:t xml:space="preserve"> </w:t>
      </w:r>
      <w:r>
        <w:t>Final</w:t>
      </w:r>
      <w:r>
        <w:rPr>
          <w:spacing w:val="-8"/>
        </w:rPr>
        <w:t xml:space="preserve"> </w:t>
      </w:r>
      <w:bookmarkEnd w:id="3"/>
      <w:r>
        <w:rPr>
          <w:spacing w:val="-2"/>
        </w:rPr>
        <w:t>Report</w:t>
      </w:r>
    </w:p>
    <w:p w14:paraId="7CB25CC5" w14:textId="77777777" w:rsidR="008A4099" w:rsidRDefault="006A6EE2">
      <w:pPr>
        <w:pStyle w:val="ListParagraph"/>
        <w:numPr>
          <w:ilvl w:val="2"/>
          <w:numId w:val="11"/>
        </w:numPr>
        <w:tabs>
          <w:tab w:val="left" w:pos="879"/>
        </w:tabs>
        <w:ind w:right="672" w:firstLine="0"/>
        <w:jc w:val="both"/>
        <w:rPr>
          <w:sz w:val="13"/>
        </w:rPr>
      </w:pPr>
      <w:r>
        <w:t>To inform its inquiry, the TLRI released an Issues Paper in September 2006, which asked 24 key questions arising from the Terms of Reference. Public consultation and engagement were assisted by</w:t>
      </w:r>
      <w:r>
        <w:rPr>
          <w:spacing w:val="-7"/>
        </w:rPr>
        <w:t xml:space="preserve"> </w:t>
      </w:r>
      <w:r>
        <w:t>simplified</w:t>
      </w:r>
      <w:r>
        <w:rPr>
          <w:spacing w:val="-7"/>
        </w:rPr>
        <w:t xml:space="preserve"> </w:t>
      </w:r>
      <w:r>
        <w:t>materials,</w:t>
      </w:r>
      <w:r>
        <w:rPr>
          <w:spacing w:val="-6"/>
        </w:rPr>
        <w:t xml:space="preserve"> </w:t>
      </w:r>
      <w:r>
        <w:t>in</w:t>
      </w:r>
      <w:r>
        <w:rPr>
          <w:spacing w:val="-10"/>
        </w:rPr>
        <w:t xml:space="preserve"> </w:t>
      </w:r>
      <w:r>
        <w:t>the</w:t>
      </w:r>
      <w:r>
        <w:rPr>
          <w:spacing w:val="-7"/>
        </w:rPr>
        <w:t xml:space="preserve"> </w:t>
      </w:r>
      <w:r>
        <w:t>form</w:t>
      </w:r>
      <w:r>
        <w:rPr>
          <w:spacing w:val="-6"/>
        </w:rPr>
        <w:t xml:space="preserve"> </w:t>
      </w:r>
      <w:r>
        <w:t>of</w:t>
      </w:r>
      <w:r>
        <w:rPr>
          <w:spacing w:val="-6"/>
        </w:rPr>
        <w:t xml:space="preserve"> </w:t>
      </w:r>
      <w:r>
        <w:t>a</w:t>
      </w:r>
      <w:r>
        <w:rPr>
          <w:spacing w:val="-7"/>
        </w:rPr>
        <w:t xml:space="preserve"> </w:t>
      </w:r>
      <w:r>
        <w:t>pamphlet</w:t>
      </w:r>
      <w:r>
        <w:rPr>
          <w:spacing w:val="-6"/>
        </w:rPr>
        <w:t xml:space="preserve"> </w:t>
      </w:r>
      <w:r>
        <w:t>that</w:t>
      </w:r>
      <w:r>
        <w:rPr>
          <w:spacing w:val="-8"/>
        </w:rPr>
        <w:t xml:space="preserve"> </w:t>
      </w:r>
      <w:r>
        <w:t>outlined</w:t>
      </w:r>
      <w:r>
        <w:rPr>
          <w:spacing w:val="-7"/>
        </w:rPr>
        <w:t xml:space="preserve"> </w:t>
      </w:r>
      <w:r>
        <w:t>the</w:t>
      </w:r>
      <w:r>
        <w:rPr>
          <w:spacing w:val="-7"/>
        </w:rPr>
        <w:t xml:space="preserve"> </w:t>
      </w:r>
      <w:r>
        <w:t>essential</w:t>
      </w:r>
      <w:r>
        <w:rPr>
          <w:spacing w:val="-9"/>
        </w:rPr>
        <w:t xml:space="preserve"> </w:t>
      </w:r>
      <w:r>
        <w:t>matters</w:t>
      </w:r>
      <w:r>
        <w:rPr>
          <w:spacing w:val="-6"/>
        </w:rPr>
        <w:t xml:space="preserve"> </w:t>
      </w:r>
      <w:r>
        <w:t>raised</w:t>
      </w:r>
      <w:r>
        <w:rPr>
          <w:spacing w:val="-7"/>
        </w:rPr>
        <w:t xml:space="preserve"> </w:t>
      </w:r>
      <w:r>
        <w:t>in</w:t>
      </w:r>
      <w:r>
        <w:rPr>
          <w:spacing w:val="-7"/>
        </w:rPr>
        <w:t xml:space="preserve"> </w:t>
      </w:r>
      <w:r>
        <w:t>the Issues Paper. The TLRI conducted wide-ranging consultations over a four-month period, with a series of community consultations conducted around Tasmania (66 in total).</w:t>
      </w:r>
      <w:r>
        <w:rPr>
          <w:position w:val="7"/>
          <w:sz w:val="13"/>
        </w:rPr>
        <w:t>23</w:t>
      </w:r>
      <w:r>
        <w:rPr>
          <w:spacing w:val="33"/>
          <w:position w:val="7"/>
          <w:sz w:val="13"/>
        </w:rPr>
        <w:t xml:space="preserve"> </w:t>
      </w:r>
      <w:r>
        <w:t>The design and oversight of the consultation</w:t>
      </w:r>
      <w:r>
        <w:rPr>
          <w:spacing w:val="-14"/>
        </w:rPr>
        <w:t xml:space="preserve"> </w:t>
      </w:r>
      <w:r>
        <w:t>was</w:t>
      </w:r>
      <w:r>
        <w:rPr>
          <w:spacing w:val="-14"/>
        </w:rPr>
        <w:t xml:space="preserve"> </w:t>
      </w:r>
      <w:r>
        <w:t>directed</w:t>
      </w:r>
      <w:r>
        <w:rPr>
          <w:spacing w:val="-14"/>
        </w:rPr>
        <w:t xml:space="preserve"> </w:t>
      </w:r>
      <w:r>
        <w:t>by</w:t>
      </w:r>
      <w:r>
        <w:rPr>
          <w:spacing w:val="-13"/>
        </w:rPr>
        <w:t xml:space="preserve"> </w:t>
      </w:r>
      <w:r>
        <w:t>a</w:t>
      </w:r>
      <w:r>
        <w:rPr>
          <w:spacing w:val="-14"/>
        </w:rPr>
        <w:t xml:space="preserve"> </w:t>
      </w:r>
      <w:r>
        <w:t>specially</w:t>
      </w:r>
      <w:r>
        <w:rPr>
          <w:spacing w:val="-14"/>
        </w:rPr>
        <w:t xml:space="preserve"> </w:t>
      </w:r>
      <w:r>
        <w:t>constituted</w:t>
      </w:r>
      <w:r>
        <w:rPr>
          <w:spacing w:val="-14"/>
        </w:rPr>
        <w:t xml:space="preserve"> </w:t>
      </w:r>
      <w:r>
        <w:t>Human</w:t>
      </w:r>
      <w:r>
        <w:rPr>
          <w:spacing w:val="-13"/>
        </w:rPr>
        <w:t xml:space="preserve"> </w:t>
      </w:r>
      <w:r>
        <w:t>Rights</w:t>
      </w:r>
      <w:r>
        <w:rPr>
          <w:spacing w:val="-14"/>
        </w:rPr>
        <w:t xml:space="preserve"> </w:t>
      </w:r>
      <w:r>
        <w:t>Community</w:t>
      </w:r>
      <w:r>
        <w:rPr>
          <w:spacing w:val="-14"/>
        </w:rPr>
        <w:t xml:space="preserve"> </w:t>
      </w:r>
      <w:r>
        <w:t>Consultation</w:t>
      </w:r>
      <w:r>
        <w:rPr>
          <w:spacing w:val="-14"/>
        </w:rPr>
        <w:t xml:space="preserve"> </w:t>
      </w:r>
      <w:r>
        <w:t>Committee of the TLRI.</w:t>
      </w:r>
      <w:r>
        <w:rPr>
          <w:position w:val="7"/>
          <w:sz w:val="13"/>
        </w:rPr>
        <w:t>24</w:t>
      </w:r>
    </w:p>
    <w:p w14:paraId="7CB25CC6" w14:textId="77777777" w:rsidR="008A4099" w:rsidRDefault="006A6EE2">
      <w:pPr>
        <w:pStyle w:val="ListParagraph"/>
        <w:numPr>
          <w:ilvl w:val="2"/>
          <w:numId w:val="11"/>
        </w:numPr>
        <w:tabs>
          <w:tab w:val="left" w:pos="879"/>
        </w:tabs>
        <w:spacing w:before="215"/>
        <w:ind w:right="675" w:firstLine="0"/>
        <w:jc w:val="both"/>
      </w:pPr>
      <w:r>
        <w:t>The TLRI received a total of 407 submissions to its public consultation. Ninety-four per cent (94%) were in favour of adopting a human rights instrument.</w:t>
      </w:r>
      <w:r>
        <w:rPr>
          <w:position w:val="7"/>
          <w:sz w:val="13"/>
        </w:rPr>
        <w:t>25</w:t>
      </w:r>
      <w:r>
        <w:rPr>
          <w:spacing w:val="27"/>
          <w:position w:val="7"/>
          <w:sz w:val="13"/>
        </w:rPr>
        <w:t xml:space="preserve"> </w:t>
      </w:r>
      <w:r>
        <w:t>The TLRI also conducted independent legal and comparative research relevant to the Terms of Reference.</w:t>
      </w:r>
    </w:p>
    <w:p w14:paraId="7CB25CC7" w14:textId="77777777" w:rsidR="008A4099" w:rsidRDefault="006A6EE2">
      <w:pPr>
        <w:pStyle w:val="Heading4"/>
        <w:spacing w:before="236"/>
      </w:pPr>
      <w:bookmarkStart w:id="4" w:name="_TOC_250056"/>
      <w:r>
        <w:t>Recommendations</w:t>
      </w:r>
      <w:r>
        <w:rPr>
          <w:spacing w:val="-4"/>
        </w:rPr>
        <w:t xml:space="preserve"> </w:t>
      </w:r>
      <w:r>
        <w:t>in</w:t>
      </w:r>
      <w:r>
        <w:rPr>
          <w:spacing w:val="-3"/>
        </w:rPr>
        <w:t xml:space="preserve"> </w:t>
      </w:r>
      <w:r>
        <w:t>the</w:t>
      </w:r>
      <w:r>
        <w:rPr>
          <w:spacing w:val="-4"/>
        </w:rPr>
        <w:t xml:space="preserve"> </w:t>
      </w:r>
      <w:r>
        <w:t>TLRI</w:t>
      </w:r>
      <w:r>
        <w:rPr>
          <w:spacing w:val="-3"/>
        </w:rPr>
        <w:t xml:space="preserve"> </w:t>
      </w:r>
      <w:r>
        <w:t>2007</w:t>
      </w:r>
      <w:r>
        <w:rPr>
          <w:spacing w:val="-2"/>
        </w:rPr>
        <w:t xml:space="preserve"> </w:t>
      </w:r>
      <w:r>
        <w:t>Final</w:t>
      </w:r>
      <w:bookmarkEnd w:id="4"/>
      <w:r>
        <w:rPr>
          <w:spacing w:val="-2"/>
        </w:rPr>
        <w:t xml:space="preserve"> Report</w:t>
      </w:r>
    </w:p>
    <w:p w14:paraId="7CB25CC8" w14:textId="77777777" w:rsidR="008A4099" w:rsidRDefault="006A6EE2">
      <w:pPr>
        <w:pStyle w:val="ListParagraph"/>
        <w:numPr>
          <w:ilvl w:val="2"/>
          <w:numId w:val="11"/>
        </w:numPr>
        <w:tabs>
          <w:tab w:val="left" w:pos="879"/>
        </w:tabs>
        <w:spacing w:before="263" w:line="237" w:lineRule="auto"/>
        <w:ind w:right="678" w:firstLine="0"/>
        <w:jc w:val="both"/>
      </w:pPr>
      <w:r>
        <w:t>The</w:t>
      </w:r>
      <w:r>
        <w:rPr>
          <w:spacing w:val="-2"/>
        </w:rPr>
        <w:t xml:space="preserve"> </w:t>
      </w:r>
      <w:r>
        <w:t>primary</w:t>
      </w:r>
      <w:r>
        <w:rPr>
          <w:spacing w:val="-2"/>
        </w:rPr>
        <w:t xml:space="preserve"> </w:t>
      </w:r>
      <w:r>
        <w:t>recommendation</w:t>
      </w:r>
      <w:r>
        <w:rPr>
          <w:spacing w:val="-1"/>
        </w:rPr>
        <w:t xml:space="preserve"> </w:t>
      </w:r>
      <w:r>
        <w:t>of</w:t>
      </w:r>
      <w:r>
        <w:rPr>
          <w:spacing w:val="-4"/>
        </w:rPr>
        <w:t xml:space="preserve"> </w:t>
      </w:r>
      <w:r>
        <w:t>the</w:t>
      </w:r>
      <w:r>
        <w:rPr>
          <w:spacing w:val="-2"/>
        </w:rPr>
        <w:t xml:space="preserve"> </w:t>
      </w:r>
      <w:r>
        <w:t>Final</w:t>
      </w:r>
      <w:r>
        <w:rPr>
          <w:spacing w:val="-3"/>
        </w:rPr>
        <w:t xml:space="preserve"> </w:t>
      </w:r>
      <w:r>
        <w:t>Report</w:t>
      </w:r>
      <w:r>
        <w:rPr>
          <w:spacing w:val="-4"/>
        </w:rPr>
        <w:t xml:space="preserve"> </w:t>
      </w:r>
      <w:r>
        <w:t>was</w:t>
      </w:r>
      <w:r>
        <w:rPr>
          <w:spacing w:val="-4"/>
        </w:rPr>
        <w:t xml:space="preserve"> </w:t>
      </w:r>
      <w:r>
        <w:t>for</w:t>
      </w:r>
      <w:r>
        <w:rPr>
          <w:spacing w:val="-4"/>
        </w:rPr>
        <w:t xml:space="preserve"> </w:t>
      </w:r>
      <w:r>
        <w:t>the</w:t>
      </w:r>
      <w:r>
        <w:rPr>
          <w:spacing w:val="-4"/>
        </w:rPr>
        <w:t xml:space="preserve"> </w:t>
      </w:r>
      <w:r>
        <w:t>enactment</w:t>
      </w:r>
      <w:r>
        <w:rPr>
          <w:spacing w:val="-4"/>
        </w:rPr>
        <w:t xml:space="preserve"> </w:t>
      </w:r>
      <w:r>
        <w:t>of</w:t>
      </w:r>
      <w:r>
        <w:rPr>
          <w:spacing w:val="-4"/>
        </w:rPr>
        <w:t xml:space="preserve"> </w:t>
      </w:r>
      <w:r>
        <w:t>a</w:t>
      </w:r>
      <w:r>
        <w:rPr>
          <w:spacing w:val="-2"/>
        </w:rPr>
        <w:t xml:space="preserve"> </w:t>
      </w:r>
      <w:r>
        <w:t>Charter</w:t>
      </w:r>
      <w:r>
        <w:rPr>
          <w:spacing w:val="-3"/>
        </w:rPr>
        <w:t xml:space="preserve"> </w:t>
      </w:r>
      <w:r>
        <w:t>of</w:t>
      </w:r>
      <w:r>
        <w:rPr>
          <w:spacing w:val="-4"/>
        </w:rPr>
        <w:t xml:space="preserve"> </w:t>
      </w:r>
      <w:r>
        <w:t>Rights for Tasmania.</w:t>
      </w:r>
      <w:r>
        <w:rPr>
          <w:position w:val="7"/>
          <w:sz w:val="13"/>
        </w:rPr>
        <w:t>26</w:t>
      </w:r>
      <w:r>
        <w:rPr>
          <w:spacing w:val="37"/>
          <w:position w:val="7"/>
          <w:sz w:val="13"/>
        </w:rPr>
        <w:t xml:space="preserve"> </w:t>
      </w:r>
      <w:r>
        <w:t>In total, the Final Report made 23 Recommendations, which collectively formed the basis</w:t>
      </w:r>
      <w:r>
        <w:rPr>
          <w:spacing w:val="-11"/>
        </w:rPr>
        <w:t xml:space="preserve"> </w:t>
      </w:r>
      <w:r>
        <w:t>for</w:t>
      </w:r>
      <w:r>
        <w:rPr>
          <w:spacing w:val="-14"/>
        </w:rPr>
        <w:t xml:space="preserve"> </w:t>
      </w:r>
      <w:r>
        <w:t>a</w:t>
      </w:r>
      <w:r>
        <w:rPr>
          <w:spacing w:val="-12"/>
        </w:rPr>
        <w:t xml:space="preserve"> </w:t>
      </w:r>
      <w:r>
        <w:t>comprehensive</w:t>
      </w:r>
      <w:r>
        <w:rPr>
          <w:spacing w:val="-14"/>
        </w:rPr>
        <w:t xml:space="preserve"> </w:t>
      </w:r>
      <w:r>
        <w:t>legislative</w:t>
      </w:r>
      <w:r>
        <w:rPr>
          <w:spacing w:val="-14"/>
        </w:rPr>
        <w:t xml:space="preserve"> </w:t>
      </w:r>
      <w:r>
        <w:t>model</w:t>
      </w:r>
      <w:r>
        <w:rPr>
          <w:spacing w:val="-13"/>
        </w:rPr>
        <w:t xml:space="preserve"> </w:t>
      </w:r>
      <w:r>
        <w:t>for</w:t>
      </w:r>
      <w:r>
        <w:rPr>
          <w:spacing w:val="-14"/>
        </w:rPr>
        <w:t xml:space="preserve"> </w:t>
      </w:r>
      <w:r>
        <w:t>the</w:t>
      </w:r>
      <w:r>
        <w:rPr>
          <w:spacing w:val="-14"/>
        </w:rPr>
        <w:t xml:space="preserve"> </w:t>
      </w:r>
      <w:r>
        <w:t>protection</w:t>
      </w:r>
      <w:r>
        <w:rPr>
          <w:spacing w:val="-12"/>
        </w:rPr>
        <w:t xml:space="preserve"> </w:t>
      </w:r>
      <w:r>
        <w:t>of</w:t>
      </w:r>
      <w:r>
        <w:rPr>
          <w:spacing w:val="-11"/>
        </w:rPr>
        <w:t xml:space="preserve"> </w:t>
      </w:r>
      <w:r>
        <w:t>human</w:t>
      </w:r>
      <w:r>
        <w:rPr>
          <w:spacing w:val="-12"/>
        </w:rPr>
        <w:t xml:space="preserve"> </w:t>
      </w:r>
      <w:r>
        <w:t>rights.</w:t>
      </w:r>
      <w:r>
        <w:rPr>
          <w:spacing w:val="-11"/>
        </w:rPr>
        <w:t xml:space="preserve"> </w:t>
      </w:r>
      <w:r>
        <w:t>The</w:t>
      </w:r>
      <w:r>
        <w:rPr>
          <w:spacing w:val="-14"/>
        </w:rPr>
        <w:t xml:space="preserve"> </w:t>
      </w:r>
      <w:r>
        <w:t>next</w:t>
      </w:r>
      <w:r>
        <w:rPr>
          <w:spacing w:val="-13"/>
        </w:rPr>
        <w:t xml:space="preserve"> </w:t>
      </w:r>
      <w:r>
        <w:t>section</w:t>
      </w:r>
      <w:r>
        <w:rPr>
          <w:spacing w:val="-12"/>
        </w:rPr>
        <w:t xml:space="preserve"> </w:t>
      </w:r>
      <w:r>
        <w:t>broadly summarises those Recommendations.</w:t>
      </w:r>
    </w:p>
    <w:p w14:paraId="7CB25CC9" w14:textId="77777777" w:rsidR="008A4099" w:rsidRDefault="006A6EE2">
      <w:pPr>
        <w:pStyle w:val="Heading6"/>
        <w:spacing w:before="243" w:line="278" w:lineRule="auto"/>
        <w:jc w:val="left"/>
      </w:pPr>
      <w:bookmarkStart w:id="5" w:name="_TOC_250055"/>
      <w:r>
        <w:t>A</w:t>
      </w:r>
      <w:r>
        <w:rPr>
          <w:spacing w:val="-4"/>
        </w:rPr>
        <w:t xml:space="preserve"> </w:t>
      </w:r>
      <w:r>
        <w:t>statutory</w:t>
      </w:r>
      <w:r>
        <w:rPr>
          <w:spacing w:val="-3"/>
        </w:rPr>
        <w:t xml:space="preserve"> </w:t>
      </w:r>
      <w:r>
        <w:t>instrument</w:t>
      </w:r>
      <w:r>
        <w:rPr>
          <w:spacing w:val="-5"/>
        </w:rPr>
        <w:t xml:space="preserve"> </w:t>
      </w:r>
      <w:r>
        <w:t>that</w:t>
      </w:r>
      <w:r>
        <w:rPr>
          <w:spacing w:val="-5"/>
        </w:rPr>
        <w:t xml:space="preserve"> </w:t>
      </w:r>
      <w:r>
        <w:t>binds</w:t>
      </w:r>
      <w:r>
        <w:rPr>
          <w:spacing w:val="-5"/>
        </w:rPr>
        <w:t xml:space="preserve"> </w:t>
      </w:r>
      <w:r>
        <w:t>public</w:t>
      </w:r>
      <w:r>
        <w:rPr>
          <w:spacing w:val="-3"/>
        </w:rPr>
        <w:t xml:space="preserve"> </w:t>
      </w:r>
      <w:r>
        <w:t>authorities,</w:t>
      </w:r>
      <w:r>
        <w:rPr>
          <w:spacing w:val="-3"/>
        </w:rPr>
        <w:t xml:space="preserve"> </w:t>
      </w:r>
      <w:r>
        <w:t>guides</w:t>
      </w:r>
      <w:r>
        <w:rPr>
          <w:spacing w:val="-5"/>
        </w:rPr>
        <w:t xml:space="preserve"> </w:t>
      </w:r>
      <w:r>
        <w:t>legislative</w:t>
      </w:r>
      <w:r>
        <w:rPr>
          <w:spacing w:val="-3"/>
        </w:rPr>
        <w:t xml:space="preserve"> </w:t>
      </w:r>
      <w:r>
        <w:t>development</w:t>
      </w:r>
      <w:r>
        <w:rPr>
          <w:spacing w:val="-3"/>
        </w:rPr>
        <w:t xml:space="preserve"> </w:t>
      </w:r>
      <w:r>
        <w:t>and</w:t>
      </w:r>
      <w:r>
        <w:rPr>
          <w:spacing w:val="-5"/>
        </w:rPr>
        <w:t xml:space="preserve"> </w:t>
      </w:r>
      <w:r>
        <w:t>judicial</w:t>
      </w:r>
      <w:bookmarkEnd w:id="5"/>
      <w:r>
        <w:t xml:space="preserve"> interpretation, and protects natural persons</w:t>
      </w:r>
    </w:p>
    <w:p w14:paraId="7CB25CCA" w14:textId="77777777" w:rsidR="008A4099" w:rsidRDefault="006A6EE2">
      <w:pPr>
        <w:pStyle w:val="ListParagraph"/>
        <w:numPr>
          <w:ilvl w:val="2"/>
          <w:numId w:val="11"/>
        </w:numPr>
        <w:tabs>
          <w:tab w:val="left" w:pos="879"/>
        </w:tabs>
        <w:spacing w:before="217" w:line="237" w:lineRule="auto"/>
        <w:ind w:right="682" w:firstLine="0"/>
        <w:jc w:val="both"/>
      </w:pPr>
      <w:r>
        <w:t>The TLRI recommended that a Charter of Rights be enacted as an ordinary statute, and not entrenched in the State’s Constitutional framework. This form was preferred because it would:</w:t>
      </w:r>
    </w:p>
    <w:p w14:paraId="7CB25CCB" w14:textId="77777777" w:rsidR="008A4099" w:rsidRDefault="008A4099">
      <w:pPr>
        <w:pStyle w:val="BodyText"/>
        <w:rPr>
          <w:sz w:val="20"/>
        </w:rPr>
      </w:pPr>
    </w:p>
    <w:p w14:paraId="7CB25CCC" w14:textId="77777777" w:rsidR="008A4099" w:rsidRDefault="006A6EE2">
      <w:pPr>
        <w:pStyle w:val="BodyText"/>
        <w:spacing w:before="23"/>
        <w:rPr>
          <w:sz w:val="20"/>
        </w:rPr>
      </w:pPr>
      <w:r>
        <w:rPr>
          <w:noProof/>
        </w:rPr>
        <mc:AlternateContent>
          <mc:Choice Requires="wps">
            <w:drawing>
              <wp:anchor distT="0" distB="0" distL="0" distR="0" simplePos="0" relativeHeight="487591936" behindDoc="1" locked="0" layoutInCell="1" allowOverlap="1" wp14:anchorId="7CB265E9" wp14:editId="7CB265EA">
                <wp:simplePos x="0" y="0"/>
                <wp:positionH relativeFrom="page">
                  <wp:posOffset>914704</wp:posOffset>
                </wp:positionH>
                <wp:positionV relativeFrom="paragraph">
                  <wp:posOffset>176200</wp:posOffset>
                </wp:positionV>
                <wp:extent cx="1829435"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DC040C" id="Graphic 38" o:spid="_x0000_s1026" style="position:absolute;margin-left:1in;margin-top:13.85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" path="m1829054,l,,,7620r1829054,l1829054,xe" fillcolor="black" stroked="f">
                <v:path arrowok="t"/>
                <w10:wrap type="topAndBottom" anchorx="page"/>
              </v:shape>
            </w:pict>
          </mc:Fallback>
        </mc:AlternateContent>
      </w:r>
    </w:p>
    <w:p w14:paraId="7CB25CCD" w14:textId="77777777" w:rsidR="008A4099" w:rsidRDefault="006A6EE2">
      <w:pPr>
        <w:spacing w:before="113"/>
        <w:ind w:left="160"/>
        <w:rPr>
          <w:sz w:val="18"/>
        </w:rPr>
      </w:pPr>
      <w:r>
        <w:rPr>
          <w:sz w:val="18"/>
          <w:vertAlign w:val="superscript"/>
        </w:rPr>
        <w:t>21</w:t>
      </w:r>
      <w:r>
        <w:rPr>
          <w:spacing w:val="46"/>
          <w:sz w:val="18"/>
        </w:rPr>
        <w:t xml:space="preserve"> </w:t>
      </w:r>
      <w:r>
        <w:rPr>
          <w:sz w:val="18"/>
        </w:rPr>
        <w:t>Kate</w:t>
      </w:r>
      <w:r>
        <w:rPr>
          <w:spacing w:val="47"/>
          <w:sz w:val="18"/>
        </w:rPr>
        <w:t xml:space="preserve"> </w:t>
      </w:r>
      <w:r>
        <w:rPr>
          <w:sz w:val="18"/>
        </w:rPr>
        <w:t>Warner,</w:t>
      </w:r>
      <w:r>
        <w:rPr>
          <w:spacing w:val="47"/>
          <w:sz w:val="18"/>
        </w:rPr>
        <w:t xml:space="preserve"> </w:t>
      </w:r>
      <w:r>
        <w:rPr>
          <w:sz w:val="18"/>
        </w:rPr>
        <w:t>Tim</w:t>
      </w:r>
      <w:r>
        <w:rPr>
          <w:spacing w:val="46"/>
          <w:sz w:val="18"/>
        </w:rPr>
        <w:t xml:space="preserve"> </w:t>
      </w:r>
      <w:r>
        <w:rPr>
          <w:sz w:val="18"/>
        </w:rPr>
        <w:t>McCormack</w:t>
      </w:r>
      <w:r>
        <w:rPr>
          <w:spacing w:val="48"/>
          <w:sz w:val="18"/>
        </w:rPr>
        <w:t xml:space="preserve"> </w:t>
      </w:r>
      <w:r>
        <w:rPr>
          <w:sz w:val="18"/>
        </w:rPr>
        <w:t>and</w:t>
      </w:r>
      <w:r>
        <w:rPr>
          <w:spacing w:val="48"/>
          <w:sz w:val="18"/>
        </w:rPr>
        <w:t xml:space="preserve"> </w:t>
      </w:r>
      <w:r>
        <w:rPr>
          <w:sz w:val="18"/>
        </w:rPr>
        <w:t>Fauve</w:t>
      </w:r>
      <w:r>
        <w:rPr>
          <w:spacing w:val="46"/>
          <w:sz w:val="18"/>
        </w:rPr>
        <w:t xml:space="preserve"> </w:t>
      </w:r>
      <w:r>
        <w:rPr>
          <w:sz w:val="18"/>
        </w:rPr>
        <w:t>Kurnardi,</w:t>
      </w:r>
      <w:r>
        <w:rPr>
          <w:spacing w:val="50"/>
          <w:sz w:val="18"/>
        </w:rPr>
        <w:t xml:space="preserve"> </w:t>
      </w:r>
      <w:r>
        <w:rPr>
          <w:i/>
          <w:sz w:val="18"/>
        </w:rPr>
        <w:t>Pathway</w:t>
      </w:r>
      <w:r>
        <w:rPr>
          <w:i/>
          <w:spacing w:val="46"/>
          <w:sz w:val="18"/>
        </w:rPr>
        <w:t xml:space="preserve"> </w:t>
      </w:r>
      <w:r>
        <w:rPr>
          <w:i/>
          <w:sz w:val="18"/>
        </w:rPr>
        <w:t>to</w:t>
      </w:r>
      <w:r>
        <w:rPr>
          <w:i/>
          <w:spacing w:val="47"/>
          <w:sz w:val="18"/>
        </w:rPr>
        <w:t xml:space="preserve"> </w:t>
      </w:r>
      <w:r>
        <w:rPr>
          <w:i/>
          <w:sz w:val="18"/>
        </w:rPr>
        <w:t>Truth-Telling</w:t>
      </w:r>
      <w:r>
        <w:rPr>
          <w:i/>
          <w:spacing w:val="46"/>
          <w:sz w:val="18"/>
        </w:rPr>
        <w:t xml:space="preserve"> </w:t>
      </w:r>
      <w:r>
        <w:rPr>
          <w:i/>
          <w:sz w:val="18"/>
        </w:rPr>
        <w:t>and</w:t>
      </w:r>
      <w:r>
        <w:rPr>
          <w:i/>
          <w:spacing w:val="48"/>
          <w:sz w:val="18"/>
        </w:rPr>
        <w:t xml:space="preserve"> </w:t>
      </w:r>
      <w:r>
        <w:rPr>
          <w:i/>
          <w:sz w:val="18"/>
        </w:rPr>
        <w:t>Treaty</w:t>
      </w:r>
      <w:r>
        <w:rPr>
          <w:i/>
          <w:spacing w:val="44"/>
          <w:sz w:val="18"/>
        </w:rPr>
        <w:t xml:space="preserve"> </w:t>
      </w:r>
      <w:r>
        <w:rPr>
          <w:i/>
          <w:sz w:val="18"/>
        </w:rPr>
        <w:t>Report</w:t>
      </w:r>
      <w:r>
        <w:rPr>
          <w:i/>
          <w:spacing w:val="50"/>
          <w:sz w:val="18"/>
        </w:rPr>
        <w:t xml:space="preserve"> </w:t>
      </w:r>
      <w:r>
        <w:rPr>
          <w:sz w:val="18"/>
        </w:rPr>
        <w:t>(Report,</w:t>
      </w:r>
      <w:r>
        <w:rPr>
          <w:spacing w:val="45"/>
          <w:sz w:val="18"/>
        </w:rPr>
        <w:t xml:space="preserve"> </w:t>
      </w:r>
      <w:r>
        <w:rPr>
          <w:spacing w:val="-2"/>
          <w:sz w:val="18"/>
        </w:rPr>
        <w:t>2021)</w:t>
      </w:r>
    </w:p>
    <w:p w14:paraId="7CB25CCE" w14:textId="77777777" w:rsidR="008A4099" w:rsidRDefault="006A6EE2">
      <w:pPr>
        <w:spacing w:before="4"/>
        <w:ind w:left="160"/>
        <w:rPr>
          <w:sz w:val="18"/>
        </w:rPr>
      </w:pPr>
      <w:r>
        <w:rPr>
          <w:sz w:val="18"/>
        </w:rPr>
        <w:t>&lt;https://</w:t>
      </w:r>
      <w:hyperlink r:id="rId45">
        <w:r>
          <w:rPr>
            <w:sz w:val="18"/>
          </w:rPr>
          <w:t>www.dpac.tas.gov.au/</w:t>
        </w:r>
      </w:hyperlink>
      <w:r>
        <w:rPr>
          <w:spacing w:val="38"/>
          <w:sz w:val="18"/>
          <w:u w:val="single"/>
        </w:rPr>
        <w:t xml:space="preserve">  </w:t>
      </w:r>
      <w:r>
        <w:rPr>
          <w:sz w:val="18"/>
        </w:rPr>
        <w:t>data/assets/pdf_file/0029/162668/Pathway_to_Truth-</w:t>
      </w:r>
      <w:r>
        <w:rPr>
          <w:spacing w:val="-2"/>
          <w:sz w:val="18"/>
        </w:rPr>
        <w:t>Telling_and_Treaty_251121.pdf&gt;.</w:t>
      </w:r>
    </w:p>
    <w:p w14:paraId="7CB25CCF" w14:textId="77777777" w:rsidR="008A4099" w:rsidRDefault="006A6EE2">
      <w:pPr>
        <w:spacing w:before="19"/>
        <w:ind w:left="160" w:right="676"/>
        <w:jc w:val="both"/>
        <w:rPr>
          <w:sz w:val="18"/>
        </w:rPr>
      </w:pPr>
      <w:r>
        <w:rPr>
          <w:sz w:val="18"/>
          <w:vertAlign w:val="superscript"/>
        </w:rPr>
        <w:t>22</w:t>
      </w:r>
      <w:r>
        <w:rPr>
          <w:sz w:val="18"/>
        </w:rPr>
        <w:t xml:space="preserve"> See Commission of Inquiry into the Tasmanian Government’s Responses to Child Sexual Abuse in Institutional Settings (Web Page, 2021) &lt;https://</w:t>
      </w:r>
      <w:hyperlink r:id="rId46">
        <w:r>
          <w:rPr>
            <w:sz w:val="18"/>
          </w:rPr>
          <w:t>www.commissionofinquiry.tas.gov.au/home</w:t>
        </w:r>
      </w:hyperlink>
      <w:r>
        <w:rPr>
          <w:sz w:val="18"/>
        </w:rPr>
        <w:t>&gt;; Commission of Inquiry into the Tasmanian Government’s</w:t>
      </w:r>
      <w:r>
        <w:rPr>
          <w:spacing w:val="-1"/>
          <w:sz w:val="18"/>
        </w:rPr>
        <w:t xml:space="preserve"> </w:t>
      </w:r>
      <w:r>
        <w:rPr>
          <w:sz w:val="18"/>
        </w:rPr>
        <w:t>Responses</w:t>
      </w:r>
      <w:r>
        <w:rPr>
          <w:spacing w:val="-1"/>
          <w:sz w:val="18"/>
        </w:rPr>
        <w:t xml:space="preserve"> </w:t>
      </w:r>
      <w:r>
        <w:rPr>
          <w:sz w:val="18"/>
        </w:rPr>
        <w:t>to Child Sexual Abuse</w:t>
      </w:r>
      <w:r>
        <w:rPr>
          <w:spacing w:val="-2"/>
          <w:sz w:val="18"/>
        </w:rPr>
        <w:t xml:space="preserve"> </w:t>
      </w:r>
      <w:r>
        <w:rPr>
          <w:sz w:val="18"/>
        </w:rPr>
        <w:t xml:space="preserve">in Institutional Settings, </w:t>
      </w:r>
      <w:r>
        <w:rPr>
          <w:i/>
          <w:sz w:val="18"/>
        </w:rPr>
        <w:t>Who</w:t>
      </w:r>
      <w:r>
        <w:rPr>
          <w:i/>
          <w:spacing w:val="-2"/>
          <w:sz w:val="18"/>
        </w:rPr>
        <w:t xml:space="preserve"> </w:t>
      </w:r>
      <w:r>
        <w:rPr>
          <w:i/>
          <w:sz w:val="18"/>
        </w:rPr>
        <w:t>was</w:t>
      </w:r>
      <w:r>
        <w:rPr>
          <w:i/>
          <w:spacing w:val="-3"/>
          <w:sz w:val="18"/>
        </w:rPr>
        <w:t xml:space="preserve"> </w:t>
      </w:r>
      <w:r>
        <w:rPr>
          <w:i/>
          <w:sz w:val="18"/>
        </w:rPr>
        <w:t>Looking</w:t>
      </w:r>
      <w:r>
        <w:rPr>
          <w:i/>
          <w:spacing w:val="-2"/>
          <w:sz w:val="18"/>
        </w:rPr>
        <w:t xml:space="preserve"> </w:t>
      </w:r>
      <w:r>
        <w:rPr>
          <w:i/>
          <w:sz w:val="18"/>
        </w:rPr>
        <w:t>after</w:t>
      </w:r>
      <w:r>
        <w:rPr>
          <w:i/>
          <w:spacing w:val="-1"/>
          <w:sz w:val="18"/>
        </w:rPr>
        <w:t xml:space="preserve"> </w:t>
      </w:r>
      <w:r>
        <w:rPr>
          <w:i/>
          <w:sz w:val="18"/>
        </w:rPr>
        <w:t>Me? Prioritising the</w:t>
      </w:r>
      <w:r>
        <w:rPr>
          <w:i/>
          <w:spacing w:val="-1"/>
          <w:sz w:val="18"/>
        </w:rPr>
        <w:t xml:space="preserve"> </w:t>
      </w:r>
      <w:r>
        <w:rPr>
          <w:i/>
          <w:sz w:val="18"/>
        </w:rPr>
        <w:t xml:space="preserve">Safety of Tasmanian Children. Volume 1: Summary, Recommendations and Findings </w:t>
      </w:r>
      <w:r>
        <w:rPr>
          <w:sz w:val="18"/>
        </w:rPr>
        <w:t>(Report, 2023)</w:t>
      </w:r>
    </w:p>
    <w:p w14:paraId="7CB25CD0" w14:textId="77777777" w:rsidR="008A4099" w:rsidRDefault="006A6EE2">
      <w:pPr>
        <w:spacing w:before="5"/>
        <w:ind w:left="160"/>
        <w:rPr>
          <w:sz w:val="18"/>
        </w:rPr>
      </w:pPr>
      <w:r>
        <w:rPr>
          <w:sz w:val="18"/>
        </w:rPr>
        <w:t>&lt;https://</w:t>
      </w:r>
      <w:hyperlink r:id="rId47">
        <w:r>
          <w:rPr>
            <w:sz w:val="18"/>
          </w:rPr>
          <w:t>www.commissionofinquiry.tas.gov.au/</w:t>
        </w:r>
      </w:hyperlink>
      <w:r>
        <w:rPr>
          <w:spacing w:val="39"/>
          <w:sz w:val="18"/>
          <w:u w:val="single"/>
        </w:rPr>
        <w:t xml:space="preserve">  </w:t>
      </w:r>
      <w:r>
        <w:rPr>
          <w:sz w:val="18"/>
        </w:rPr>
        <w:t>data/assets/file/0011/724439/COI_Full-</w:t>
      </w:r>
      <w:r>
        <w:rPr>
          <w:spacing w:val="-2"/>
          <w:sz w:val="18"/>
        </w:rPr>
        <w:t>Report.pdf&gt;.</w:t>
      </w:r>
    </w:p>
    <w:p w14:paraId="7CB25CD1" w14:textId="77777777" w:rsidR="008A4099" w:rsidRDefault="006A6EE2">
      <w:pPr>
        <w:spacing w:before="18" w:line="244" w:lineRule="auto"/>
        <w:ind w:left="160" w:right="679"/>
        <w:rPr>
          <w:sz w:val="18"/>
        </w:rPr>
      </w:pPr>
      <w:r>
        <w:rPr>
          <w:sz w:val="18"/>
          <w:vertAlign w:val="superscript"/>
        </w:rPr>
        <w:t>23</w:t>
      </w:r>
      <w:r>
        <w:rPr>
          <w:sz w:val="18"/>
        </w:rPr>
        <w:t xml:space="preserve"> The Issues Paper was distributed to approximately 700 individuals and community organisations; over 2,500 pamphlets</w:t>
      </w:r>
      <w:r>
        <w:rPr>
          <w:spacing w:val="40"/>
          <w:sz w:val="18"/>
        </w:rPr>
        <w:t xml:space="preserve"> </w:t>
      </w:r>
      <w:r>
        <w:rPr>
          <w:sz w:val="18"/>
        </w:rPr>
        <w:t>were distributed. For an overview of the consultation process, see TLRI 2007 Final Report 151–154.</w:t>
      </w:r>
    </w:p>
    <w:p w14:paraId="7CB25CD2" w14:textId="77777777" w:rsidR="008A4099" w:rsidRDefault="006A6EE2">
      <w:pPr>
        <w:spacing w:before="15" w:line="244" w:lineRule="auto"/>
        <w:ind w:left="160" w:right="680"/>
        <w:rPr>
          <w:sz w:val="18"/>
        </w:rPr>
      </w:pPr>
      <w:r>
        <w:rPr>
          <w:sz w:val="18"/>
          <w:vertAlign w:val="superscript"/>
        </w:rPr>
        <w:t>24</w:t>
      </w:r>
      <w:r>
        <w:rPr>
          <w:spacing w:val="-9"/>
          <w:sz w:val="18"/>
        </w:rPr>
        <w:t xml:space="preserve"> </w:t>
      </w:r>
      <w:r>
        <w:rPr>
          <w:sz w:val="18"/>
        </w:rPr>
        <w:t>That</w:t>
      </w:r>
      <w:r>
        <w:rPr>
          <w:spacing w:val="-9"/>
          <w:sz w:val="18"/>
        </w:rPr>
        <w:t xml:space="preserve"> </w:t>
      </w:r>
      <w:r>
        <w:rPr>
          <w:sz w:val="18"/>
        </w:rPr>
        <w:t>Committee</w:t>
      </w:r>
      <w:r>
        <w:rPr>
          <w:spacing w:val="-10"/>
          <w:sz w:val="18"/>
        </w:rPr>
        <w:t xml:space="preserve"> </w:t>
      </w:r>
      <w:r>
        <w:rPr>
          <w:sz w:val="18"/>
        </w:rPr>
        <w:t>was</w:t>
      </w:r>
      <w:r>
        <w:rPr>
          <w:spacing w:val="-10"/>
          <w:sz w:val="18"/>
        </w:rPr>
        <w:t xml:space="preserve"> </w:t>
      </w:r>
      <w:r>
        <w:rPr>
          <w:sz w:val="18"/>
        </w:rPr>
        <w:t>chaired</w:t>
      </w:r>
      <w:r>
        <w:rPr>
          <w:spacing w:val="-8"/>
          <w:sz w:val="18"/>
        </w:rPr>
        <w:t xml:space="preserve"> </w:t>
      </w:r>
      <w:r>
        <w:rPr>
          <w:sz w:val="18"/>
        </w:rPr>
        <w:t>by</w:t>
      </w:r>
      <w:r>
        <w:rPr>
          <w:spacing w:val="-10"/>
          <w:sz w:val="18"/>
        </w:rPr>
        <w:t xml:space="preserve"> </w:t>
      </w:r>
      <w:r>
        <w:rPr>
          <w:sz w:val="18"/>
        </w:rPr>
        <w:t>Terese</w:t>
      </w:r>
      <w:r>
        <w:rPr>
          <w:spacing w:val="-10"/>
          <w:sz w:val="18"/>
        </w:rPr>
        <w:t xml:space="preserve"> </w:t>
      </w:r>
      <w:r>
        <w:rPr>
          <w:sz w:val="18"/>
        </w:rPr>
        <w:t>Henning</w:t>
      </w:r>
      <w:r>
        <w:rPr>
          <w:spacing w:val="-8"/>
          <w:sz w:val="18"/>
        </w:rPr>
        <w:t xml:space="preserve"> </w:t>
      </w:r>
      <w:r>
        <w:rPr>
          <w:sz w:val="18"/>
        </w:rPr>
        <w:t>and</w:t>
      </w:r>
      <w:r>
        <w:rPr>
          <w:spacing w:val="-8"/>
          <w:sz w:val="18"/>
        </w:rPr>
        <w:t xml:space="preserve"> </w:t>
      </w:r>
      <w:r>
        <w:rPr>
          <w:sz w:val="18"/>
        </w:rPr>
        <w:t>comprised</w:t>
      </w:r>
      <w:r>
        <w:rPr>
          <w:spacing w:val="-8"/>
          <w:sz w:val="18"/>
        </w:rPr>
        <w:t xml:space="preserve"> </w:t>
      </w:r>
      <w:r>
        <w:rPr>
          <w:sz w:val="18"/>
        </w:rPr>
        <w:t>of</w:t>
      </w:r>
      <w:r>
        <w:rPr>
          <w:spacing w:val="-11"/>
          <w:sz w:val="18"/>
        </w:rPr>
        <w:t xml:space="preserve"> </w:t>
      </w:r>
      <w:r>
        <w:rPr>
          <w:sz w:val="18"/>
        </w:rPr>
        <w:t>members</w:t>
      </w:r>
      <w:r>
        <w:rPr>
          <w:spacing w:val="-10"/>
          <w:sz w:val="18"/>
        </w:rPr>
        <w:t xml:space="preserve"> </w:t>
      </w:r>
      <w:r>
        <w:rPr>
          <w:sz w:val="18"/>
        </w:rPr>
        <w:t>from</w:t>
      </w:r>
      <w:r>
        <w:rPr>
          <w:spacing w:val="-10"/>
          <w:sz w:val="18"/>
        </w:rPr>
        <w:t xml:space="preserve"> </w:t>
      </w:r>
      <w:r>
        <w:rPr>
          <w:sz w:val="18"/>
        </w:rPr>
        <w:t>government</w:t>
      </w:r>
      <w:r>
        <w:rPr>
          <w:spacing w:val="-9"/>
          <w:sz w:val="18"/>
        </w:rPr>
        <w:t xml:space="preserve"> </w:t>
      </w:r>
      <w:r>
        <w:rPr>
          <w:sz w:val="18"/>
        </w:rPr>
        <w:t>and</w:t>
      </w:r>
      <w:r>
        <w:rPr>
          <w:spacing w:val="-8"/>
          <w:sz w:val="18"/>
        </w:rPr>
        <w:t xml:space="preserve"> </w:t>
      </w:r>
      <w:r>
        <w:rPr>
          <w:sz w:val="18"/>
        </w:rPr>
        <w:t>community</w:t>
      </w:r>
      <w:r>
        <w:rPr>
          <w:spacing w:val="-10"/>
          <w:sz w:val="18"/>
        </w:rPr>
        <w:t xml:space="preserve"> </w:t>
      </w:r>
      <w:r>
        <w:rPr>
          <w:sz w:val="18"/>
        </w:rPr>
        <w:t>organisations (see TLRI 2007 Final Report [1.1.2] and Appendix B).</w:t>
      </w:r>
    </w:p>
    <w:p w14:paraId="7CB25CD3" w14:textId="77777777" w:rsidR="008A4099" w:rsidRDefault="006A6EE2">
      <w:pPr>
        <w:spacing w:before="14"/>
        <w:ind w:left="160"/>
        <w:rPr>
          <w:sz w:val="18"/>
        </w:rPr>
      </w:pPr>
      <w:r>
        <w:rPr>
          <w:sz w:val="18"/>
          <w:vertAlign w:val="superscript"/>
        </w:rPr>
        <w:t>25</w:t>
      </w:r>
      <w:r>
        <w:rPr>
          <w:sz w:val="18"/>
        </w:rPr>
        <w:t xml:space="preserve"> TLRI 2007</w:t>
      </w:r>
      <w:r>
        <w:rPr>
          <w:spacing w:val="1"/>
          <w:sz w:val="18"/>
        </w:rPr>
        <w:t xml:space="preserve"> </w:t>
      </w:r>
      <w:r>
        <w:rPr>
          <w:sz w:val="18"/>
        </w:rPr>
        <w:t>Final</w:t>
      </w:r>
      <w:r>
        <w:rPr>
          <w:spacing w:val="1"/>
          <w:sz w:val="18"/>
        </w:rPr>
        <w:t xml:space="preserve"> </w:t>
      </w:r>
      <w:r>
        <w:rPr>
          <w:sz w:val="18"/>
        </w:rPr>
        <w:t xml:space="preserve">Report </w:t>
      </w:r>
      <w:r>
        <w:rPr>
          <w:spacing w:val="-2"/>
          <w:sz w:val="18"/>
        </w:rPr>
        <w:t>[4.1.1].</w:t>
      </w:r>
    </w:p>
    <w:p w14:paraId="7CB25CD4" w14:textId="77777777" w:rsidR="008A4099" w:rsidRDefault="006A6EE2">
      <w:pPr>
        <w:spacing w:before="24" w:line="244" w:lineRule="auto"/>
        <w:ind w:left="160" w:right="680"/>
        <w:rPr>
          <w:sz w:val="18"/>
        </w:rPr>
      </w:pPr>
      <w:r>
        <w:rPr>
          <w:sz w:val="18"/>
          <w:vertAlign w:val="superscript"/>
        </w:rPr>
        <w:t>26</w:t>
      </w:r>
      <w:r>
        <w:rPr>
          <w:sz w:val="18"/>
        </w:rPr>
        <w:t xml:space="preserve"> TLRI 2007 Final Report [4.1.49], Recommendation 2. The Recommendations from the 2007 Final Report are set out in</w:t>
      </w:r>
      <w:r>
        <w:rPr>
          <w:spacing w:val="40"/>
          <w:sz w:val="18"/>
        </w:rPr>
        <w:t xml:space="preserve"> </w:t>
      </w:r>
      <w:r>
        <w:rPr>
          <w:sz w:val="18"/>
        </w:rPr>
        <w:t>Appendix A.</w:t>
      </w:r>
    </w:p>
    <w:p w14:paraId="7CB25CD5" w14:textId="77777777" w:rsidR="008A4099" w:rsidRDefault="008A4099">
      <w:pPr>
        <w:spacing w:line="244" w:lineRule="auto"/>
        <w:rPr>
          <w:sz w:val="18"/>
        </w:rPr>
        <w:sectPr w:rsidR="008A4099" w:rsidSect="00D43B2D">
          <w:pgSz w:w="11910" w:h="16840"/>
          <w:pgMar w:top="980" w:right="760" w:bottom="940" w:left="1280" w:header="718" w:footer="753" w:gutter="0"/>
          <w:cols w:space="720"/>
        </w:sectPr>
      </w:pPr>
    </w:p>
    <w:p w14:paraId="7CB25CD6" w14:textId="77777777" w:rsidR="008A4099" w:rsidRDefault="008A4099">
      <w:pPr>
        <w:pStyle w:val="BodyText"/>
        <w:spacing w:before="195"/>
      </w:pPr>
    </w:p>
    <w:p w14:paraId="7CB25CD7" w14:textId="77777777" w:rsidR="008A4099" w:rsidRDefault="006A6EE2">
      <w:pPr>
        <w:pStyle w:val="ListParagraph"/>
        <w:numPr>
          <w:ilvl w:val="0"/>
          <w:numId w:val="10"/>
        </w:numPr>
        <w:tabs>
          <w:tab w:val="left" w:pos="1228"/>
        </w:tabs>
        <w:spacing w:before="0"/>
        <w:jc w:val="left"/>
        <w:rPr>
          <w:sz w:val="13"/>
        </w:rPr>
      </w:pPr>
      <w:r>
        <w:t>not</w:t>
      </w:r>
      <w:r>
        <w:rPr>
          <w:spacing w:val="-3"/>
        </w:rPr>
        <w:t xml:space="preserve"> </w:t>
      </w:r>
      <w:r>
        <w:t>intrude</w:t>
      </w:r>
      <w:r>
        <w:rPr>
          <w:spacing w:val="-5"/>
        </w:rPr>
        <w:t xml:space="preserve"> </w:t>
      </w:r>
      <w:r>
        <w:t>upon</w:t>
      </w:r>
      <w:r>
        <w:rPr>
          <w:spacing w:val="-2"/>
        </w:rPr>
        <w:t xml:space="preserve"> </w:t>
      </w:r>
      <w:r>
        <w:t>Parliamentary</w:t>
      </w:r>
      <w:r>
        <w:rPr>
          <w:spacing w:val="-5"/>
        </w:rPr>
        <w:t xml:space="preserve"> </w:t>
      </w:r>
      <w:r>
        <w:rPr>
          <w:spacing w:val="-2"/>
        </w:rPr>
        <w:t>supremacy;</w:t>
      </w:r>
      <w:r>
        <w:rPr>
          <w:spacing w:val="-2"/>
          <w:position w:val="7"/>
          <w:sz w:val="13"/>
        </w:rPr>
        <w:t>27</w:t>
      </w:r>
    </w:p>
    <w:p w14:paraId="7CB25CD8" w14:textId="77777777" w:rsidR="008A4099" w:rsidRDefault="006A6EE2">
      <w:pPr>
        <w:pStyle w:val="ListParagraph"/>
        <w:numPr>
          <w:ilvl w:val="0"/>
          <w:numId w:val="10"/>
        </w:numPr>
        <w:tabs>
          <w:tab w:val="left" w:pos="1228"/>
        </w:tabs>
        <w:spacing w:before="158"/>
        <w:jc w:val="left"/>
      </w:pPr>
      <w:r>
        <w:t>be</w:t>
      </w:r>
      <w:r>
        <w:rPr>
          <w:spacing w:val="-5"/>
        </w:rPr>
        <w:t xml:space="preserve"> </w:t>
      </w:r>
      <w:r>
        <w:t>comparatively</w:t>
      </w:r>
      <w:r>
        <w:rPr>
          <w:spacing w:val="-5"/>
        </w:rPr>
        <w:t xml:space="preserve"> </w:t>
      </w:r>
      <w:r>
        <w:t>easy</w:t>
      </w:r>
      <w:r>
        <w:rPr>
          <w:spacing w:val="-5"/>
        </w:rPr>
        <w:t xml:space="preserve"> </w:t>
      </w:r>
      <w:r>
        <w:t>to</w:t>
      </w:r>
      <w:r>
        <w:rPr>
          <w:spacing w:val="-5"/>
        </w:rPr>
        <w:t xml:space="preserve"> </w:t>
      </w:r>
      <w:r>
        <w:t>amend</w:t>
      </w:r>
      <w:r>
        <w:rPr>
          <w:spacing w:val="-4"/>
        </w:rPr>
        <w:t xml:space="preserve"> </w:t>
      </w:r>
      <w:r>
        <w:t>and</w:t>
      </w:r>
      <w:r>
        <w:rPr>
          <w:spacing w:val="-5"/>
        </w:rPr>
        <w:t xml:space="preserve"> </w:t>
      </w:r>
      <w:r>
        <w:t>therefore</w:t>
      </w:r>
      <w:r>
        <w:rPr>
          <w:spacing w:val="-4"/>
        </w:rPr>
        <w:t xml:space="preserve"> </w:t>
      </w:r>
      <w:r>
        <w:t>more</w:t>
      </w:r>
      <w:r>
        <w:rPr>
          <w:spacing w:val="-4"/>
        </w:rPr>
        <w:t xml:space="preserve"> </w:t>
      </w:r>
      <w:r>
        <w:t>responsive</w:t>
      </w:r>
      <w:r>
        <w:rPr>
          <w:spacing w:val="-5"/>
        </w:rPr>
        <w:t xml:space="preserve"> </w:t>
      </w:r>
      <w:r>
        <w:t>to</w:t>
      </w:r>
      <w:r>
        <w:rPr>
          <w:spacing w:val="-2"/>
        </w:rPr>
        <w:t xml:space="preserve"> </w:t>
      </w:r>
      <w:r>
        <w:t>changing</w:t>
      </w:r>
      <w:r>
        <w:rPr>
          <w:spacing w:val="-2"/>
        </w:rPr>
        <w:t xml:space="preserve"> expectations;</w:t>
      </w:r>
    </w:p>
    <w:p w14:paraId="7CB25CD9" w14:textId="77777777" w:rsidR="008A4099" w:rsidRDefault="006A6EE2">
      <w:pPr>
        <w:pStyle w:val="ListParagraph"/>
        <w:numPr>
          <w:ilvl w:val="0"/>
          <w:numId w:val="10"/>
        </w:numPr>
        <w:tabs>
          <w:tab w:val="left" w:pos="1228"/>
        </w:tabs>
        <w:spacing w:before="158"/>
        <w:jc w:val="left"/>
      </w:pPr>
      <w:r>
        <w:t>be</w:t>
      </w:r>
      <w:r>
        <w:rPr>
          <w:spacing w:val="-5"/>
        </w:rPr>
        <w:t xml:space="preserve"> </w:t>
      </w:r>
      <w:r>
        <w:t>consistent</w:t>
      </w:r>
      <w:r>
        <w:rPr>
          <w:spacing w:val="-3"/>
        </w:rPr>
        <w:t xml:space="preserve"> </w:t>
      </w:r>
      <w:r>
        <w:t>with</w:t>
      </w:r>
      <w:r>
        <w:rPr>
          <w:spacing w:val="-7"/>
        </w:rPr>
        <w:t xml:space="preserve"> </w:t>
      </w:r>
      <w:r>
        <w:t>models</w:t>
      </w:r>
      <w:r>
        <w:rPr>
          <w:spacing w:val="-6"/>
        </w:rPr>
        <w:t xml:space="preserve"> </w:t>
      </w:r>
      <w:r>
        <w:t>enacted</w:t>
      </w:r>
      <w:r>
        <w:rPr>
          <w:spacing w:val="-4"/>
        </w:rPr>
        <w:t xml:space="preserve"> </w:t>
      </w:r>
      <w:r>
        <w:t>in</w:t>
      </w:r>
      <w:r>
        <w:rPr>
          <w:spacing w:val="-4"/>
        </w:rPr>
        <w:t xml:space="preserve"> </w:t>
      </w:r>
      <w:r>
        <w:t>comparable</w:t>
      </w:r>
      <w:r>
        <w:rPr>
          <w:spacing w:val="-6"/>
        </w:rPr>
        <w:t xml:space="preserve"> </w:t>
      </w:r>
      <w:r>
        <w:t>jurisdictions;</w:t>
      </w:r>
      <w:r>
        <w:rPr>
          <w:spacing w:val="-3"/>
        </w:rPr>
        <w:t xml:space="preserve"> </w:t>
      </w:r>
      <w:r>
        <w:rPr>
          <w:spacing w:val="-5"/>
        </w:rPr>
        <w:t>and</w:t>
      </w:r>
    </w:p>
    <w:p w14:paraId="7CB25CDA" w14:textId="77777777" w:rsidR="008A4099" w:rsidRDefault="006A6EE2">
      <w:pPr>
        <w:pStyle w:val="ListParagraph"/>
        <w:numPr>
          <w:ilvl w:val="0"/>
          <w:numId w:val="10"/>
        </w:numPr>
        <w:tabs>
          <w:tab w:val="left" w:pos="1228"/>
        </w:tabs>
        <w:spacing w:before="155" w:line="273" w:lineRule="auto"/>
        <w:ind w:right="682"/>
        <w:rPr>
          <w:sz w:val="13"/>
        </w:rPr>
      </w:pPr>
      <w:r>
        <w:t>promote the development of a dialogue about human rights across the three arms of government and within the Tasmanian community.</w:t>
      </w:r>
      <w:r>
        <w:rPr>
          <w:position w:val="7"/>
          <w:sz w:val="13"/>
        </w:rPr>
        <w:t>28</w:t>
      </w:r>
    </w:p>
    <w:p w14:paraId="7CB25CDB" w14:textId="77777777" w:rsidR="008A4099" w:rsidRDefault="006A6EE2">
      <w:pPr>
        <w:pStyle w:val="ListParagraph"/>
        <w:numPr>
          <w:ilvl w:val="2"/>
          <w:numId w:val="11"/>
        </w:numPr>
        <w:tabs>
          <w:tab w:val="left" w:pos="879"/>
        </w:tabs>
        <w:spacing w:before="222"/>
        <w:ind w:right="675" w:firstLine="0"/>
        <w:jc w:val="both"/>
        <w:rPr>
          <w:sz w:val="13"/>
        </w:rPr>
      </w:pPr>
      <w:r>
        <w:t>The TLRI recommended that the Charter of Rights embed human rights considerations throughout the legislative process by mandating that Bills tabled in Parliament be accompanied by ‘statements of compatibility’ with the rights outlined in the Charter and subject to specific scrutiny of any restriction of human rights.</w:t>
      </w:r>
      <w:r>
        <w:rPr>
          <w:position w:val="7"/>
          <w:sz w:val="13"/>
        </w:rPr>
        <w:t>29</w:t>
      </w:r>
    </w:p>
    <w:p w14:paraId="7CB25CDC" w14:textId="77777777" w:rsidR="008A4099" w:rsidRDefault="006A6EE2">
      <w:pPr>
        <w:pStyle w:val="ListParagraph"/>
        <w:numPr>
          <w:ilvl w:val="2"/>
          <w:numId w:val="11"/>
        </w:numPr>
        <w:tabs>
          <w:tab w:val="left" w:pos="879"/>
        </w:tabs>
        <w:spacing w:before="218" w:line="237" w:lineRule="auto"/>
        <w:ind w:right="683" w:firstLine="0"/>
        <w:jc w:val="both"/>
        <w:rPr>
          <w:sz w:val="13"/>
        </w:rPr>
      </w:pPr>
      <w:r>
        <w:t>The TLRI recommended that the proposed Charter of Rights protect the rights of natural persons but not corporations.</w:t>
      </w:r>
      <w:r>
        <w:rPr>
          <w:position w:val="7"/>
          <w:sz w:val="13"/>
        </w:rPr>
        <w:t>30</w:t>
      </w:r>
    </w:p>
    <w:p w14:paraId="7CB25CDD" w14:textId="77777777" w:rsidR="008A4099" w:rsidRDefault="006A6EE2">
      <w:pPr>
        <w:pStyle w:val="ListParagraph"/>
        <w:numPr>
          <w:ilvl w:val="2"/>
          <w:numId w:val="11"/>
        </w:numPr>
        <w:tabs>
          <w:tab w:val="left" w:pos="879"/>
        </w:tabs>
        <w:spacing w:before="219"/>
        <w:ind w:right="675" w:firstLine="0"/>
        <w:jc w:val="both"/>
        <w:rPr>
          <w:sz w:val="13"/>
        </w:rPr>
      </w:pPr>
      <w:r>
        <w:t>The</w:t>
      </w:r>
      <w:r>
        <w:rPr>
          <w:spacing w:val="-7"/>
        </w:rPr>
        <w:t xml:space="preserve"> </w:t>
      </w:r>
      <w:r>
        <w:t>TLRI</w:t>
      </w:r>
      <w:r>
        <w:rPr>
          <w:spacing w:val="-9"/>
        </w:rPr>
        <w:t xml:space="preserve"> </w:t>
      </w:r>
      <w:r>
        <w:t>recommended</w:t>
      </w:r>
      <w:r>
        <w:rPr>
          <w:spacing w:val="-9"/>
        </w:rPr>
        <w:t xml:space="preserve"> </w:t>
      </w:r>
      <w:r>
        <w:t>that</w:t>
      </w:r>
      <w:r>
        <w:rPr>
          <w:spacing w:val="-8"/>
        </w:rPr>
        <w:t xml:space="preserve"> </w:t>
      </w:r>
      <w:r>
        <w:t>the</w:t>
      </w:r>
      <w:r>
        <w:rPr>
          <w:spacing w:val="-7"/>
        </w:rPr>
        <w:t xml:space="preserve"> </w:t>
      </w:r>
      <w:r>
        <w:t>Charter</w:t>
      </w:r>
      <w:r>
        <w:rPr>
          <w:spacing w:val="-8"/>
        </w:rPr>
        <w:t xml:space="preserve"> </w:t>
      </w:r>
      <w:r>
        <w:t>bind</w:t>
      </w:r>
      <w:r>
        <w:rPr>
          <w:spacing w:val="-10"/>
        </w:rPr>
        <w:t xml:space="preserve"> </w:t>
      </w:r>
      <w:r>
        <w:t>‘public</w:t>
      </w:r>
      <w:r>
        <w:rPr>
          <w:spacing w:val="-7"/>
        </w:rPr>
        <w:t xml:space="preserve"> </w:t>
      </w:r>
      <w:r>
        <w:t>authorities’</w:t>
      </w:r>
      <w:r>
        <w:rPr>
          <w:position w:val="7"/>
          <w:sz w:val="13"/>
        </w:rPr>
        <w:t>31</w:t>
      </w:r>
      <w:r>
        <w:rPr>
          <w:spacing w:val="15"/>
          <w:position w:val="7"/>
          <w:sz w:val="13"/>
        </w:rPr>
        <w:t xml:space="preserve"> </w:t>
      </w:r>
      <w:r>
        <w:t>and</w:t>
      </w:r>
      <w:r>
        <w:rPr>
          <w:spacing w:val="-7"/>
        </w:rPr>
        <w:t xml:space="preserve"> </w:t>
      </w:r>
      <w:r>
        <w:t>exclude</w:t>
      </w:r>
      <w:r>
        <w:rPr>
          <w:spacing w:val="-9"/>
        </w:rPr>
        <w:t xml:space="preserve"> </w:t>
      </w:r>
      <w:r>
        <w:t>acts</w:t>
      </w:r>
      <w:r>
        <w:rPr>
          <w:spacing w:val="-9"/>
        </w:rPr>
        <w:t xml:space="preserve"> </w:t>
      </w:r>
      <w:r>
        <w:t>by</w:t>
      </w:r>
      <w:r>
        <w:rPr>
          <w:spacing w:val="-7"/>
        </w:rPr>
        <w:t xml:space="preserve"> </w:t>
      </w:r>
      <w:r>
        <w:t>private individuals, corporations, or community organisations, unless they are performing a public function.</w:t>
      </w:r>
      <w:r>
        <w:rPr>
          <w:position w:val="7"/>
          <w:sz w:val="13"/>
        </w:rPr>
        <w:t>32</w:t>
      </w:r>
      <w:r>
        <w:rPr>
          <w:spacing w:val="40"/>
          <w:position w:val="7"/>
          <w:sz w:val="13"/>
        </w:rPr>
        <w:t xml:space="preserve"> </w:t>
      </w:r>
      <w:r>
        <w:t>This was described as an ‘initially conservative approach’ that could be revisited over time.</w:t>
      </w:r>
      <w:r>
        <w:rPr>
          <w:position w:val="7"/>
          <w:sz w:val="13"/>
        </w:rPr>
        <w:t>33</w:t>
      </w:r>
      <w:r>
        <w:rPr>
          <w:spacing w:val="38"/>
          <w:position w:val="7"/>
          <w:sz w:val="13"/>
        </w:rPr>
        <w:t xml:space="preserve"> </w:t>
      </w:r>
      <w:r>
        <w:t>It was recommended that statutory guidance, similar to that in the Victorian Charter, be provided as to when a particular entity was performing functions of a public nature.</w:t>
      </w:r>
      <w:r>
        <w:rPr>
          <w:position w:val="7"/>
          <w:sz w:val="13"/>
        </w:rPr>
        <w:t>34</w:t>
      </w:r>
    </w:p>
    <w:p w14:paraId="7CB25CDE" w14:textId="77777777" w:rsidR="008A4099" w:rsidRDefault="006A6EE2">
      <w:pPr>
        <w:pStyle w:val="ListParagraph"/>
        <w:numPr>
          <w:ilvl w:val="2"/>
          <w:numId w:val="11"/>
        </w:numPr>
        <w:tabs>
          <w:tab w:val="left" w:pos="879"/>
        </w:tabs>
        <w:spacing w:before="217"/>
        <w:ind w:right="679" w:firstLine="0"/>
        <w:jc w:val="both"/>
        <w:rPr>
          <w:sz w:val="13"/>
        </w:rPr>
      </w:pPr>
      <w:r>
        <w:t>The TLRI recommended that an independent Office of the Tasmanian Human Rights Commissioner be established to monitor the operation of the Charter, to educate and advise the community about the Charter, and to intervene in any proceedings involving the interpretation of the Charter.</w:t>
      </w:r>
      <w:r>
        <w:rPr>
          <w:position w:val="7"/>
          <w:sz w:val="13"/>
        </w:rPr>
        <w:t>35</w:t>
      </w:r>
      <w:r>
        <w:rPr>
          <w:spacing w:val="13"/>
          <w:position w:val="7"/>
          <w:sz w:val="13"/>
        </w:rPr>
        <w:t xml:space="preserve"> </w:t>
      </w:r>
      <w:r>
        <w:t>The</w:t>
      </w:r>
      <w:r>
        <w:rPr>
          <w:spacing w:val="-10"/>
        </w:rPr>
        <w:t xml:space="preserve"> </w:t>
      </w:r>
      <w:r>
        <w:t>Office</w:t>
      </w:r>
      <w:r>
        <w:rPr>
          <w:spacing w:val="-9"/>
        </w:rPr>
        <w:t xml:space="preserve"> </w:t>
      </w:r>
      <w:r>
        <w:t>would</w:t>
      </w:r>
      <w:r>
        <w:rPr>
          <w:spacing w:val="-12"/>
        </w:rPr>
        <w:t xml:space="preserve"> </w:t>
      </w:r>
      <w:r>
        <w:t>also</w:t>
      </w:r>
      <w:r>
        <w:rPr>
          <w:spacing w:val="-9"/>
        </w:rPr>
        <w:t xml:space="preserve"> </w:t>
      </w:r>
      <w:r>
        <w:t>be</w:t>
      </w:r>
      <w:r>
        <w:rPr>
          <w:spacing w:val="-9"/>
        </w:rPr>
        <w:t xml:space="preserve"> </w:t>
      </w:r>
      <w:r>
        <w:t>responsible</w:t>
      </w:r>
      <w:r>
        <w:rPr>
          <w:spacing w:val="-9"/>
        </w:rPr>
        <w:t xml:space="preserve"> </w:t>
      </w:r>
      <w:r>
        <w:t>for</w:t>
      </w:r>
      <w:r>
        <w:rPr>
          <w:spacing w:val="-9"/>
        </w:rPr>
        <w:t xml:space="preserve"> </w:t>
      </w:r>
      <w:r>
        <w:t>conducting</w:t>
      </w:r>
      <w:r>
        <w:rPr>
          <w:spacing w:val="-10"/>
        </w:rPr>
        <w:t xml:space="preserve"> </w:t>
      </w:r>
      <w:r>
        <w:t>comprehensive</w:t>
      </w:r>
      <w:r>
        <w:rPr>
          <w:spacing w:val="-9"/>
        </w:rPr>
        <w:t xml:space="preserve"> </w:t>
      </w:r>
      <w:r>
        <w:t>reviews</w:t>
      </w:r>
      <w:r>
        <w:rPr>
          <w:spacing w:val="-9"/>
        </w:rPr>
        <w:t xml:space="preserve"> </w:t>
      </w:r>
      <w:r>
        <w:t>of</w:t>
      </w:r>
      <w:r>
        <w:rPr>
          <w:spacing w:val="-9"/>
        </w:rPr>
        <w:t xml:space="preserve"> </w:t>
      </w:r>
      <w:r>
        <w:t>the</w:t>
      </w:r>
      <w:r>
        <w:rPr>
          <w:spacing w:val="-9"/>
        </w:rPr>
        <w:t xml:space="preserve"> </w:t>
      </w:r>
      <w:r>
        <w:t>operation of</w:t>
      </w:r>
      <w:r>
        <w:rPr>
          <w:spacing w:val="-11"/>
        </w:rPr>
        <w:t xml:space="preserve"> </w:t>
      </w:r>
      <w:r>
        <w:t>the</w:t>
      </w:r>
      <w:r>
        <w:rPr>
          <w:spacing w:val="-9"/>
        </w:rPr>
        <w:t xml:space="preserve"> </w:t>
      </w:r>
      <w:r>
        <w:t>Charter</w:t>
      </w:r>
      <w:r>
        <w:rPr>
          <w:spacing w:val="-9"/>
        </w:rPr>
        <w:t xml:space="preserve"> </w:t>
      </w:r>
      <w:r>
        <w:t>after</w:t>
      </w:r>
      <w:r>
        <w:rPr>
          <w:spacing w:val="-11"/>
        </w:rPr>
        <w:t xml:space="preserve"> </w:t>
      </w:r>
      <w:r>
        <w:t>four</w:t>
      </w:r>
      <w:r>
        <w:rPr>
          <w:spacing w:val="-11"/>
        </w:rPr>
        <w:t xml:space="preserve"> </w:t>
      </w:r>
      <w:r>
        <w:t>and</w:t>
      </w:r>
      <w:r>
        <w:rPr>
          <w:spacing w:val="-12"/>
        </w:rPr>
        <w:t xml:space="preserve"> </w:t>
      </w:r>
      <w:r>
        <w:t>eight</w:t>
      </w:r>
      <w:r>
        <w:rPr>
          <w:spacing w:val="-11"/>
        </w:rPr>
        <w:t xml:space="preserve"> </w:t>
      </w:r>
      <w:r>
        <w:t>years</w:t>
      </w:r>
      <w:r>
        <w:rPr>
          <w:spacing w:val="-12"/>
        </w:rPr>
        <w:t xml:space="preserve"> </w:t>
      </w:r>
      <w:r>
        <w:t>from</w:t>
      </w:r>
      <w:r>
        <w:rPr>
          <w:spacing w:val="-11"/>
        </w:rPr>
        <w:t xml:space="preserve"> </w:t>
      </w:r>
      <w:r>
        <w:t>its</w:t>
      </w:r>
      <w:r>
        <w:rPr>
          <w:spacing w:val="-12"/>
        </w:rPr>
        <w:t xml:space="preserve"> </w:t>
      </w:r>
      <w:r>
        <w:t>commencement.</w:t>
      </w:r>
      <w:r>
        <w:rPr>
          <w:position w:val="7"/>
          <w:sz w:val="13"/>
        </w:rPr>
        <w:t>36</w:t>
      </w:r>
      <w:r>
        <w:rPr>
          <w:spacing w:val="13"/>
          <w:position w:val="7"/>
          <w:sz w:val="13"/>
        </w:rPr>
        <w:t xml:space="preserve"> </w:t>
      </w:r>
      <w:r>
        <w:t>The</w:t>
      </w:r>
      <w:r>
        <w:rPr>
          <w:spacing w:val="-10"/>
        </w:rPr>
        <w:t xml:space="preserve"> </w:t>
      </w:r>
      <w:r>
        <w:t>TLRI</w:t>
      </w:r>
      <w:r>
        <w:rPr>
          <w:spacing w:val="-11"/>
        </w:rPr>
        <w:t xml:space="preserve"> </w:t>
      </w:r>
      <w:r>
        <w:t>further</w:t>
      </w:r>
      <w:r>
        <w:rPr>
          <w:spacing w:val="-13"/>
        </w:rPr>
        <w:t xml:space="preserve"> </w:t>
      </w:r>
      <w:r>
        <w:t>recommended</w:t>
      </w:r>
      <w:r>
        <w:rPr>
          <w:spacing w:val="-12"/>
        </w:rPr>
        <w:t xml:space="preserve"> </w:t>
      </w:r>
      <w:r>
        <w:t>that a dedicated</w:t>
      </w:r>
      <w:r>
        <w:rPr>
          <w:spacing w:val="-2"/>
        </w:rPr>
        <w:t xml:space="preserve"> </w:t>
      </w:r>
      <w:r>
        <w:t>Human Rights</w:t>
      </w:r>
      <w:r>
        <w:rPr>
          <w:spacing w:val="-2"/>
        </w:rPr>
        <w:t xml:space="preserve"> </w:t>
      </w:r>
      <w:r>
        <w:t>Unit</w:t>
      </w:r>
      <w:r>
        <w:rPr>
          <w:spacing w:val="-1"/>
        </w:rPr>
        <w:t xml:space="preserve"> </w:t>
      </w:r>
      <w:r>
        <w:t>be created within</w:t>
      </w:r>
      <w:r>
        <w:rPr>
          <w:spacing w:val="-2"/>
        </w:rPr>
        <w:t xml:space="preserve"> </w:t>
      </w:r>
      <w:r>
        <w:t>the</w:t>
      </w:r>
      <w:r>
        <w:rPr>
          <w:spacing w:val="-2"/>
        </w:rPr>
        <w:t xml:space="preserve"> </w:t>
      </w:r>
      <w:r>
        <w:t>Department</w:t>
      </w:r>
      <w:r>
        <w:rPr>
          <w:spacing w:val="-1"/>
        </w:rPr>
        <w:t xml:space="preserve"> </w:t>
      </w:r>
      <w:r>
        <w:t>of</w:t>
      </w:r>
      <w:r>
        <w:rPr>
          <w:spacing w:val="-2"/>
        </w:rPr>
        <w:t xml:space="preserve"> </w:t>
      </w:r>
      <w:r>
        <w:t>Justice</w:t>
      </w:r>
      <w:r>
        <w:rPr>
          <w:spacing w:val="-2"/>
        </w:rPr>
        <w:t xml:space="preserve"> </w:t>
      </w:r>
      <w:r>
        <w:t>to</w:t>
      </w:r>
      <w:r>
        <w:rPr>
          <w:spacing w:val="-2"/>
        </w:rPr>
        <w:t xml:space="preserve"> </w:t>
      </w:r>
      <w:r>
        <w:t>assist public</w:t>
      </w:r>
      <w:r>
        <w:rPr>
          <w:spacing w:val="-2"/>
        </w:rPr>
        <w:t xml:space="preserve"> </w:t>
      </w:r>
      <w:r>
        <w:t>authorities to implement the Charter, provide training, and guide advice to Ministers, Cabinet, and Parliament on human rights compatibility.</w:t>
      </w:r>
      <w:r>
        <w:rPr>
          <w:position w:val="7"/>
          <w:sz w:val="13"/>
        </w:rPr>
        <w:t>37</w:t>
      </w:r>
    </w:p>
    <w:p w14:paraId="7CB25CDF" w14:textId="77777777" w:rsidR="008A4099" w:rsidRDefault="006A6EE2">
      <w:pPr>
        <w:pStyle w:val="Heading6"/>
        <w:spacing w:before="238"/>
        <w:jc w:val="left"/>
      </w:pPr>
      <w:bookmarkStart w:id="6" w:name="_TOC_250054"/>
      <w:r>
        <w:t>A</w:t>
      </w:r>
      <w:r>
        <w:rPr>
          <w:spacing w:val="-7"/>
        </w:rPr>
        <w:t xml:space="preserve"> </w:t>
      </w:r>
      <w:r>
        <w:t>Charter</w:t>
      </w:r>
      <w:r>
        <w:rPr>
          <w:spacing w:val="-5"/>
        </w:rPr>
        <w:t xml:space="preserve"> </w:t>
      </w:r>
      <w:r>
        <w:t>that</w:t>
      </w:r>
      <w:r>
        <w:rPr>
          <w:spacing w:val="-2"/>
        </w:rPr>
        <w:t xml:space="preserve"> </w:t>
      </w:r>
      <w:r>
        <w:t>encourages</w:t>
      </w:r>
      <w:r>
        <w:rPr>
          <w:spacing w:val="-5"/>
        </w:rPr>
        <w:t xml:space="preserve"> </w:t>
      </w:r>
      <w:r>
        <w:t>parliamentary</w:t>
      </w:r>
      <w:r>
        <w:rPr>
          <w:spacing w:val="-5"/>
        </w:rPr>
        <w:t xml:space="preserve"> </w:t>
      </w:r>
      <w:r>
        <w:t>dialogue</w:t>
      </w:r>
      <w:r>
        <w:rPr>
          <w:spacing w:val="-6"/>
        </w:rPr>
        <w:t xml:space="preserve"> </w:t>
      </w:r>
      <w:r>
        <w:t>about</w:t>
      </w:r>
      <w:r>
        <w:rPr>
          <w:spacing w:val="-3"/>
        </w:rPr>
        <w:t xml:space="preserve"> </w:t>
      </w:r>
      <w:r>
        <w:t>human</w:t>
      </w:r>
      <w:r>
        <w:rPr>
          <w:spacing w:val="-3"/>
        </w:rPr>
        <w:t xml:space="preserve"> </w:t>
      </w:r>
      <w:bookmarkEnd w:id="6"/>
      <w:r>
        <w:rPr>
          <w:spacing w:val="-2"/>
        </w:rPr>
        <w:t>rights</w:t>
      </w:r>
    </w:p>
    <w:p w14:paraId="7CB25CE0" w14:textId="77777777" w:rsidR="008A4099" w:rsidRDefault="008A4099">
      <w:pPr>
        <w:pStyle w:val="BodyText"/>
        <w:spacing w:before="5"/>
        <w:rPr>
          <w:b/>
          <w:i/>
        </w:rPr>
      </w:pPr>
    </w:p>
    <w:p w14:paraId="7CB25CE1" w14:textId="77777777" w:rsidR="008A4099" w:rsidRDefault="006A6EE2">
      <w:pPr>
        <w:pStyle w:val="ListParagraph"/>
        <w:numPr>
          <w:ilvl w:val="2"/>
          <w:numId w:val="11"/>
        </w:numPr>
        <w:tabs>
          <w:tab w:val="left" w:pos="879"/>
        </w:tabs>
        <w:spacing w:before="0" w:line="237" w:lineRule="auto"/>
        <w:ind w:right="684" w:firstLine="0"/>
        <w:jc w:val="both"/>
      </w:pPr>
      <w:r>
        <w:t>The TLRI identified several key roles that Parliament should perform in relation to a Charter of rights.</w:t>
      </w:r>
    </w:p>
    <w:p w14:paraId="7CB25CE2" w14:textId="77777777" w:rsidR="008A4099" w:rsidRDefault="006A6EE2">
      <w:pPr>
        <w:pStyle w:val="ListParagraph"/>
        <w:numPr>
          <w:ilvl w:val="3"/>
          <w:numId w:val="11"/>
        </w:numPr>
        <w:tabs>
          <w:tab w:val="left" w:pos="1228"/>
        </w:tabs>
        <w:spacing w:before="219" w:line="276" w:lineRule="auto"/>
        <w:ind w:right="676"/>
        <w:rPr>
          <w:sz w:val="13"/>
        </w:rPr>
      </w:pPr>
      <w:r>
        <w:rPr>
          <w:b/>
        </w:rPr>
        <w:t xml:space="preserve">Statements of compatibility </w:t>
      </w:r>
      <w:r>
        <w:t>– All government and non-government bills introduced to Parliament should be accompanied by a statement of compatibility outlining compliance with human rights standards.</w:t>
      </w:r>
      <w:r>
        <w:rPr>
          <w:position w:val="7"/>
          <w:sz w:val="13"/>
        </w:rPr>
        <w:t>38</w:t>
      </w:r>
    </w:p>
    <w:p w14:paraId="7CB25CE3" w14:textId="77777777" w:rsidR="008A4099" w:rsidRDefault="006A6EE2">
      <w:pPr>
        <w:pStyle w:val="BodyText"/>
        <w:spacing w:before="191"/>
        <w:rPr>
          <w:sz w:val="20"/>
        </w:rPr>
      </w:pPr>
      <w:r>
        <w:rPr>
          <w:noProof/>
        </w:rPr>
        <mc:AlternateContent>
          <mc:Choice Requires="wps">
            <w:drawing>
              <wp:anchor distT="0" distB="0" distL="0" distR="0" simplePos="0" relativeHeight="487592448" behindDoc="1" locked="0" layoutInCell="1" allowOverlap="1" wp14:anchorId="7CB265EB" wp14:editId="7CB265EC">
                <wp:simplePos x="0" y="0"/>
                <wp:positionH relativeFrom="page">
                  <wp:posOffset>914704</wp:posOffset>
                </wp:positionH>
                <wp:positionV relativeFrom="paragraph">
                  <wp:posOffset>282885</wp:posOffset>
                </wp:positionV>
                <wp:extent cx="1829435" cy="762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832C43" id="Graphic 39" o:spid="_x0000_s1026" style="position:absolute;margin-left:1in;margin-top:22.25pt;width:144.0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" path="m1829054,l,,,7619r1829054,l1829054,xe" fillcolor="black" stroked="f">
                <v:path arrowok="t"/>
                <w10:wrap type="topAndBottom" anchorx="page"/>
              </v:shape>
            </w:pict>
          </mc:Fallback>
        </mc:AlternateContent>
      </w:r>
    </w:p>
    <w:p w14:paraId="7CB25CE4" w14:textId="77777777" w:rsidR="008A4099" w:rsidRDefault="006A6EE2">
      <w:pPr>
        <w:spacing w:before="112" w:line="244" w:lineRule="auto"/>
        <w:ind w:left="160" w:right="682"/>
        <w:jc w:val="both"/>
        <w:rPr>
          <w:sz w:val="18"/>
        </w:rPr>
      </w:pPr>
      <w:r>
        <w:rPr>
          <w:sz w:val="18"/>
          <w:vertAlign w:val="superscript"/>
        </w:rPr>
        <w:t>27</w:t>
      </w:r>
      <w:r>
        <w:rPr>
          <w:sz w:val="18"/>
        </w:rPr>
        <w:t xml:space="preserve"> This is consistent with the Terms of Reference for the referral, which directed that any recommendations made must be compliant with the principle of Parliamentary supremacy.</w:t>
      </w:r>
    </w:p>
    <w:p w14:paraId="7CB25CE5" w14:textId="77777777" w:rsidR="008A4099" w:rsidRDefault="006A6EE2">
      <w:pPr>
        <w:spacing w:before="16" w:line="242" w:lineRule="auto"/>
        <w:ind w:left="160" w:right="680"/>
        <w:jc w:val="both"/>
        <w:rPr>
          <w:sz w:val="18"/>
        </w:rPr>
      </w:pPr>
      <w:r>
        <w:rPr>
          <w:sz w:val="18"/>
          <w:vertAlign w:val="superscript"/>
        </w:rPr>
        <w:t>28</w:t>
      </w:r>
      <w:r>
        <w:rPr>
          <w:spacing w:val="-10"/>
          <w:sz w:val="18"/>
        </w:rPr>
        <w:t xml:space="preserve"> </w:t>
      </w:r>
      <w:r>
        <w:rPr>
          <w:sz w:val="18"/>
        </w:rPr>
        <w:t>TLRI</w:t>
      </w:r>
      <w:r>
        <w:rPr>
          <w:spacing w:val="-11"/>
          <w:sz w:val="18"/>
        </w:rPr>
        <w:t xml:space="preserve"> </w:t>
      </w:r>
      <w:r>
        <w:rPr>
          <w:sz w:val="18"/>
        </w:rPr>
        <w:t>2007</w:t>
      </w:r>
      <w:r>
        <w:rPr>
          <w:spacing w:val="-10"/>
          <w:sz w:val="18"/>
        </w:rPr>
        <w:t xml:space="preserve"> </w:t>
      </w:r>
      <w:r>
        <w:rPr>
          <w:sz w:val="18"/>
        </w:rPr>
        <w:t>Final</w:t>
      </w:r>
      <w:r>
        <w:rPr>
          <w:spacing w:val="-11"/>
          <w:sz w:val="18"/>
        </w:rPr>
        <w:t xml:space="preserve"> </w:t>
      </w:r>
      <w:r>
        <w:rPr>
          <w:sz w:val="18"/>
        </w:rPr>
        <w:t>Report</w:t>
      </w:r>
      <w:r>
        <w:rPr>
          <w:spacing w:val="-9"/>
          <w:sz w:val="18"/>
        </w:rPr>
        <w:t xml:space="preserve"> </w:t>
      </w:r>
      <w:r>
        <w:rPr>
          <w:sz w:val="18"/>
        </w:rPr>
        <w:t>[4.2.26]–[4.2.28],</w:t>
      </w:r>
      <w:r>
        <w:rPr>
          <w:spacing w:val="-11"/>
          <w:sz w:val="18"/>
        </w:rPr>
        <w:t xml:space="preserve"> </w:t>
      </w:r>
      <w:r>
        <w:rPr>
          <w:sz w:val="18"/>
        </w:rPr>
        <w:t>Recommendation</w:t>
      </w:r>
      <w:r>
        <w:rPr>
          <w:spacing w:val="-10"/>
          <w:sz w:val="18"/>
        </w:rPr>
        <w:t xml:space="preserve"> </w:t>
      </w:r>
      <w:r>
        <w:rPr>
          <w:sz w:val="18"/>
        </w:rPr>
        <w:t>3.</w:t>
      </w:r>
      <w:r>
        <w:rPr>
          <w:spacing w:val="-11"/>
          <w:sz w:val="18"/>
        </w:rPr>
        <w:t xml:space="preserve"> </w:t>
      </w:r>
      <w:r>
        <w:rPr>
          <w:sz w:val="18"/>
        </w:rPr>
        <w:t>The</w:t>
      </w:r>
      <w:r>
        <w:rPr>
          <w:spacing w:val="-10"/>
          <w:sz w:val="18"/>
        </w:rPr>
        <w:t xml:space="preserve"> </w:t>
      </w:r>
      <w:r>
        <w:rPr>
          <w:sz w:val="18"/>
        </w:rPr>
        <w:t>TLRI</w:t>
      </w:r>
      <w:r>
        <w:rPr>
          <w:spacing w:val="-9"/>
          <w:sz w:val="18"/>
        </w:rPr>
        <w:t xml:space="preserve"> </w:t>
      </w:r>
      <w:r>
        <w:rPr>
          <w:sz w:val="18"/>
        </w:rPr>
        <w:t>recommended</w:t>
      </w:r>
      <w:r>
        <w:rPr>
          <w:spacing w:val="-8"/>
          <w:sz w:val="18"/>
        </w:rPr>
        <w:t xml:space="preserve"> </w:t>
      </w:r>
      <w:r>
        <w:rPr>
          <w:sz w:val="18"/>
        </w:rPr>
        <w:t>that</w:t>
      </w:r>
      <w:r>
        <w:rPr>
          <w:spacing w:val="-9"/>
          <w:sz w:val="18"/>
        </w:rPr>
        <w:t xml:space="preserve"> </w:t>
      </w:r>
      <w:r>
        <w:rPr>
          <w:sz w:val="18"/>
        </w:rPr>
        <w:t>future</w:t>
      </w:r>
      <w:r>
        <w:rPr>
          <w:spacing w:val="-10"/>
          <w:sz w:val="18"/>
        </w:rPr>
        <w:t xml:space="preserve"> </w:t>
      </w:r>
      <w:r>
        <w:rPr>
          <w:sz w:val="18"/>
        </w:rPr>
        <w:t>reviews</w:t>
      </w:r>
      <w:r>
        <w:rPr>
          <w:spacing w:val="-10"/>
          <w:sz w:val="18"/>
        </w:rPr>
        <w:t xml:space="preserve"> </w:t>
      </w:r>
      <w:r>
        <w:rPr>
          <w:sz w:val="18"/>
        </w:rPr>
        <w:t>of</w:t>
      </w:r>
      <w:r>
        <w:rPr>
          <w:spacing w:val="-11"/>
          <w:sz w:val="18"/>
        </w:rPr>
        <w:t xml:space="preserve"> </w:t>
      </w:r>
      <w:r>
        <w:rPr>
          <w:sz w:val="18"/>
        </w:rPr>
        <w:t>the</w:t>
      </w:r>
      <w:r>
        <w:rPr>
          <w:spacing w:val="-12"/>
          <w:sz w:val="18"/>
        </w:rPr>
        <w:t xml:space="preserve"> </w:t>
      </w:r>
      <w:r>
        <w:rPr>
          <w:sz w:val="18"/>
        </w:rPr>
        <w:t>operation of the legislative model should assess whether to entrench such an instrument or adopt some other model to protect human rights further: TLRI 2007 Final Report, Recommendation 3, 62.</w:t>
      </w:r>
    </w:p>
    <w:p w14:paraId="7CB25CE6" w14:textId="77777777" w:rsidR="008A4099" w:rsidRDefault="006A6EE2">
      <w:pPr>
        <w:spacing w:before="16"/>
        <w:ind w:left="160"/>
        <w:rPr>
          <w:sz w:val="18"/>
        </w:rPr>
      </w:pPr>
      <w:r>
        <w:rPr>
          <w:sz w:val="18"/>
          <w:vertAlign w:val="superscript"/>
        </w:rPr>
        <w:t>29</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Recommendations</w:t>
      </w:r>
      <w:r>
        <w:rPr>
          <w:spacing w:val="-3"/>
          <w:sz w:val="18"/>
        </w:rPr>
        <w:t xml:space="preserve"> </w:t>
      </w:r>
      <w:r>
        <w:rPr>
          <w:sz w:val="18"/>
        </w:rPr>
        <w:t>10</w:t>
      </w:r>
      <w:r>
        <w:rPr>
          <w:spacing w:val="-1"/>
          <w:sz w:val="18"/>
        </w:rPr>
        <w:t xml:space="preserve"> </w:t>
      </w:r>
      <w:r>
        <w:rPr>
          <w:sz w:val="18"/>
        </w:rPr>
        <w:t>&amp;</w:t>
      </w:r>
      <w:r>
        <w:rPr>
          <w:spacing w:val="-1"/>
          <w:sz w:val="18"/>
        </w:rPr>
        <w:t xml:space="preserve"> </w:t>
      </w:r>
      <w:r>
        <w:rPr>
          <w:sz w:val="18"/>
        </w:rPr>
        <w:t>13, [4.10.6]–[4.10.9] &amp;</w:t>
      </w:r>
      <w:r>
        <w:rPr>
          <w:spacing w:val="-1"/>
          <w:sz w:val="18"/>
        </w:rPr>
        <w:t xml:space="preserve"> </w:t>
      </w:r>
      <w:r>
        <w:rPr>
          <w:spacing w:val="-2"/>
          <w:sz w:val="18"/>
        </w:rPr>
        <w:t>[4.13.7].</w:t>
      </w:r>
    </w:p>
    <w:p w14:paraId="7CB25CE7" w14:textId="77777777" w:rsidR="008A4099" w:rsidRDefault="006A6EE2">
      <w:pPr>
        <w:spacing w:before="23"/>
        <w:ind w:left="160"/>
        <w:rPr>
          <w:sz w:val="18"/>
        </w:rPr>
      </w:pPr>
      <w:r>
        <w:rPr>
          <w:sz w:val="18"/>
          <w:vertAlign w:val="superscript"/>
        </w:rPr>
        <w:t>30</w:t>
      </w:r>
      <w:r>
        <w:rPr>
          <w:sz w:val="18"/>
        </w:rPr>
        <w:t xml:space="preserve"> Ibid</w:t>
      </w:r>
      <w:r>
        <w:rPr>
          <w:spacing w:val="-1"/>
          <w:sz w:val="18"/>
        </w:rPr>
        <w:t xml:space="preserve"> </w:t>
      </w:r>
      <w:r>
        <w:rPr>
          <w:sz w:val="18"/>
        </w:rPr>
        <w:t>Recommendation</w:t>
      </w:r>
      <w:r>
        <w:rPr>
          <w:spacing w:val="1"/>
          <w:sz w:val="18"/>
        </w:rPr>
        <w:t xml:space="preserve"> </w:t>
      </w:r>
      <w:r>
        <w:rPr>
          <w:sz w:val="18"/>
        </w:rPr>
        <w:t>4, [4.3.8],</w:t>
      </w:r>
      <w:r>
        <w:rPr>
          <w:spacing w:val="-2"/>
          <w:sz w:val="18"/>
        </w:rPr>
        <w:t xml:space="preserve"> [4.3.13]–[4.3.14].</w:t>
      </w:r>
    </w:p>
    <w:p w14:paraId="7CB25CE8" w14:textId="77777777" w:rsidR="008A4099" w:rsidRDefault="006A6EE2">
      <w:pPr>
        <w:spacing w:before="23"/>
        <w:ind w:left="160"/>
        <w:rPr>
          <w:sz w:val="18"/>
        </w:rPr>
      </w:pPr>
      <w:r>
        <w:rPr>
          <w:sz w:val="18"/>
          <w:vertAlign w:val="superscript"/>
        </w:rPr>
        <w:t>31</w:t>
      </w:r>
      <w:r>
        <w:rPr>
          <w:spacing w:val="-1"/>
          <w:sz w:val="18"/>
        </w:rPr>
        <w:t xml:space="preserve"> </w:t>
      </w:r>
      <w:r>
        <w:rPr>
          <w:sz w:val="18"/>
        </w:rPr>
        <w:t>Ibid</w:t>
      </w:r>
      <w:r>
        <w:rPr>
          <w:spacing w:val="-2"/>
          <w:sz w:val="18"/>
        </w:rPr>
        <w:t xml:space="preserve"> </w:t>
      </w:r>
      <w:r>
        <w:rPr>
          <w:sz w:val="18"/>
        </w:rPr>
        <w:t>[4.5.1]–[4.5.13],</w:t>
      </w:r>
      <w:r>
        <w:rPr>
          <w:spacing w:val="-1"/>
          <w:sz w:val="18"/>
        </w:rPr>
        <w:t xml:space="preserve"> </w:t>
      </w:r>
      <w:r>
        <w:rPr>
          <w:sz w:val="18"/>
        </w:rPr>
        <w:t xml:space="preserve">Recommendation </w:t>
      </w:r>
      <w:r>
        <w:rPr>
          <w:spacing w:val="-5"/>
          <w:sz w:val="18"/>
        </w:rPr>
        <w:t>7.</w:t>
      </w:r>
    </w:p>
    <w:p w14:paraId="7CB25CE9" w14:textId="77777777" w:rsidR="008A4099" w:rsidRDefault="006A6EE2">
      <w:pPr>
        <w:spacing w:before="24"/>
        <w:ind w:left="160"/>
        <w:rPr>
          <w:sz w:val="18"/>
        </w:rPr>
      </w:pPr>
      <w:r>
        <w:rPr>
          <w:sz w:val="18"/>
          <w:vertAlign w:val="superscript"/>
        </w:rPr>
        <w:t>32</w:t>
      </w:r>
      <w:r>
        <w:rPr>
          <w:spacing w:val="-3"/>
          <w:sz w:val="18"/>
        </w:rPr>
        <w:t xml:space="preserve"> </w:t>
      </w:r>
      <w:r>
        <w:rPr>
          <w:sz w:val="18"/>
        </w:rPr>
        <w:t>Ibid</w:t>
      </w:r>
      <w:r>
        <w:rPr>
          <w:spacing w:val="-3"/>
          <w:sz w:val="18"/>
        </w:rPr>
        <w:t xml:space="preserve"> </w:t>
      </w:r>
      <w:r>
        <w:rPr>
          <w:sz w:val="18"/>
        </w:rPr>
        <w:t>[4.5.1]–[4.5.10],</w:t>
      </w:r>
      <w:r>
        <w:rPr>
          <w:spacing w:val="-2"/>
          <w:sz w:val="18"/>
        </w:rPr>
        <w:t xml:space="preserve"> </w:t>
      </w:r>
      <w:r>
        <w:rPr>
          <w:sz w:val="18"/>
        </w:rPr>
        <w:t>Recommendation</w:t>
      </w:r>
      <w:r>
        <w:rPr>
          <w:spacing w:val="-2"/>
          <w:sz w:val="18"/>
        </w:rPr>
        <w:t xml:space="preserve"> </w:t>
      </w:r>
      <w:r>
        <w:rPr>
          <w:sz w:val="18"/>
        </w:rPr>
        <w:t>7,</w:t>
      </w:r>
      <w:r>
        <w:rPr>
          <w:spacing w:val="-2"/>
          <w:sz w:val="18"/>
        </w:rPr>
        <w:t xml:space="preserve"> </w:t>
      </w:r>
      <w:r>
        <w:rPr>
          <w:sz w:val="18"/>
        </w:rPr>
        <w:t>[4.5.12]–[4.5.13]:</w:t>
      </w:r>
      <w:r>
        <w:rPr>
          <w:spacing w:val="-4"/>
          <w:sz w:val="18"/>
        </w:rPr>
        <w:t xml:space="preserve"> </w:t>
      </w:r>
      <w:r>
        <w:rPr>
          <w:sz w:val="18"/>
        </w:rPr>
        <w:t>at</w:t>
      </w:r>
      <w:r>
        <w:rPr>
          <w:spacing w:val="-2"/>
          <w:sz w:val="18"/>
        </w:rPr>
        <w:t xml:space="preserve"> </w:t>
      </w:r>
      <w:r>
        <w:rPr>
          <w:sz w:val="18"/>
        </w:rPr>
        <w:t>[4.6.1]–[4.6.9],</w:t>
      </w:r>
      <w:r>
        <w:rPr>
          <w:spacing w:val="-3"/>
          <w:sz w:val="18"/>
        </w:rPr>
        <w:t xml:space="preserve"> </w:t>
      </w:r>
      <w:r>
        <w:rPr>
          <w:sz w:val="18"/>
        </w:rPr>
        <w:t>[4.7.18],</w:t>
      </w:r>
      <w:r>
        <w:rPr>
          <w:spacing w:val="-2"/>
          <w:sz w:val="18"/>
        </w:rPr>
        <w:t xml:space="preserve"> </w:t>
      </w:r>
      <w:r>
        <w:rPr>
          <w:sz w:val="18"/>
        </w:rPr>
        <w:t>Recommendation</w:t>
      </w:r>
      <w:r>
        <w:rPr>
          <w:spacing w:val="-1"/>
          <w:sz w:val="18"/>
        </w:rPr>
        <w:t xml:space="preserve"> </w:t>
      </w:r>
      <w:r>
        <w:rPr>
          <w:spacing w:val="-5"/>
          <w:sz w:val="18"/>
        </w:rPr>
        <w:t>8.</w:t>
      </w:r>
    </w:p>
    <w:p w14:paraId="7CB25CEA" w14:textId="77777777" w:rsidR="008A4099" w:rsidRDefault="006A6EE2">
      <w:pPr>
        <w:spacing w:before="23"/>
        <w:ind w:left="160"/>
        <w:rPr>
          <w:sz w:val="18"/>
        </w:rPr>
      </w:pPr>
      <w:r>
        <w:rPr>
          <w:sz w:val="18"/>
          <w:vertAlign w:val="superscript"/>
        </w:rPr>
        <w:t>33</w:t>
      </w:r>
      <w:r>
        <w:rPr>
          <w:spacing w:val="4"/>
          <w:sz w:val="18"/>
        </w:rPr>
        <w:t xml:space="preserve"> </w:t>
      </w:r>
      <w:r>
        <w:rPr>
          <w:sz w:val="18"/>
        </w:rPr>
        <w:t>Ibid</w:t>
      </w:r>
      <w:r>
        <w:rPr>
          <w:spacing w:val="4"/>
          <w:sz w:val="18"/>
        </w:rPr>
        <w:t xml:space="preserve"> </w:t>
      </w:r>
      <w:r>
        <w:rPr>
          <w:spacing w:val="-2"/>
          <w:sz w:val="18"/>
        </w:rPr>
        <w:t>[4.5.12]–[4.5.13].</w:t>
      </w:r>
    </w:p>
    <w:p w14:paraId="7CB25CEB" w14:textId="77777777" w:rsidR="008A4099" w:rsidRDefault="006A6EE2">
      <w:pPr>
        <w:spacing w:before="24"/>
        <w:ind w:left="160"/>
        <w:rPr>
          <w:sz w:val="18"/>
        </w:rPr>
      </w:pPr>
      <w:r>
        <w:rPr>
          <w:sz w:val="18"/>
          <w:vertAlign w:val="superscript"/>
        </w:rPr>
        <w:t>34</w:t>
      </w:r>
      <w:r>
        <w:rPr>
          <w:spacing w:val="1"/>
          <w:sz w:val="18"/>
        </w:rPr>
        <w:t xml:space="preserve"> </w:t>
      </w:r>
      <w:r>
        <w:rPr>
          <w:sz w:val="18"/>
        </w:rPr>
        <w:t>Ibid Recommendation</w:t>
      </w:r>
      <w:r>
        <w:rPr>
          <w:spacing w:val="2"/>
          <w:sz w:val="18"/>
        </w:rPr>
        <w:t xml:space="preserve"> </w:t>
      </w:r>
      <w:r>
        <w:rPr>
          <w:sz w:val="18"/>
        </w:rPr>
        <w:t>8,</w:t>
      </w:r>
      <w:r>
        <w:rPr>
          <w:spacing w:val="2"/>
          <w:sz w:val="18"/>
        </w:rPr>
        <w:t xml:space="preserve"> </w:t>
      </w:r>
      <w:r>
        <w:rPr>
          <w:spacing w:val="-2"/>
          <w:sz w:val="18"/>
        </w:rPr>
        <w:t>[4.7.18].</w:t>
      </w:r>
    </w:p>
    <w:p w14:paraId="7CB25CEC" w14:textId="77777777" w:rsidR="008A4099" w:rsidRDefault="006A6EE2">
      <w:pPr>
        <w:spacing w:before="21"/>
        <w:ind w:left="160"/>
        <w:rPr>
          <w:sz w:val="18"/>
        </w:rPr>
      </w:pPr>
      <w:r>
        <w:rPr>
          <w:sz w:val="18"/>
          <w:vertAlign w:val="superscript"/>
        </w:rPr>
        <w:t>35</w:t>
      </w:r>
      <w:r>
        <w:rPr>
          <w:sz w:val="18"/>
        </w:rPr>
        <w:t xml:space="preserve"> Ibid [4.20.18]–[4.20.20],</w:t>
      </w:r>
      <w:r>
        <w:rPr>
          <w:spacing w:val="-1"/>
          <w:sz w:val="18"/>
        </w:rPr>
        <w:t xml:space="preserve"> </w:t>
      </w:r>
      <w:r>
        <w:rPr>
          <w:sz w:val="18"/>
        </w:rPr>
        <w:t xml:space="preserve">Recommendation </w:t>
      </w:r>
      <w:r>
        <w:rPr>
          <w:spacing w:val="-5"/>
          <w:sz w:val="18"/>
        </w:rPr>
        <w:t>23.</w:t>
      </w:r>
    </w:p>
    <w:p w14:paraId="7CB25CED" w14:textId="77777777" w:rsidR="008A4099" w:rsidRDefault="006A6EE2">
      <w:pPr>
        <w:spacing w:before="23"/>
        <w:ind w:left="160"/>
        <w:rPr>
          <w:sz w:val="18"/>
        </w:rPr>
      </w:pPr>
      <w:r>
        <w:rPr>
          <w:sz w:val="18"/>
          <w:vertAlign w:val="superscript"/>
        </w:rPr>
        <w:t>36</w:t>
      </w:r>
      <w:r>
        <w:rPr>
          <w:sz w:val="18"/>
        </w:rPr>
        <w:t xml:space="preserve"> Ibid [4.19], Recommendation </w:t>
      </w:r>
      <w:r>
        <w:rPr>
          <w:spacing w:val="-5"/>
          <w:sz w:val="18"/>
        </w:rPr>
        <w:t>20.</w:t>
      </w:r>
    </w:p>
    <w:p w14:paraId="7CB25CEE" w14:textId="77777777" w:rsidR="008A4099" w:rsidRDefault="006A6EE2">
      <w:pPr>
        <w:spacing w:before="24"/>
        <w:ind w:left="160"/>
        <w:rPr>
          <w:sz w:val="18"/>
        </w:rPr>
      </w:pPr>
      <w:r>
        <w:rPr>
          <w:sz w:val="18"/>
          <w:vertAlign w:val="superscript"/>
        </w:rPr>
        <w:t>37</w:t>
      </w:r>
      <w:r>
        <w:rPr>
          <w:spacing w:val="-1"/>
          <w:sz w:val="18"/>
        </w:rPr>
        <w:t xml:space="preserve"> </w:t>
      </w:r>
      <w:r>
        <w:rPr>
          <w:sz w:val="18"/>
        </w:rPr>
        <w:t>Ibid</w:t>
      </w:r>
      <w:r>
        <w:rPr>
          <w:spacing w:val="-1"/>
          <w:sz w:val="18"/>
        </w:rPr>
        <w:t xml:space="preserve"> </w:t>
      </w:r>
      <w:r>
        <w:rPr>
          <w:sz w:val="18"/>
        </w:rPr>
        <w:t>[4.20.7]–[4.20.11], Recommendation</w:t>
      </w:r>
      <w:r>
        <w:rPr>
          <w:spacing w:val="1"/>
          <w:sz w:val="18"/>
        </w:rPr>
        <w:t xml:space="preserve"> </w:t>
      </w:r>
      <w:r>
        <w:rPr>
          <w:spacing w:val="-5"/>
          <w:sz w:val="18"/>
        </w:rPr>
        <w:t>22.</w:t>
      </w:r>
    </w:p>
    <w:p w14:paraId="7CB25CEF" w14:textId="77777777" w:rsidR="008A4099" w:rsidRDefault="006A6EE2">
      <w:pPr>
        <w:spacing w:before="23"/>
        <w:ind w:left="160"/>
        <w:rPr>
          <w:sz w:val="18"/>
        </w:rPr>
      </w:pPr>
      <w:r>
        <w:rPr>
          <w:sz w:val="18"/>
          <w:vertAlign w:val="superscript"/>
        </w:rPr>
        <w:t>38</w:t>
      </w:r>
      <w:r>
        <w:rPr>
          <w:sz w:val="18"/>
        </w:rPr>
        <w:t xml:space="preserve"> Ibid [4.10.6]–[4.10.9],</w:t>
      </w:r>
      <w:r>
        <w:rPr>
          <w:spacing w:val="-2"/>
          <w:sz w:val="18"/>
        </w:rPr>
        <w:t xml:space="preserve"> </w:t>
      </w:r>
      <w:r>
        <w:rPr>
          <w:sz w:val="18"/>
        </w:rPr>
        <w:t xml:space="preserve">Recommendation </w:t>
      </w:r>
      <w:r>
        <w:rPr>
          <w:spacing w:val="-5"/>
          <w:sz w:val="18"/>
        </w:rPr>
        <w:t>10.</w:t>
      </w:r>
    </w:p>
    <w:p w14:paraId="7CB25CF0" w14:textId="77777777" w:rsidR="008A4099" w:rsidRDefault="008A4099">
      <w:pPr>
        <w:rPr>
          <w:sz w:val="18"/>
        </w:rPr>
        <w:sectPr w:rsidR="008A4099" w:rsidSect="00D43B2D">
          <w:pgSz w:w="11910" w:h="16840"/>
          <w:pgMar w:top="980" w:right="760" w:bottom="940" w:left="1280" w:header="718" w:footer="753" w:gutter="0"/>
          <w:cols w:space="720"/>
        </w:sectPr>
      </w:pPr>
    </w:p>
    <w:p w14:paraId="7CB25CF1" w14:textId="77777777" w:rsidR="008A4099" w:rsidRDefault="008A4099">
      <w:pPr>
        <w:pStyle w:val="BodyText"/>
        <w:spacing w:before="195"/>
      </w:pPr>
    </w:p>
    <w:p w14:paraId="7CB25CF2" w14:textId="77777777" w:rsidR="008A4099" w:rsidRDefault="006A6EE2">
      <w:pPr>
        <w:pStyle w:val="ListParagraph"/>
        <w:numPr>
          <w:ilvl w:val="3"/>
          <w:numId w:val="11"/>
        </w:numPr>
        <w:tabs>
          <w:tab w:val="left" w:pos="1228"/>
        </w:tabs>
        <w:spacing w:before="0" w:line="276" w:lineRule="auto"/>
        <w:ind w:right="676"/>
        <w:rPr>
          <w:sz w:val="13"/>
        </w:rPr>
      </w:pPr>
      <w:r>
        <w:rPr>
          <w:b/>
        </w:rPr>
        <w:t xml:space="preserve">Parliamentary Human Rights Scrutiny Committee </w:t>
      </w:r>
      <w:r>
        <w:t>– A multi-party committee of both houses</w:t>
      </w:r>
      <w:r>
        <w:rPr>
          <w:spacing w:val="-14"/>
        </w:rPr>
        <w:t xml:space="preserve"> </w:t>
      </w:r>
      <w:r>
        <w:t>should</w:t>
      </w:r>
      <w:r>
        <w:rPr>
          <w:spacing w:val="-14"/>
        </w:rPr>
        <w:t xml:space="preserve"> </w:t>
      </w:r>
      <w:r>
        <w:t>be</w:t>
      </w:r>
      <w:r>
        <w:rPr>
          <w:spacing w:val="-14"/>
        </w:rPr>
        <w:t xml:space="preserve"> </w:t>
      </w:r>
      <w:r>
        <w:t>established</w:t>
      </w:r>
      <w:r>
        <w:rPr>
          <w:spacing w:val="-13"/>
        </w:rPr>
        <w:t xml:space="preserve"> </w:t>
      </w:r>
      <w:r>
        <w:t>to</w:t>
      </w:r>
      <w:r>
        <w:rPr>
          <w:spacing w:val="-14"/>
        </w:rPr>
        <w:t xml:space="preserve"> </w:t>
      </w:r>
      <w:r>
        <w:t>provide</w:t>
      </w:r>
      <w:r>
        <w:rPr>
          <w:spacing w:val="-14"/>
        </w:rPr>
        <w:t xml:space="preserve"> </w:t>
      </w:r>
      <w:r>
        <w:t>pre-enactment</w:t>
      </w:r>
      <w:r>
        <w:rPr>
          <w:spacing w:val="-14"/>
        </w:rPr>
        <w:t xml:space="preserve"> </w:t>
      </w:r>
      <w:r>
        <w:t>scrutiny</w:t>
      </w:r>
      <w:r>
        <w:rPr>
          <w:spacing w:val="-13"/>
        </w:rPr>
        <w:t xml:space="preserve"> </w:t>
      </w:r>
      <w:r>
        <w:t>of</w:t>
      </w:r>
      <w:r>
        <w:rPr>
          <w:spacing w:val="-14"/>
        </w:rPr>
        <w:t xml:space="preserve"> </w:t>
      </w:r>
      <w:r>
        <w:t>Bills</w:t>
      </w:r>
      <w:r>
        <w:rPr>
          <w:spacing w:val="-14"/>
        </w:rPr>
        <w:t xml:space="preserve"> </w:t>
      </w:r>
      <w:r>
        <w:t>(including</w:t>
      </w:r>
      <w:r>
        <w:rPr>
          <w:spacing w:val="-14"/>
        </w:rPr>
        <w:t xml:space="preserve"> </w:t>
      </w:r>
      <w:r>
        <w:t>proposed subordinate legislation) for compatibility with human rights standards.</w:t>
      </w:r>
      <w:r>
        <w:rPr>
          <w:position w:val="7"/>
          <w:sz w:val="13"/>
        </w:rPr>
        <w:t>39</w:t>
      </w:r>
    </w:p>
    <w:p w14:paraId="7CB25CF3" w14:textId="77777777" w:rsidR="008A4099" w:rsidRDefault="006A6EE2">
      <w:pPr>
        <w:pStyle w:val="ListParagraph"/>
        <w:numPr>
          <w:ilvl w:val="3"/>
          <w:numId w:val="11"/>
        </w:numPr>
        <w:tabs>
          <w:tab w:val="left" w:pos="1228"/>
        </w:tabs>
        <w:spacing w:before="117" w:line="276" w:lineRule="auto"/>
        <w:ind w:right="675"/>
        <w:rPr>
          <w:sz w:val="13"/>
        </w:rPr>
      </w:pPr>
      <w:r>
        <w:rPr>
          <w:b/>
        </w:rPr>
        <w:t xml:space="preserve">A process for responding to ‘declarations of incompatibility’ </w:t>
      </w:r>
      <w:r>
        <w:t>– Under the TLRI recommendations, courts could make declarations of incompatibility where provisions of legislation were inconsistent with any Charter rights but the declaration would not automatically invalidate the legislation.</w:t>
      </w:r>
      <w:r>
        <w:rPr>
          <w:position w:val="7"/>
          <w:sz w:val="13"/>
        </w:rPr>
        <w:t>40</w:t>
      </w:r>
      <w:r>
        <w:rPr>
          <w:spacing w:val="40"/>
          <w:position w:val="7"/>
          <w:sz w:val="13"/>
        </w:rPr>
        <w:t xml:space="preserve"> </w:t>
      </w:r>
      <w:r>
        <w:t>Instead, Parliament would be advised of the declaration of incompatibility, refer the declaration to the Scrutiny Committee, and have six months to determine how to respond. Parliament could vote to amend or repeal the legislation</w:t>
      </w:r>
      <w:r>
        <w:rPr>
          <w:spacing w:val="-10"/>
        </w:rPr>
        <w:t xml:space="preserve"> </w:t>
      </w:r>
      <w:r>
        <w:t>or</w:t>
      </w:r>
      <w:r>
        <w:rPr>
          <w:spacing w:val="-11"/>
        </w:rPr>
        <w:t xml:space="preserve"> </w:t>
      </w:r>
      <w:r>
        <w:t>make</w:t>
      </w:r>
      <w:r>
        <w:rPr>
          <w:spacing w:val="-9"/>
        </w:rPr>
        <w:t xml:space="preserve"> </w:t>
      </w:r>
      <w:r>
        <w:t>‘override</w:t>
      </w:r>
      <w:r>
        <w:rPr>
          <w:spacing w:val="-9"/>
        </w:rPr>
        <w:t xml:space="preserve"> </w:t>
      </w:r>
      <w:r>
        <w:t>declarations’</w:t>
      </w:r>
      <w:r>
        <w:rPr>
          <w:spacing w:val="-11"/>
        </w:rPr>
        <w:t xml:space="preserve"> </w:t>
      </w:r>
      <w:r>
        <w:t>to</w:t>
      </w:r>
      <w:r>
        <w:rPr>
          <w:spacing w:val="-10"/>
        </w:rPr>
        <w:t xml:space="preserve"> </w:t>
      </w:r>
      <w:r>
        <w:t>affirm</w:t>
      </w:r>
      <w:r>
        <w:rPr>
          <w:spacing w:val="-11"/>
        </w:rPr>
        <w:t xml:space="preserve"> </w:t>
      </w:r>
      <w:r>
        <w:t>the</w:t>
      </w:r>
      <w:r>
        <w:rPr>
          <w:spacing w:val="-12"/>
        </w:rPr>
        <w:t xml:space="preserve"> </w:t>
      </w:r>
      <w:r>
        <w:t>operation</w:t>
      </w:r>
      <w:r>
        <w:rPr>
          <w:spacing w:val="-10"/>
        </w:rPr>
        <w:t xml:space="preserve"> </w:t>
      </w:r>
      <w:r>
        <w:t>of</w:t>
      </w:r>
      <w:r>
        <w:rPr>
          <w:spacing w:val="-9"/>
        </w:rPr>
        <w:t xml:space="preserve"> </w:t>
      </w:r>
      <w:r>
        <w:t>legislation,</w:t>
      </w:r>
      <w:r>
        <w:rPr>
          <w:spacing w:val="-10"/>
        </w:rPr>
        <w:t xml:space="preserve"> </w:t>
      </w:r>
      <w:r>
        <w:t>despite</w:t>
      </w:r>
      <w:r>
        <w:rPr>
          <w:spacing w:val="-12"/>
        </w:rPr>
        <w:t xml:space="preserve"> </w:t>
      </w:r>
      <w:r>
        <w:t>the declaration of incompatibility with human rights. If Parliament failed to respond within seven months, the TLRI recommended that the legislation subject to the declaration of incompatibility</w:t>
      </w:r>
      <w:r>
        <w:rPr>
          <w:spacing w:val="-8"/>
        </w:rPr>
        <w:t xml:space="preserve"> </w:t>
      </w:r>
      <w:r>
        <w:t>become</w:t>
      </w:r>
      <w:r>
        <w:rPr>
          <w:spacing w:val="-10"/>
        </w:rPr>
        <w:t xml:space="preserve"> </w:t>
      </w:r>
      <w:r>
        <w:t>inoperative</w:t>
      </w:r>
      <w:r>
        <w:rPr>
          <w:spacing w:val="-8"/>
        </w:rPr>
        <w:t xml:space="preserve"> </w:t>
      </w:r>
      <w:r>
        <w:t>to</w:t>
      </w:r>
      <w:r>
        <w:rPr>
          <w:spacing w:val="-8"/>
        </w:rPr>
        <w:t xml:space="preserve"> </w:t>
      </w:r>
      <w:r>
        <w:t>the</w:t>
      </w:r>
      <w:r>
        <w:rPr>
          <w:spacing w:val="-8"/>
        </w:rPr>
        <w:t xml:space="preserve"> </w:t>
      </w:r>
      <w:r>
        <w:t>extent</w:t>
      </w:r>
      <w:r>
        <w:rPr>
          <w:spacing w:val="-7"/>
        </w:rPr>
        <w:t xml:space="preserve"> </w:t>
      </w:r>
      <w:r>
        <w:t>of</w:t>
      </w:r>
      <w:r>
        <w:rPr>
          <w:spacing w:val="-7"/>
        </w:rPr>
        <w:t xml:space="preserve"> </w:t>
      </w:r>
      <w:r>
        <w:t>its</w:t>
      </w:r>
      <w:r>
        <w:rPr>
          <w:spacing w:val="-10"/>
        </w:rPr>
        <w:t xml:space="preserve"> </w:t>
      </w:r>
      <w:r>
        <w:t>incompatibility</w:t>
      </w:r>
      <w:r>
        <w:rPr>
          <w:spacing w:val="-8"/>
        </w:rPr>
        <w:t xml:space="preserve"> </w:t>
      </w:r>
      <w:r>
        <w:t>with</w:t>
      </w:r>
      <w:r>
        <w:rPr>
          <w:spacing w:val="-10"/>
        </w:rPr>
        <w:t xml:space="preserve"> </w:t>
      </w:r>
      <w:r>
        <w:t>human</w:t>
      </w:r>
      <w:r>
        <w:rPr>
          <w:spacing w:val="-10"/>
        </w:rPr>
        <w:t xml:space="preserve"> </w:t>
      </w:r>
      <w:r>
        <w:t>rights.</w:t>
      </w:r>
      <w:r>
        <w:rPr>
          <w:position w:val="7"/>
          <w:sz w:val="13"/>
        </w:rPr>
        <w:t>41</w:t>
      </w:r>
    </w:p>
    <w:p w14:paraId="7CB25CF4" w14:textId="77777777" w:rsidR="008A4099" w:rsidRDefault="006A6EE2">
      <w:pPr>
        <w:pStyle w:val="ListParagraph"/>
        <w:numPr>
          <w:ilvl w:val="2"/>
          <w:numId w:val="11"/>
        </w:numPr>
        <w:tabs>
          <w:tab w:val="left" w:pos="879"/>
        </w:tabs>
        <w:spacing w:line="237" w:lineRule="auto"/>
        <w:ind w:right="681" w:firstLine="0"/>
        <w:jc w:val="both"/>
        <w:rPr>
          <w:sz w:val="13"/>
        </w:rPr>
      </w:pPr>
      <w:r>
        <w:t>The TLRI also recommended that the Charter state that protected rights can be subject to reasonable,</w:t>
      </w:r>
      <w:r>
        <w:rPr>
          <w:spacing w:val="-4"/>
        </w:rPr>
        <w:t xml:space="preserve"> </w:t>
      </w:r>
      <w:r>
        <w:t>justifiable</w:t>
      </w:r>
      <w:r>
        <w:rPr>
          <w:spacing w:val="-4"/>
        </w:rPr>
        <w:t xml:space="preserve"> </w:t>
      </w:r>
      <w:r>
        <w:t>limits,</w:t>
      </w:r>
      <w:r>
        <w:rPr>
          <w:spacing w:val="-4"/>
        </w:rPr>
        <w:t xml:space="preserve"> </w:t>
      </w:r>
      <w:r>
        <w:t>having</w:t>
      </w:r>
      <w:r>
        <w:rPr>
          <w:spacing w:val="-5"/>
        </w:rPr>
        <w:t xml:space="preserve"> </w:t>
      </w:r>
      <w:r>
        <w:t>regard</w:t>
      </w:r>
      <w:r>
        <w:rPr>
          <w:spacing w:val="-5"/>
        </w:rPr>
        <w:t xml:space="preserve"> </w:t>
      </w:r>
      <w:r>
        <w:t>to</w:t>
      </w:r>
      <w:r>
        <w:rPr>
          <w:spacing w:val="-7"/>
        </w:rPr>
        <w:t xml:space="preserve"> </w:t>
      </w:r>
      <w:r>
        <w:t>the</w:t>
      </w:r>
      <w:r>
        <w:rPr>
          <w:spacing w:val="-4"/>
        </w:rPr>
        <w:t xml:space="preserve"> </w:t>
      </w:r>
      <w:r>
        <w:t>nature</w:t>
      </w:r>
      <w:r>
        <w:rPr>
          <w:spacing w:val="-4"/>
        </w:rPr>
        <w:t xml:space="preserve"> </w:t>
      </w:r>
      <w:r>
        <w:t>of</w:t>
      </w:r>
      <w:r>
        <w:rPr>
          <w:spacing w:val="-4"/>
        </w:rPr>
        <w:t xml:space="preserve"> </w:t>
      </w:r>
      <w:r>
        <w:t>the</w:t>
      </w:r>
      <w:r>
        <w:rPr>
          <w:spacing w:val="-4"/>
        </w:rPr>
        <w:t xml:space="preserve"> </w:t>
      </w:r>
      <w:r>
        <w:t>right,</w:t>
      </w:r>
      <w:r>
        <w:rPr>
          <w:spacing w:val="-5"/>
        </w:rPr>
        <w:t xml:space="preserve"> </w:t>
      </w:r>
      <w:r>
        <w:t>the</w:t>
      </w:r>
      <w:r>
        <w:rPr>
          <w:spacing w:val="-4"/>
        </w:rPr>
        <w:t xml:space="preserve"> </w:t>
      </w:r>
      <w:r>
        <w:t>purpose,</w:t>
      </w:r>
      <w:r>
        <w:rPr>
          <w:spacing w:val="-7"/>
        </w:rPr>
        <w:t xml:space="preserve"> </w:t>
      </w:r>
      <w:r>
        <w:t>nature,</w:t>
      </w:r>
      <w:r>
        <w:rPr>
          <w:spacing w:val="-4"/>
        </w:rPr>
        <w:t xml:space="preserve"> </w:t>
      </w:r>
      <w:r>
        <w:t>and</w:t>
      </w:r>
      <w:r>
        <w:rPr>
          <w:spacing w:val="-4"/>
        </w:rPr>
        <w:t xml:space="preserve"> </w:t>
      </w:r>
      <w:r>
        <w:t>extent</w:t>
      </w:r>
      <w:r>
        <w:rPr>
          <w:spacing w:val="-4"/>
        </w:rPr>
        <w:t xml:space="preserve"> </w:t>
      </w:r>
      <w:r>
        <w:t>of the limitation, and whether the purpose can be achieved with a less restrictive approach.</w:t>
      </w:r>
      <w:r>
        <w:rPr>
          <w:position w:val="7"/>
          <w:sz w:val="13"/>
        </w:rPr>
        <w:t>42</w:t>
      </w:r>
    </w:p>
    <w:p w14:paraId="7CB25CF5" w14:textId="77777777" w:rsidR="008A4099" w:rsidRDefault="006A6EE2">
      <w:pPr>
        <w:pStyle w:val="ListParagraph"/>
        <w:numPr>
          <w:ilvl w:val="2"/>
          <w:numId w:val="11"/>
        </w:numPr>
        <w:tabs>
          <w:tab w:val="left" w:pos="879"/>
        </w:tabs>
        <w:ind w:right="674" w:firstLine="0"/>
        <w:jc w:val="both"/>
        <w:rPr>
          <w:sz w:val="13"/>
        </w:rPr>
      </w:pPr>
      <w:r>
        <w:t>The TLRI recommended that, as in other jurisdictions, a Tasmanian human rights enactment should not introduce an outright prohibition on legislation that was incompatible with human rights (subject to limited powers to invalidate subordinate legislation). Instead, government, public officials, and Parliament would be encouraged to draft, amend, and implement legislation in a manner that maximised compatibility with human rights, and be required to identify and justify decisions that are not entirely compatible with human rights. The TLRI recommendations recognised Parliamentary supremacy, while promoting a dialogue approach that would assist in embedding human rights considerations into Parliamentary debate and aim to ultimately improve decision-making.</w:t>
      </w:r>
      <w:r>
        <w:rPr>
          <w:position w:val="7"/>
          <w:sz w:val="13"/>
        </w:rPr>
        <w:t>43</w:t>
      </w:r>
    </w:p>
    <w:p w14:paraId="7CB25CF6" w14:textId="77777777" w:rsidR="008A4099" w:rsidRDefault="006A6EE2">
      <w:pPr>
        <w:pStyle w:val="Heading4"/>
        <w:spacing w:before="236"/>
      </w:pPr>
      <w:bookmarkStart w:id="7" w:name="_TOC_250053"/>
      <w:r>
        <w:t>Role of</w:t>
      </w:r>
      <w:r>
        <w:rPr>
          <w:spacing w:val="-3"/>
        </w:rPr>
        <w:t xml:space="preserve"> </w:t>
      </w:r>
      <w:r>
        <w:t xml:space="preserve">the </w:t>
      </w:r>
      <w:bookmarkEnd w:id="7"/>
      <w:r>
        <w:rPr>
          <w:spacing w:val="-2"/>
        </w:rPr>
        <w:t>Courts</w:t>
      </w:r>
    </w:p>
    <w:p w14:paraId="7CB25CF7" w14:textId="77777777" w:rsidR="008A4099" w:rsidRDefault="006A6EE2">
      <w:pPr>
        <w:pStyle w:val="ListParagraph"/>
        <w:numPr>
          <w:ilvl w:val="2"/>
          <w:numId w:val="11"/>
        </w:numPr>
        <w:tabs>
          <w:tab w:val="left" w:pos="879"/>
        </w:tabs>
        <w:spacing w:before="263" w:line="237" w:lineRule="auto"/>
        <w:ind w:right="674" w:firstLine="0"/>
        <w:jc w:val="both"/>
      </w:pPr>
      <w:r>
        <w:t>The</w:t>
      </w:r>
      <w:r>
        <w:rPr>
          <w:spacing w:val="-2"/>
        </w:rPr>
        <w:t xml:space="preserve"> </w:t>
      </w:r>
      <w:r>
        <w:t>TLRI</w:t>
      </w:r>
      <w:r>
        <w:rPr>
          <w:spacing w:val="-4"/>
        </w:rPr>
        <w:t xml:space="preserve"> </w:t>
      </w:r>
      <w:r>
        <w:t>identified</w:t>
      </w:r>
      <w:r>
        <w:rPr>
          <w:spacing w:val="-4"/>
        </w:rPr>
        <w:t xml:space="preserve"> </w:t>
      </w:r>
      <w:r>
        <w:t>that</w:t>
      </w:r>
      <w:r>
        <w:rPr>
          <w:spacing w:val="-1"/>
        </w:rPr>
        <w:t xml:space="preserve"> </w:t>
      </w:r>
      <w:r>
        <w:t>courts</w:t>
      </w:r>
      <w:r>
        <w:rPr>
          <w:spacing w:val="-4"/>
        </w:rPr>
        <w:t xml:space="preserve"> </w:t>
      </w:r>
      <w:r>
        <w:t>have</w:t>
      </w:r>
      <w:r>
        <w:rPr>
          <w:spacing w:val="-4"/>
        </w:rPr>
        <w:t xml:space="preserve"> </w:t>
      </w:r>
      <w:r>
        <w:t>three primary</w:t>
      </w:r>
      <w:r>
        <w:rPr>
          <w:spacing w:val="-1"/>
        </w:rPr>
        <w:t xml:space="preserve"> </w:t>
      </w:r>
      <w:r>
        <w:t>roles</w:t>
      </w:r>
      <w:r>
        <w:rPr>
          <w:spacing w:val="-2"/>
        </w:rPr>
        <w:t xml:space="preserve"> </w:t>
      </w:r>
      <w:r>
        <w:t>in</w:t>
      </w:r>
      <w:r>
        <w:rPr>
          <w:spacing w:val="-2"/>
        </w:rPr>
        <w:t xml:space="preserve"> </w:t>
      </w:r>
      <w:r>
        <w:t>protecting</w:t>
      </w:r>
      <w:r>
        <w:rPr>
          <w:spacing w:val="-2"/>
        </w:rPr>
        <w:t xml:space="preserve"> </w:t>
      </w:r>
      <w:r>
        <w:t>human</w:t>
      </w:r>
      <w:r>
        <w:rPr>
          <w:spacing w:val="-2"/>
        </w:rPr>
        <w:t xml:space="preserve"> </w:t>
      </w:r>
      <w:r>
        <w:t>rights,</w:t>
      </w:r>
      <w:r>
        <w:rPr>
          <w:spacing w:val="-2"/>
        </w:rPr>
        <w:t xml:space="preserve"> </w:t>
      </w:r>
      <w:r>
        <w:t>and</w:t>
      </w:r>
      <w:r>
        <w:rPr>
          <w:spacing w:val="-5"/>
        </w:rPr>
        <w:t xml:space="preserve"> </w:t>
      </w:r>
      <w:r>
        <w:t>made several recommendations to legislate these roles.</w:t>
      </w:r>
    </w:p>
    <w:p w14:paraId="7CB25CF8" w14:textId="77777777" w:rsidR="008A4099" w:rsidRDefault="006A6EE2">
      <w:pPr>
        <w:pStyle w:val="ListParagraph"/>
        <w:numPr>
          <w:ilvl w:val="3"/>
          <w:numId w:val="11"/>
        </w:numPr>
        <w:tabs>
          <w:tab w:val="left" w:pos="1228"/>
        </w:tabs>
        <w:spacing w:before="219" w:line="276" w:lineRule="auto"/>
        <w:ind w:right="673"/>
      </w:pPr>
      <w:r>
        <w:rPr>
          <w:b/>
        </w:rPr>
        <w:t xml:space="preserve">Interpretation </w:t>
      </w:r>
      <w:r>
        <w:t>– The 2007 Final Report recommended that, where legislation can be interpreted in a manner that is both compatible with the purposes of an Act and the protection</w:t>
      </w:r>
      <w:r>
        <w:rPr>
          <w:spacing w:val="-12"/>
        </w:rPr>
        <w:t xml:space="preserve"> </w:t>
      </w:r>
      <w:r>
        <w:t>of</w:t>
      </w:r>
      <w:r>
        <w:rPr>
          <w:spacing w:val="-11"/>
        </w:rPr>
        <w:t xml:space="preserve"> </w:t>
      </w:r>
      <w:r>
        <w:t>human</w:t>
      </w:r>
      <w:r>
        <w:rPr>
          <w:spacing w:val="-9"/>
        </w:rPr>
        <w:t xml:space="preserve"> </w:t>
      </w:r>
      <w:r>
        <w:t>rights,</w:t>
      </w:r>
      <w:r>
        <w:rPr>
          <w:spacing w:val="-11"/>
        </w:rPr>
        <w:t xml:space="preserve"> </w:t>
      </w:r>
      <w:r>
        <w:t>that</w:t>
      </w:r>
      <w:r>
        <w:rPr>
          <w:spacing w:val="-9"/>
        </w:rPr>
        <w:t xml:space="preserve"> </w:t>
      </w:r>
      <w:r>
        <w:t>interpretation</w:t>
      </w:r>
      <w:r>
        <w:rPr>
          <w:spacing w:val="-10"/>
        </w:rPr>
        <w:t xml:space="preserve"> </w:t>
      </w:r>
      <w:r>
        <w:t>should</w:t>
      </w:r>
      <w:r>
        <w:rPr>
          <w:spacing w:val="-10"/>
        </w:rPr>
        <w:t xml:space="preserve"> </w:t>
      </w:r>
      <w:r>
        <w:t>be</w:t>
      </w:r>
      <w:r>
        <w:rPr>
          <w:spacing w:val="-12"/>
        </w:rPr>
        <w:t xml:space="preserve"> </w:t>
      </w:r>
      <w:r>
        <w:t>preferred</w:t>
      </w:r>
      <w:r>
        <w:rPr>
          <w:spacing w:val="-12"/>
        </w:rPr>
        <w:t xml:space="preserve"> </w:t>
      </w:r>
      <w:r>
        <w:t>to</w:t>
      </w:r>
      <w:r>
        <w:rPr>
          <w:spacing w:val="-12"/>
        </w:rPr>
        <w:t xml:space="preserve"> </w:t>
      </w:r>
      <w:r>
        <w:t>any</w:t>
      </w:r>
      <w:r>
        <w:rPr>
          <w:spacing w:val="-9"/>
        </w:rPr>
        <w:t xml:space="preserve"> </w:t>
      </w:r>
      <w:r>
        <w:t>others.</w:t>
      </w:r>
      <w:r>
        <w:rPr>
          <w:position w:val="7"/>
          <w:sz w:val="13"/>
        </w:rPr>
        <w:t>44</w:t>
      </w:r>
      <w:r>
        <w:rPr>
          <w:spacing w:val="13"/>
          <w:position w:val="7"/>
          <w:sz w:val="13"/>
        </w:rPr>
        <w:t xml:space="preserve"> </w:t>
      </w:r>
      <w:r>
        <w:t>The</w:t>
      </w:r>
      <w:r>
        <w:rPr>
          <w:spacing w:val="-9"/>
        </w:rPr>
        <w:t xml:space="preserve"> </w:t>
      </w:r>
      <w:r>
        <w:t>2007 Final Report also recommended that courts should be included in the definition of ‘public authorities’,</w:t>
      </w:r>
      <w:r>
        <w:rPr>
          <w:spacing w:val="27"/>
        </w:rPr>
        <w:t xml:space="preserve"> </w:t>
      </w:r>
      <w:r>
        <w:t>in</w:t>
      </w:r>
      <w:r>
        <w:rPr>
          <w:spacing w:val="27"/>
        </w:rPr>
        <w:t xml:space="preserve"> </w:t>
      </w:r>
      <w:r>
        <w:t>addition</w:t>
      </w:r>
      <w:r>
        <w:rPr>
          <w:spacing w:val="27"/>
        </w:rPr>
        <w:t xml:space="preserve"> </w:t>
      </w:r>
      <w:r>
        <w:t>to</w:t>
      </w:r>
      <w:r>
        <w:rPr>
          <w:spacing w:val="25"/>
        </w:rPr>
        <w:t xml:space="preserve"> </w:t>
      </w:r>
      <w:r>
        <w:t>an</w:t>
      </w:r>
      <w:r>
        <w:rPr>
          <w:spacing w:val="28"/>
        </w:rPr>
        <w:t xml:space="preserve"> </w:t>
      </w:r>
      <w:r>
        <w:t>express</w:t>
      </w:r>
      <w:r>
        <w:rPr>
          <w:spacing w:val="28"/>
        </w:rPr>
        <w:t xml:space="preserve"> </w:t>
      </w:r>
      <w:r>
        <w:t>provision</w:t>
      </w:r>
      <w:r>
        <w:rPr>
          <w:spacing w:val="27"/>
        </w:rPr>
        <w:t xml:space="preserve"> </w:t>
      </w:r>
      <w:r>
        <w:t>to</w:t>
      </w:r>
      <w:r>
        <w:rPr>
          <w:spacing w:val="27"/>
        </w:rPr>
        <w:t xml:space="preserve"> </w:t>
      </w:r>
      <w:r>
        <w:t>the</w:t>
      </w:r>
      <w:r>
        <w:rPr>
          <w:spacing w:val="28"/>
        </w:rPr>
        <w:t xml:space="preserve"> </w:t>
      </w:r>
      <w:r>
        <w:t>effect</w:t>
      </w:r>
      <w:r>
        <w:rPr>
          <w:spacing w:val="28"/>
        </w:rPr>
        <w:t xml:space="preserve"> </w:t>
      </w:r>
      <w:r>
        <w:t>that</w:t>
      </w:r>
      <w:r>
        <w:rPr>
          <w:spacing w:val="28"/>
        </w:rPr>
        <w:t xml:space="preserve"> </w:t>
      </w:r>
      <w:r>
        <w:t>all</w:t>
      </w:r>
      <w:r>
        <w:rPr>
          <w:spacing w:val="28"/>
        </w:rPr>
        <w:t xml:space="preserve"> </w:t>
      </w:r>
      <w:r>
        <w:t>non-statutory</w:t>
      </w:r>
      <w:r>
        <w:rPr>
          <w:spacing w:val="25"/>
        </w:rPr>
        <w:t xml:space="preserve"> </w:t>
      </w:r>
      <w:r>
        <w:t>law,</w:t>
      </w:r>
    </w:p>
    <w:p w14:paraId="7CB25CF9" w14:textId="77777777" w:rsidR="008A4099" w:rsidRDefault="008A4099">
      <w:pPr>
        <w:pStyle w:val="BodyText"/>
        <w:rPr>
          <w:sz w:val="20"/>
        </w:rPr>
      </w:pPr>
    </w:p>
    <w:p w14:paraId="7CB25CFA" w14:textId="77777777" w:rsidR="008A4099" w:rsidRDefault="008A4099">
      <w:pPr>
        <w:pStyle w:val="BodyText"/>
        <w:rPr>
          <w:sz w:val="20"/>
        </w:rPr>
      </w:pPr>
    </w:p>
    <w:p w14:paraId="7CB25CFB" w14:textId="77777777" w:rsidR="008A4099" w:rsidRDefault="006A6EE2">
      <w:pPr>
        <w:pStyle w:val="BodyText"/>
        <w:spacing w:before="134"/>
        <w:rPr>
          <w:sz w:val="20"/>
        </w:rPr>
      </w:pPr>
      <w:r>
        <w:rPr>
          <w:noProof/>
        </w:rPr>
        <mc:AlternateContent>
          <mc:Choice Requires="wps">
            <w:drawing>
              <wp:anchor distT="0" distB="0" distL="0" distR="0" simplePos="0" relativeHeight="487592960" behindDoc="1" locked="0" layoutInCell="1" allowOverlap="1" wp14:anchorId="7CB265ED" wp14:editId="7CB265EE">
                <wp:simplePos x="0" y="0"/>
                <wp:positionH relativeFrom="page">
                  <wp:posOffset>914704</wp:posOffset>
                </wp:positionH>
                <wp:positionV relativeFrom="paragraph">
                  <wp:posOffset>246537</wp:posOffset>
                </wp:positionV>
                <wp:extent cx="1829435"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E5CAD" id="Graphic 40" o:spid="_x0000_s1026" style="position:absolute;margin-left:1in;margin-top:19.4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" path="m1829054,l,,,7620r1829054,l1829054,xe" fillcolor="black" stroked="f">
                <v:path arrowok="t"/>
                <w10:wrap type="topAndBottom" anchorx="page"/>
              </v:shape>
            </w:pict>
          </mc:Fallback>
        </mc:AlternateContent>
      </w:r>
    </w:p>
    <w:p w14:paraId="7CB25CFC" w14:textId="77777777" w:rsidR="008A4099" w:rsidRDefault="006A6EE2">
      <w:pPr>
        <w:spacing w:before="112" w:line="244" w:lineRule="auto"/>
        <w:ind w:left="160" w:right="681"/>
        <w:jc w:val="both"/>
        <w:rPr>
          <w:sz w:val="18"/>
        </w:rPr>
      </w:pPr>
      <w:r>
        <w:rPr>
          <w:sz w:val="18"/>
          <w:vertAlign w:val="superscript"/>
        </w:rPr>
        <w:t>39</w:t>
      </w:r>
      <w:r>
        <w:rPr>
          <w:sz w:val="18"/>
        </w:rPr>
        <w:t xml:space="preserve"> It was suggested that such a committee could also perform this scrutiny function in relation to a court’s ‘declaration of incompatibility’: Ibid [4.10.10]–[4.10.15], Recommendation 10.</w:t>
      </w:r>
    </w:p>
    <w:p w14:paraId="7CB25CFD" w14:textId="77777777" w:rsidR="008A4099" w:rsidRDefault="006A6EE2">
      <w:pPr>
        <w:spacing w:before="15" w:line="244" w:lineRule="auto"/>
        <w:ind w:left="160" w:right="673"/>
        <w:jc w:val="both"/>
        <w:rPr>
          <w:sz w:val="18"/>
        </w:rPr>
      </w:pPr>
      <w:r>
        <w:rPr>
          <w:sz w:val="18"/>
          <w:vertAlign w:val="superscript"/>
        </w:rPr>
        <w:t>40</w:t>
      </w:r>
      <w:r>
        <w:rPr>
          <w:spacing w:val="-8"/>
          <w:sz w:val="18"/>
        </w:rPr>
        <w:t xml:space="preserve"> </w:t>
      </w:r>
      <w:r>
        <w:rPr>
          <w:sz w:val="18"/>
        </w:rPr>
        <w:t>In</w:t>
      </w:r>
      <w:r>
        <w:rPr>
          <w:spacing w:val="-7"/>
          <w:sz w:val="18"/>
        </w:rPr>
        <w:t xml:space="preserve"> </w:t>
      </w:r>
      <w:r>
        <w:rPr>
          <w:sz w:val="18"/>
        </w:rPr>
        <w:t>contrast,</w:t>
      </w:r>
      <w:r>
        <w:rPr>
          <w:spacing w:val="-7"/>
          <w:sz w:val="18"/>
        </w:rPr>
        <w:t xml:space="preserve"> </w:t>
      </w:r>
      <w:r>
        <w:rPr>
          <w:sz w:val="18"/>
        </w:rPr>
        <w:t>a</w:t>
      </w:r>
      <w:r>
        <w:rPr>
          <w:spacing w:val="-9"/>
          <w:sz w:val="18"/>
        </w:rPr>
        <w:t xml:space="preserve"> </w:t>
      </w:r>
      <w:r>
        <w:rPr>
          <w:sz w:val="18"/>
        </w:rPr>
        <w:t>court’s</w:t>
      </w:r>
      <w:r>
        <w:rPr>
          <w:spacing w:val="-8"/>
          <w:sz w:val="18"/>
        </w:rPr>
        <w:t xml:space="preserve"> </w:t>
      </w:r>
      <w:r>
        <w:rPr>
          <w:sz w:val="18"/>
        </w:rPr>
        <w:t>declaration</w:t>
      </w:r>
      <w:r>
        <w:rPr>
          <w:spacing w:val="-9"/>
          <w:sz w:val="18"/>
        </w:rPr>
        <w:t xml:space="preserve"> </w:t>
      </w:r>
      <w:r>
        <w:rPr>
          <w:sz w:val="18"/>
        </w:rPr>
        <w:t>of</w:t>
      </w:r>
      <w:r>
        <w:rPr>
          <w:spacing w:val="-8"/>
          <w:sz w:val="18"/>
        </w:rPr>
        <w:t xml:space="preserve"> </w:t>
      </w:r>
      <w:r>
        <w:rPr>
          <w:sz w:val="18"/>
        </w:rPr>
        <w:t>incompatibility</w:t>
      </w:r>
      <w:r>
        <w:rPr>
          <w:spacing w:val="-7"/>
          <w:sz w:val="18"/>
        </w:rPr>
        <w:t xml:space="preserve"> </w:t>
      </w:r>
      <w:r>
        <w:rPr>
          <w:sz w:val="18"/>
        </w:rPr>
        <w:t>relating</w:t>
      </w:r>
      <w:r>
        <w:rPr>
          <w:spacing w:val="-7"/>
          <w:sz w:val="18"/>
        </w:rPr>
        <w:t xml:space="preserve"> </w:t>
      </w:r>
      <w:r>
        <w:rPr>
          <w:sz w:val="18"/>
        </w:rPr>
        <w:t>to</w:t>
      </w:r>
      <w:r>
        <w:rPr>
          <w:spacing w:val="-7"/>
          <w:sz w:val="18"/>
        </w:rPr>
        <w:t xml:space="preserve"> </w:t>
      </w:r>
      <w:r>
        <w:rPr>
          <w:sz w:val="18"/>
        </w:rPr>
        <w:t>subordinate</w:t>
      </w:r>
      <w:r>
        <w:rPr>
          <w:spacing w:val="-8"/>
          <w:sz w:val="18"/>
        </w:rPr>
        <w:t xml:space="preserve"> </w:t>
      </w:r>
      <w:r>
        <w:rPr>
          <w:sz w:val="18"/>
        </w:rPr>
        <w:t>legislation</w:t>
      </w:r>
      <w:r>
        <w:rPr>
          <w:spacing w:val="-7"/>
          <w:sz w:val="18"/>
        </w:rPr>
        <w:t xml:space="preserve"> </w:t>
      </w:r>
      <w:r>
        <w:rPr>
          <w:sz w:val="18"/>
        </w:rPr>
        <w:t>would</w:t>
      </w:r>
      <w:r>
        <w:rPr>
          <w:spacing w:val="-7"/>
          <w:sz w:val="18"/>
        </w:rPr>
        <w:t xml:space="preserve"> </w:t>
      </w:r>
      <w:r>
        <w:rPr>
          <w:sz w:val="18"/>
        </w:rPr>
        <w:t>immediately</w:t>
      </w:r>
      <w:r>
        <w:rPr>
          <w:spacing w:val="-7"/>
          <w:sz w:val="18"/>
        </w:rPr>
        <w:t xml:space="preserve"> </w:t>
      </w:r>
      <w:r>
        <w:rPr>
          <w:sz w:val="18"/>
        </w:rPr>
        <w:t>invalidate</w:t>
      </w:r>
      <w:r>
        <w:rPr>
          <w:spacing w:val="-8"/>
          <w:sz w:val="18"/>
        </w:rPr>
        <w:t xml:space="preserve"> </w:t>
      </w:r>
      <w:r>
        <w:rPr>
          <w:sz w:val="18"/>
        </w:rPr>
        <w:t>it.</w:t>
      </w:r>
      <w:r>
        <w:rPr>
          <w:spacing w:val="-8"/>
          <w:sz w:val="18"/>
        </w:rPr>
        <w:t xml:space="preserve"> </w:t>
      </w:r>
      <w:r>
        <w:rPr>
          <w:sz w:val="18"/>
        </w:rPr>
        <w:t>TLRI 2007 Final Report, Recommendation 12, [4.11.35] &amp; [4.11.43].</w:t>
      </w:r>
    </w:p>
    <w:p w14:paraId="7CB25CFE" w14:textId="77777777" w:rsidR="008A4099" w:rsidRDefault="006A6EE2">
      <w:pPr>
        <w:spacing w:before="15"/>
        <w:ind w:left="160" w:right="675"/>
        <w:jc w:val="both"/>
        <w:rPr>
          <w:sz w:val="18"/>
        </w:rPr>
      </w:pPr>
      <w:r>
        <w:rPr>
          <w:sz w:val="18"/>
          <w:vertAlign w:val="superscript"/>
        </w:rPr>
        <w:t>41</w:t>
      </w:r>
      <w:r>
        <w:rPr>
          <w:spacing w:val="-4"/>
          <w:sz w:val="18"/>
        </w:rPr>
        <w:t xml:space="preserve"> </w:t>
      </w:r>
      <w:r>
        <w:rPr>
          <w:sz w:val="18"/>
        </w:rPr>
        <w:t>Ibid</w:t>
      </w:r>
      <w:r>
        <w:rPr>
          <w:spacing w:val="-3"/>
          <w:sz w:val="18"/>
        </w:rPr>
        <w:t xml:space="preserve"> </w:t>
      </w:r>
      <w:r>
        <w:rPr>
          <w:sz w:val="18"/>
        </w:rPr>
        <w:t>[4.10.25]–[4.10.31],</w:t>
      </w:r>
      <w:r>
        <w:rPr>
          <w:spacing w:val="-6"/>
          <w:sz w:val="18"/>
        </w:rPr>
        <w:t xml:space="preserve"> </w:t>
      </w:r>
      <w:r>
        <w:rPr>
          <w:sz w:val="18"/>
        </w:rPr>
        <w:t>Recommendation</w:t>
      </w:r>
      <w:r>
        <w:rPr>
          <w:spacing w:val="-8"/>
          <w:sz w:val="18"/>
        </w:rPr>
        <w:t xml:space="preserve"> </w:t>
      </w:r>
      <w:r>
        <w:rPr>
          <w:sz w:val="18"/>
        </w:rPr>
        <w:t>10.</w:t>
      </w:r>
      <w:r>
        <w:rPr>
          <w:spacing w:val="-6"/>
          <w:sz w:val="18"/>
        </w:rPr>
        <w:t xml:space="preserve"> </w:t>
      </w:r>
      <w:r>
        <w:rPr>
          <w:sz w:val="18"/>
        </w:rPr>
        <w:t>At</w:t>
      </w:r>
      <w:r>
        <w:rPr>
          <w:spacing w:val="-7"/>
          <w:sz w:val="18"/>
        </w:rPr>
        <w:t xml:space="preserve"> </w:t>
      </w:r>
      <w:r>
        <w:rPr>
          <w:sz w:val="18"/>
        </w:rPr>
        <w:t>the</w:t>
      </w:r>
      <w:r>
        <w:rPr>
          <w:spacing w:val="-7"/>
          <w:sz w:val="18"/>
        </w:rPr>
        <w:t xml:space="preserve"> </w:t>
      </w:r>
      <w:r>
        <w:rPr>
          <w:sz w:val="18"/>
        </w:rPr>
        <w:t>time</w:t>
      </w:r>
      <w:r>
        <w:rPr>
          <w:spacing w:val="-5"/>
          <w:sz w:val="18"/>
        </w:rPr>
        <w:t xml:space="preserve"> </w:t>
      </w:r>
      <w:r>
        <w:rPr>
          <w:sz w:val="18"/>
        </w:rPr>
        <w:t>this</w:t>
      </w:r>
      <w:r>
        <w:rPr>
          <w:spacing w:val="-4"/>
          <w:sz w:val="18"/>
        </w:rPr>
        <w:t xml:space="preserve"> </w:t>
      </w:r>
      <w:r>
        <w:rPr>
          <w:sz w:val="18"/>
        </w:rPr>
        <w:t>Recommendation</w:t>
      </w:r>
      <w:r>
        <w:rPr>
          <w:spacing w:val="-6"/>
          <w:sz w:val="18"/>
        </w:rPr>
        <w:t xml:space="preserve"> </w:t>
      </w:r>
      <w:r>
        <w:rPr>
          <w:sz w:val="18"/>
        </w:rPr>
        <w:t>was</w:t>
      </w:r>
      <w:r>
        <w:rPr>
          <w:spacing w:val="-5"/>
          <w:sz w:val="18"/>
        </w:rPr>
        <w:t xml:space="preserve"> </w:t>
      </w:r>
      <w:r>
        <w:rPr>
          <w:sz w:val="18"/>
        </w:rPr>
        <w:t>made,</w:t>
      </w:r>
      <w:r>
        <w:rPr>
          <w:spacing w:val="-4"/>
          <w:sz w:val="18"/>
        </w:rPr>
        <w:t xml:space="preserve"> </w:t>
      </w:r>
      <w:r>
        <w:rPr>
          <w:sz w:val="18"/>
        </w:rPr>
        <w:t>the</w:t>
      </w:r>
      <w:r>
        <w:rPr>
          <w:spacing w:val="-5"/>
          <w:sz w:val="18"/>
        </w:rPr>
        <w:t xml:space="preserve"> </w:t>
      </w:r>
      <w:r>
        <w:rPr>
          <w:sz w:val="18"/>
        </w:rPr>
        <w:t>recommended</w:t>
      </w:r>
      <w:r>
        <w:rPr>
          <w:spacing w:val="-3"/>
          <w:sz w:val="18"/>
        </w:rPr>
        <w:t xml:space="preserve"> </w:t>
      </w:r>
      <w:r>
        <w:rPr>
          <w:sz w:val="18"/>
        </w:rPr>
        <w:t>requirement that the legislature respond to the declaration of incompatibility would have been unique to the Tasmanian model. It was reasoned that such a requirement ‘would greatly assist in the creation of a genuine dialogue about human rights between the different arms of Government’: Ibid [4.10.26]. The Qld Human Rights Act adopts this approach and requires the relevant Minister</w:t>
      </w:r>
      <w:r>
        <w:rPr>
          <w:spacing w:val="-6"/>
          <w:sz w:val="18"/>
        </w:rPr>
        <w:t xml:space="preserve"> </w:t>
      </w:r>
      <w:r>
        <w:rPr>
          <w:sz w:val="18"/>
        </w:rPr>
        <w:t>to</w:t>
      </w:r>
      <w:r>
        <w:rPr>
          <w:spacing w:val="-5"/>
          <w:sz w:val="18"/>
        </w:rPr>
        <w:t xml:space="preserve"> </w:t>
      </w:r>
      <w:r>
        <w:rPr>
          <w:sz w:val="18"/>
        </w:rPr>
        <w:t>respond</w:t>
      </w:r>
      <w:r>
        <w:rPr>
          <w:spacing w:val="-5"/>
          <w:sz w:val="18"/>
        </w:rPr>
        <w:t xml:space="preserve"> </w:t>
      </w:r>
      <w:r>
        <w:rPr>
          <w:sz w:val="18"/>
        </w:rPr>
        <w:t>to</w:t>
      </w:r>
      <w:r>
        <w:rPr>
          <w:spacing w:val="-5"/>
          <w:sz w:val="18"/>
        </w:rPr>
        <w:t xml:space="preserve"> </w:t>
      </w:r>
      <w:r>
        <w:rPr>
          <w:sz w:val="18"/>
        </w:rPr>
        <w:t>a</w:t>
      </w:r>
      <w:r>
        <w:rPr>
          <w:spacing w:val="-6"/>
          <w:sz w:val="18"/>
        </w:rPr>
        <w:t xml:space="preserve"> </w:t>
      </w:r>
      <w:r>
        <w:rPr>
          <w:sz w:val="18"/>
        </w:rPr>
        <w:t>declaration</w:t>
      </w:r>
      <w:r>
        <w:rPr>
          <w:spacing w:val="-5"/>
          <w:sz w:val="18"/>
        </w:rPr>
        <w:t xml:space="preserve"> </w:t>
      </w:r>
      <w:r>
        <w:rPr>
          <w:sz w:val="18"/>
        </w:rPr>
        <w:t>of</w:t>
      </w:r>
      <w:r>
        <w:rPr>
          <w:spacing w:val="-6"/>
          <w:sz w:val="18"/>
        </w:rPr>
        <w:t xml:space="preserve"> </w:t>
      </w:r>
      <w:r>
        <w:rPr>
          <w:sz w:val="18"/>
        </w:rPr>
        <w:t>incompatibility</w:t>
      </w:r>
      <w:r>
        <w:rPr>
          <w:spacing w:val="-5"/>
          <w:sz w:val="18"/>
        </w:rPr>
        <w:t xml:space="preserve"> </w:t>
      </w:r>
      <w:r>
        <w:rPr>
          <w:sz w:val="18"/>
        </w:rPr>
        <w:t>within</w:t>
      </w:r>
      <w:r>
        <w:rPr>
          <w:spacing w:val="-5"/>
          <w:sz w:val="18"/>
        </w:rPr>
        <w:t xml:space="preserve"> </w:t>
      </w:r>
      <w:r>
        <w:rPr>
          <w:sz w:val="18"/>
        </w:rPr>
        <w:t>six</w:t>
      </w:r>
      <w:r>
        <w:rPr>
          <w:spacing w:val="-5"/>
          <w:sz w:val="18"/>
        </w:rPr>
        <w:t xml:space="preserve"> </w:t>
      </w:r>
      <w:r>
        <w:rPr>
          <w:sz w:val="18"/>
        </w:rPr>
        <w:t>months</w:t>
      </w:r>
      <w:r>
        <w:rPr>
          <w:spacing w:val="-6"/>
          <w:sz w:val="18"/>
        </w:rPr>
        <w:t xml:space="preserve"> </w:t>
      </w:r>
      <w:r>
        <w:rPr>
          <w:sz w:val="18"/>
        </w:rPr>
        <w:t>(see</w:t>
      </w:r>
      <w:r>
        <w:rPr>
          <w:spacing w:val="-5"/>
          <w:sz w:val="18"/>
        </w:rPr>
        <w:t xml:space="preserve"> </w:t>
      </w:r>
      <w:r>
        <w:rPr>
          <w:i/>
          <w:sz w:val="18"/>
        </w:rPr>
        <w:t>Human</w:t>
      </w:r>
      <w:r>
        <w:rPr>
          <w:i/>
          <w:spacing w:val="-5"/>
          <w:sz w:val="18"/>
        </w:rPr>
        <w:t xml:space="preserve"> </w:t>
      </w:r>
      <w:r>
        <w:rPr>
          <w:i/>
          <w:sz w:val="18"/>
        </w:rPr>
        <w:t>Rights</w:t>
      </w:r>
      <w:r>
        <w:rPr>
          <w:i/>
          <w:spacing w:val="-6"/>
          <w:sz w:val="18"/>
        </w:rPr>
        <w:t xml:space="preserve"> </w:t>
      </w:r>
      <w:r>
        <w:rPr>
          <w:i/>
          <w:sz w:val="18"/>
        </w:rPr>
        <w:t>Act</w:t>
      </w:r>
      <w:r>
        <w:rPr>
          <w:i/>
          <w:spacing w:val="-6"/>
          <w:sz w:val="18"/>
        </w:rPr>
        <w:t xml:space="preserve"> </w:t>
      </w:r>
      <w:r>
        <w:rPr>
          <w:i/>
          <w:sz w:val="18"/>
        </w:rPr>
        <w:t>2019</w:t>
      </w:r>
      <w:r>
        <w:rPr>
          <w:i/>
          <w:spacing w:val="-4"/>
          <w:sz w:val="18"/>
        </w:rPr>
        <w:t xml:space="preserve"> </w:t>
      </w:r>
      <w:r>
        <w:rPr>
          <w:sz w:val="18"/>
        </w:rPr>
        <w:t>(Qld)</w:t>
      </w:r>
      <w:r>
        <w:rPr>
          <w:spacing w:val="-6"/>
          <w:sz w:val="18"/>
        </w:rPr>
        <w:t xml:space="preserve"> </w:t>
      </w:r>
      <w:r>
        <w:rPr>
          <w:sz w:val="18"/>
        </w:rPr>
        <w:t>s</w:t>
      </w:r>
      <w:r>
        <w:rPr>
          <w:spacing w:val="-6"/>
          <w:sz w:val="18"/>
        </w:rPr>
        <w:t xml:space="preserve"> </w:t>
      </w:r>
      <w:r>
        <w:rPr>
          <w:sz w:val="18"/>
        </w:rPr>
        <w:t>56)</w:t>
      </w:r>
      <w:r>
        <w:rPr>
          <w:spacing w:val="-6"/>
          <w:sz w:val="18"/>
        </w:rPr>
        <w:t xml:space="preserve"> </w:t>
      </w:r>
      <w:r>
        <w:rPr>
          <w:sz w:val="18"/>
        </w:rPr>
        <w:t>but</w:t>
      </w:r>
      <w:r>
        <w:rPr>
          <w:spacing w:val="-5"/>
          <w:sz w:val="18"/>
        </w:rPr>
        <w:t xml:space="preserve"> </w:t>
      </w:r>
      <w:r>
        <w:rPr>
          <w:sz w:val="18"/>
        </w:rPr>
        <w:t>does</w:t>
      </w:r>
      <w:r>
        <w:rPr>
          <w:spacing w:val="-6"/>
          <w:sz w:val="18"/>
        </w:rPr>
        <w:t xml:space="preserve"> </w:t>
      </w:r>
      <w:r>
        <w:rPr>
          <w:sz w:val="18"/>
        </w:rPr>
        <w:t>not invalidate the operative provisions if a Minister fails to respond.</w:t>
      </w:r>
    </w:p>
    <w:p w14:paraId="7CB25CFF" w14:textId="77777777" w:rsidR="008A4099" w:rsidRDefault="006A6EE2">
      <w:pPr>
        <w:spacing w:before="22"/>
        <w:ind w:left="160"/>
        <w:rPr>
          <w:sz w:val="18"/>
        </w:rPr>
      </w:pPr>
      <w:r>
        <w:rPr>
          <w:sz w:val="18"/>
          <w:vertAlign w:val="superscript"/>
        </w:rPr>
        <w:t>42</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w:t>
      </w:r>
      <w:r>
        <w:rPr>
          <w:spacing w:val="-1"/>
          <w:sz w:val="18"/>
        </w:rPr>
        <w:t xml:space="preserve"> </w:t>
      </w:r>
      <w:r>
        <w:rPr>
          <w:spacing w:val="-5"/>
          <w:sz w:val="18"/>
        </w:rPr>
        <w:t>14.</w:t>
      </w:r>
    </w:p>
    <w:p w14:paraId="7CB25D00" w14:textId="77777777" w:rsidR="008A4099" w:rsidRDefault="006A6EE2">
      <w:pPr>
        <w:spacing w:before="24"/>
        <w:ind w:left="160"/>
        <w:rPr>
          <w:sz w:val="18"/>
        </w:rPr>
      </w:pPr>
      <w:r>
        <w:rPr>
          <w:sz w:val="18"/>
          <w:vertAlign w:val="superscript"/>
        </w:rPr>
        <w:t>43</w:t>
      </w:r>
      <w:r>
        <w:rPr>
          <w:sz w:val="18"/>
        </w:rPr>
        <w:t xml:space="preserve"> Ibid</w:t>
      </w:r>
      <w:r>
        <w:rPr>
          <w:spacing w:val="-1"/>
          <w:sz w:val="18"/>
        </w:rPr>
        <w:t xml:space="preserve"> </w:t>
      </w:r>
      <w:r>
        <w:rPr>
          <w:sz w:val="18"/>
        </w:rPr>
        <w:t>[4.10.16]–[4.10.22],</w:t>
      </w:r>
      <w:r>
        <w:rPr>
          <w:spacing w:val="-2"/>
          <w:sz w:val="18"/>
        </w:rPr>
        <w:t xml:space="preserve"> </w:t>
      </w:r>
      <w:r>
        <w:rPr>
          <w:sz w:val="18"/>
        </w:rPr>
        <w:t>[4.10.26]–[4.20.18],</w:t>
      </w:r>
      <w:r>
        <w:rPr>
          <w:spacing w:val="-2"/>
          <w:sz w:val="18"/>
        </w:rPr>
        <w:t xml:space="preserve"> </w:t>
      </w:r>
      <w:r>
        <w:rPr>
          <w:sz w:val="18"/>
        </w:rPr>
        <w:t>Recommendation</w:t>
      </w:r>
      <w:r>
        <w:rPr>
          <w:spacing w:val="-1"/>
          <w:sz w:val="18"/>
        </w:rPr>
        <w:t xml:space="preserve"> </w:t>
      </w:r>
      <w:r>
        <w:rPr>
          <w:spacing w:val="-5"/>
          <w:sz w:val="18"/>
        </w:rPr>
        <w:t>10.</w:t>
      </w:r>
    </w:p>
    <w:p w14:paraId="7CB25D01" w14:textId="77777777" w:rsidR="008A4099" w:rsidRDefault="006A6EE2">
      <w:pPr>
        <w:spacing w:before="23"/>
        <w:ind w:left="160"/>
        <w:rPr>
          <w:sz w:val="18"/>
        </w:rPr>
      </w:pPr>
      <w:r>
        <w:rPr>
          <w:sz w:val="18"/>
          <w:vertAlign w:val="superscript"/>
        </w:rPr>
        <w:t>44</w:t>
      </w:r>
      <w:r>
        <w:rPr>
          <w:spacing w:val="-1"/>
          <w:sz w:val="18"/>
        </w:rPr>
        <w:t xml:space="preserve"> </w:t>
      </w:r>
      <w:r>
        <w:rPr>
          <w:sz w:val="18"/>
        </w:rPr>
        <w:t>Ibid</w:t>
      </w:r>
      <w:r>
        <w:rPr>
          <w:spacing w:val="-1"/>
          <w:sz w:val="18"/>
        </w:rPr>
        <w:t xml:space="preserve"> </w:t>
      </w:r>
      <w:r>
        <w:rPr>
          <w:sz w:val="18"/>
        </w:rPr>
        <w:t>[4.11.2]–[4.11.10], Recommendation</w:t>
      </w:r>
      <w:r>
        <w:rPr>
          <w:spacing w:val="1"/>
          <w:sz w:val="18"/>
        </w:rPr>
        <w:t xml:space="preserve"> </w:t>
      </w:r>
      <w:r>
        <w:rPr>
          <w:spacing w:val="-5"/>
          <w:sz w:val="18"/>
        </w:rPr>
        <w:t>11.</w:t>
      </w:r>
    </w:p>
    <w:p w14:paraId="7CB25D02" w14:textId="77777777" w:rsidR="008A4099" w:rsidRDefault="008A4099">
      <w:pPr>
        <w:rPr>
          <w:sz w:val="18"/>
        </w:rPr>
        <w:sectPr w:rsidR="008A4099" w:rsidSect="00D43B2D">
          <w:pgSz w:w="11910" w:h="16840"/>
          <w:pgMar w:top="980" w:right="760" w:bottom="940" w:left="1280" w:header="718" w:footer="753" w:gutter="0"/>
          <w:cols w:space="720"/>
        </w:sectPr>
      </w:pPr>
    </w:p>
    <w:p w14:paraId="7CB25D03" w14:textId="77777777" w:rsidR="008A4099" w:rsidRDefault="008A4099">
      <w:pPr>
        <w:pStyle w:val="BodyText"/>
        <w:spacing w:before="196"/>
      </w:pPr>
    </w:p>
    <w:p w14:paraId="7CB25D04" w14:textId="77777777" w:rsidR="008A4099" w:rsidRDefault="006A6EE2">
      <w:pPr>
        <w:pStyle w:val="BodyText"/>
        <w:spacing w:before="1" w:line="276" w:lineRule="auto"/>
        <w:ind w:left="1228" w:right="680"/>
        <w:jc w:val="both"/>
        <w:rPr>
          <w:sz w:val="13"/>
        </w:rPr>
      </w:pPr>
      <w:r>
        <w:t>including</w:t>
      </w:r>
      <w:r>
        <w:rPr>
          <w:spacing w:val="-2"/>
        </w:rPr>
        <w:t xml:space="preserve"> </w:t>
      </w:r>
      <w:r>
        <w:t>the</w:t>
      </w:r>
      <w:r>
        <w:rPr>
          <w:spacing w:val="-2"/>
        </w:rPr>
        <w:t xml:space="preserve"> </w:t>
      </w:r>
      <w:r>
        <w:t>substantive</w:t>
      </w:r>
      <w:r>
        <w:rPr>
          <w:spacing w:val="-2"/>
        </w:rPr>
        <w:t xml:space="preserve"> </w:t>
      </w:r>
      <w:r>
        <w:t>and</w:t>
      </w:r>
      <w:r>
        <w:rPr>
          <w:spacing w:val="-2"/>
        </w:rPr>
        <w:t xml:space="preserve"> </w:t>
      </w:r>
      <w:r>
        <w:t>adjectival</w:t>
      </w:r>
      <w:r>
        <w:rPr>
          <w:spacing w:val="-4"/>
        </w:rPr>
        <w:t xml:space="preserve"> </w:t>
      </w:r>
      <w:r>
        <w:t>(procedural)</w:t>
      </w:r>
      <w:r>
        <w:rPr>
          <w:spacing w:val="-4"/>
        </w:rPr>
        <w:t xml:space="preserve"> </w:t>
      </w:r>
      <w:r>
        <w:t>law,</w:t>
      </w:r>
      <w:r>
        <w:rPr>
          <w:spacing w:val="-2"/>
        </w:rPr>
        <w:t xml:space="preserve"> </w:t>
      </w:r>
      <w:r>
        <w:t>is</w:t>
      </w:r>
      <w:r>
        <w:rPr>
          <w:spacing w:val="-4"/>
        </w:rPr>
        <w:t xml:space="preserve"> </w:t>
      </w:r>
      <w:r>
        <w:t>amended</w:t>
      </w:r>
      <w:r>
        <w:rPr>
          <w:spacing w:val="-2"/>
        </w:rPr>
        <w:t xml:space="preserve"> </w:t>
      </w:r>
      <w:r>
        <w:t>by</w:t>
      </w:r>
      <w:r>
        <w:rPr>
          <w:spacing w:val="-5"/>
        </w:rPr>
        <w:t xml:space="preserve"> </w:t>
      </w:r>
      <w:r>
        <w:t>the</w:t>
      </w:r>
      <w:r>
        <w:rPr>
          <w:spacing w:val="-2"/>
        </w:rPr>
        <w:t xml:space="preserve"> </w:t>
      </w:r>
      <w:r>
        <w:t>Charter,</w:t>
      </w:r>
      <w:r>
        <w:rPr>
          <w:spacing w:val="-5"/>
        </w:rPr>
        <w:t xml:space="preserve"> </w:t>
      </w:r>
      <w:r>
        <w:t>so</w:t>
      </w:r>
      <w:r>
        <w:rPr>
          <w:spacing w:val="-4"/>
        </w:rPr>
        <w:t xml:space="preserve"> </w:t>
      </w:r>
      <w:r>
        <w:t>as to conform to human rights as defined and limited in the Charter.</w:t>
      </w:r>
      <w:r>
        <w:rPr>
          <w:position w:val="7"/>
          <w:sz w:val="13"/>
        </w:rPr>
        <w:t>45</w:t>
      </w:r>
    </w:p>
    <w:p w14:paraId="7CB25D05" w14:textId="77777777" w:rsidR="008A4099" w:rsidRDefault="006A6EE2">
      <w:pPr>
        <w:pStyle w:val="ListParagraph"/>
        <w:numPr>
          <w:ilvl w:val="3"/>
          <w:numId w:val="11"/>
        </w:numPr>
        <w:tabs>
          <w:tab w:val="left" w:pos="1228"/>
        </w:tabs>
        <w:spacing w:before="117" w:line="276" w:lineRule="auto"/>
        <w:ind w:right="679"/>
        <w:rPr>
          <w:sz w:val="13"/>
        </w:rPr>
      </w:pPr>
      <w:r>
        <w:rPr>
          <w:b/>
        </w:rPr>
        <w:t xml:space="preserve">Dealing with incompatible legislation </w:t>
      </w:r>
      <w:r>
        <w:t>– The 2007 Final Report recommended that a ‘dialogue model’ be adopted, in which the Supreme Court may make declarations of incompatibility with human rights for legislation, which would trigger consideration by Parliament to determine whether to override the declaration or amend or repeal the legislation to address the incompatibility.</w:t>
      </w:r>
      <w:r>
        <w:rPr>
          <w:position w:val="7"/>
          <w:sz w:val="13"/>
        </w:rPr>
        <w:t>46</w:t>
      </w:r>
    </w:p>
    <w:p w14:paraId="7CB25D06" w14:textId="77777777" w:rsidR="008A4099" w:rsidRDefault="006A6EE2">
      <w:pPr>
        <w:pStyle w:val="BodyText"/>
        <w:spacing w:before="119" w:line="276" w:lineRule="auto"/>
        <w:ind w:left="1228" w:right="676"/>
        <w:jc w:val="both"/>
        <w:rPr>
          <w:sz w:val="13"/>
        </w:rPr>
      </w:pPr>
      <w:r>
        <w:t xml:space="preserve">For delegated legislation, such as regulations, the TLRI recommended that a judicial </w:t>
      </w:r>
      <w:r>
        <w:rPr>
          <w:spacing w:val="-2"/>
        </w:rPr>
        <w:t>declaration</w:t>
      </w:r>
      <w:r>
        <w:rPr>
          <w:spacing w:val="1"/>
        </w:rPr>
        <w:t xml:space="preserve"> </w:t>
      </w:r>
      <w:r>
        <w:rPr>
          <w:spacing w:val="-2"/>
        </w:rPr>
        <w:t>of</w:t>
      </w:r>
      <w:r>
        <w:rPr>
          <w:spacing w:val="5"/>
        </w:rPr>
        <w:t xml:space="preserve"> </w:t>
      </w:r>
      <w:r>
        <w:rPr>
          <w:spacing w:val="-2"/>
        </w:rPr>
        <w:t>incompatibility</w:t>
      </w:r>
      <w:r>
        <w:rPr>
          <w:spacing w:val="4"/>
        </w:rPr>
        <w:t xml:space="preserve"> </w:t>
      </w:r>
      <w:r>
        <w:rPr>
          <w:spacing w:val="-2"/>
        </w:rPr>
        <w:t>should</w:t>
      </w:r>
      <w:r>
        <w:rPr>
          <w:spacing w:val="2"/>
        </w:rPr>
        <w:t xml:space="preserve"> </w:t>
      </w:r>
      <w:r>
        <w:rPr>
          <w:spacing w:val="-2"/>
        </w:rPr>
        <w:t>immediately</w:t>
      </w:r>
      <w:r>
        <w:rPr>
          <w:spacing w:val="6"/>
        </w:rPr>
        <w:t xml:space="preserve"> </w:t>
      </w:r>
      <w:r>
        <w:rPr>
          <w:spacing w:val="-2"/>
        </w:rPr>
        <w:t>invalidate</w:t>
      </w:r>
      <w:r>
        <w:rPr>
          <w:spacing w:val="1"/>
        </w:rPr>
        <w:t xml:space="preserve"> </w:t>
      </w:r>
      <w:r>
        <w:rPr>
          <w:spacing w:val="-2"/>
        </w:rPr>
        <w:t>the</w:t>
      </w:r>
      <w:r>
        <w:rPr>
          <w:spacing w:val="1"/>
        </w:rPr>
        <w:t xml:space="preserve"> </w:t>
      </w:r>
      <w:r>
        <w:rPr>
          <w:spacing w:val="-2"/>
        </w:rPr>
        <w:t>incompatible</w:t>
      </w:r>
      <w:r>
        <w:rPr>
          <w:spacing w:val="6"/>
        </w:rPr>
        <w:t xml:space="preserve"> </w:t>
      </w:r>
      <w:r>
        <w:rPr>
          <w:spacing w:val="-2"/>
        </w:rPr>
        <w:t>provisions.</w:t>
      </w:r>
      <w:r>
        <w:rPr>
          <w:spacing w:val="-2"/>
          <w:position w:val="7"/>
          <w:sz w:val="13"/>
        </w:rPr>
        <w:t>47</w:t>
      </w:r>
    </w:p>
    <w:p w14:paraId="7CB25D07" w14:textId="77777777" w:rsidR="008A4099" w:rsidRDefault="006A6EE2">
      <w:pPr>
        <w:pStyle w:val="ListParagraph"/>
        <w:numPr>
          <w:ilvl w:val="3"/>
          <w:numId w:val="11"/>
        </w:numPr>
        <w:tabs>
          <w:tab w:val="left" w:pos="1228"/>
        </w:tabs>
        <w:spacing w:before="120" w:line="276" w:lineRule="auto"/>
        <w:ind w:right="675"/>
        <w:rPr>
          <w:sz w:val="13"/>
        </w:rPr>
      </w:pPr>
      <w:r>
        <w:rPr>
          <w:b/>
        </w:rPr>
        <w:t>Dealing</w:t>
      </w:r>
      <w:r>
        <w:rPr>
          <w:b/>
          <w:spacing w:val="-5"/>
        </w:rPr>
        <w:t xml:space="preserve"> </w:t>
      </w:r>
      <w:r>
        <w:rPr>
          <w:b/>
        </w:rPr>
        <w:t>with</w:t>
      </w:r>
      <w:r>
        <w:rPr>
          <w:b/>
          <w:spacing w:val="-2"/>
        </w:rPr>
        <w:t xml:space="preserve"> </w:t>
      </w:r>
      <w:r>
        <w:rPr>
          <w:b/>
        </w:rPr>
        <w:t>breaches</w:t>
      </w:r>
      <w:r>
        <w:rPr>
          <w:b/>
          <w:spacing w:val="-2"/>
        </w:rPr>
        <w:t xml:space="preserve"> </w:t>
      </w:r>
      <w:r>
        <w:rPr>
          <w:b/>
        </w:rPr>
        <w:t>of</w:t>
      </w:r>
      <w:r>
        <w:rPr>
          <w:b/>
          <w:spacing w:val="-6"/>
        </w:rPr>
        <w:t xml:space="preserve"> </w:t>
      </w:r>
      <w:r>
        <w:rPr>
          <w:b/>
        </w:rPr>
        <w:t>Charter</w:t>
      </w:r>
      <w:r>
        <w:rPr>
          <w:b/>
          <w:spacing w:val="-4"/>
        </w:rPr>
        <w:t xml:space="preserve"> </w:t>
      </w:r>
      <w:r>
        <w:rPr>
          <w:b/>
        </w:rPr>
        <w:t>rights</w:t>
      </w:r>
      <w:r>
        <w:rPr>
          <w:b/>
          <w:spacing w:val="-1"/>
        </w:rPr>
        <w:t xml:space="preserve"> </w:t>
      </w:r>
      <w:r>
        <w:rPr>
          <w:b/>
        </w:rPr>
        <w:t>–</w:t>
      </w:r>
      <w:r>
        <w:rPr>
          <w:b/>
          <w:spacing w:val="-2"/>
        </w:rPr>
        <w:t xml:space="preserve"> </w:t>
      </w:r>
      <w:r>
        <w:t>The</w:t>
      </w:r>
      <w:r>
        <w:rPr>
          <w:spacing w:val="-5"/>
        </w:rPr>
        <w:t xml:space="preserve"> </w:t>
      </w:r>
      <w:r>
        <w:t>2007</w:t>
      </w:r>
      <w:r>
        <w:rPr>
          <w:spacing w:val="-5"/>
        </w:rPr>
        <w:t xml:space="preserve"> </w:t>
      </w:r>
      <w:r>
        <w:t>Final</w:t>
      </w:r>
      <w:r>
        <w:rPr>
          <w:spacing w:val="-1"/>
        </w:rPr>
        <w:t xml:space="preserve"> </w:t>
      </w:r>
      <w:r>
        <w:t>Report</w:t>
      </w:r>
      <w:r>
        <w:rPr>
          <w:spacing w:val="-4"/>
        </w:rPr>
        <w:t xml:space="preserve"> </w:t>
      </w:r>
      <w:r>
        <w:t>recommended</w:t>
      </w:r>
      <w:r>
        <w:rPr>
          <w:spacing w:val="-2"/>
        </w:rPr>
        <w:t xml:space="preserve"> </w:t>
      </w:r>
      <w:r>
        <w:t>that</w:t>
      </w:r>
      <w:r>
        <w:rPr>
          <w:spacing w:val="-4"/>
        </w:rPr>
        <w:t xml:space="preserve"> </w:t>
      </w:r>
      <w:r>
        <w:t>the full</w:t>
      </w:r>
      <w:r>
        <w:rPr>
          <w:spacing w:val="-9"/>
        </w:rPr>
        <w:t xml:space="preserve"> </w:t>
      </w:r>
      <w:r>
        <w:t>range</w:t>
      </w:r>
      <w:r>
        <w:rPr>
          <w:spacing w:val="-7"/>
        </w:rPr>
        <w:t xml:space="preserve"> </w:t>
      </w:r>
      <w:r>
        <w:t>of</w:t>
      </w:r>
      <w:r>
        <w:rPr>
          <w:spacing w:val="-9"/>
        </w:rPr>
        <w:t xml:space="preserve"> </w:t>
      </w:r>
      <w:r>
        <w:t>remedies</w:t>
      </w:r>
      <w:r>
        <w:rPr>
          <w:spacing w:val="-9"/>
        </w:rPr>
        <w:t xml:space="preserve"> </w:t>
      </w:r>
      <w:r>
        <w:t>(including</w:t>
      </w:r>
      <w:r>
        <w:rPr>
          <w:spacing w:val="-10"/>
        </w:rPr>
        <w:t xml:space="preserve"> </w:t>
      </w:r>
      <w:r>
        <w:t>damages)</w:t>
      </w:r>
      <w:r>
        <w:rPr>
          <w:spacing w:val="-9"/>
        </w:rPr>
        <w:t xml:space="preserve"> </w:t>
      </w:r>
      <w:r>
        <w:t>should</w:t>
      </w:r>
      <w:r>
        <w:rPr>
          <w:spacing w:val="-10"/>
        </w:rPr>
        <w:t xml:space="preserve"> </w:t>
      </w:r>
      <w:r>
        <w:t>be</w:t>
      </w:r>
      <w:r>
        <w:rPr>
          <w:spacing w:val="-7"/>
        </w:rPr>
        <w:t xml:space="preserve"> </w:t>
      </w:r>
      <w:r>
        <w:t>available</w:t>
      </w:r>
      <w:r>
        <w:rPr>
          <w:spacing w:val="-9"/>
        </w:rPr>
        <w:t xml:space="preserve"> </w:t>
      </w:r>
      <w:r>
        <w:t>to</w:t>
      </w:r>
      <w:r>
        <w:rPr>
          <w:spacing w:val="-10"/>
        </w:rPr>
        <w:t xml:space="preserve"> </w:t>
      </w:r>
      <w:r>
        <w:t>those</w:t>
      </w:r>
      <w:r>
        <w:rPr>
          <w:spacing w:val="-9"/>
        </w:rPr>
        <w:t xml:space="preserve"> </w:t>
      </w:r>
      <w:r>
        <w:t>who</w:t>
      </w:r>
      <w:r>
        <w:rPr>
          <w:spacing w:val="-10"/>
        </w:rPr>
        <w:t xml:space="preserve"> </w:t>
      </w:r>
      <w:r>
        <w:t>suffer</w:t>
      </w:r>
      <w:r>
        <w:rPr>
          <w:spacing w:val="-8"/>
        </w:rPr>
        <w:t xml:space="preserve"> </w:t>
      </w:r>
      <w:r>
        <w:t>damage as a result of breaches of Charter rights by public authorities.</w:t>
      </w:r>
      <w:r>
        <w:rPr>
          <w:position w:val="7"/>
          <w:sz w:val="13"/>
        </w:rPr>
        <w:t>48</w:t>
      </w:r>
      <w:r>
        <w:rPr>
          <w:spacing w:val="40"/>
          <w:position w:val="7"/>
          <w:sz w:val="13"/>
        </w:rPr>
        <w:t xml:space="preserve"> </w:t>
      </w:r>
      <w:r>
        <w:t>The TLRI also recommended that citizens have a direct right to take action in the Supreme Court for breaches of human rights obligations.</w:t>
      </w:r>
      <w:r>
        <w:rPr>
          <w:position w:val="7"/>
          <w:sz w:val="13"/>
        </w:rPr>
        <w:t>49</w:t>
      </w:r>
      <w:r>
        <w:rPr>
          <w:spacing w:val="32"/>
          <w:position w:val="7"/>
          <w:sz w:val="13"/>
        </w:rPr>
        <w:t xml:space="preserve"> </w:t>
      </w:r>
      <w:r>
        <w:t>At that time, this position was different from that adopted in other Australian jurisdictions with human rights instruments.</w:t>
      </w:r>
      <w:r>
        <w:rPr>
          <w:position w:val="7"/>
          <w:sz w:val="13"/>
        </w:rPr>
        <w:t>50</w:t>
      </w:r>
    </w:p>
    <w:p w14:paraId="7CB25D08" w14:textId="77777777" w:rsidR="008A4099" w:rsidRDefault="006A6EE2">
      <w:pPr>
        <w:pStyle w:val="Heading6"/>
        <w:spacing w:before="237"/>
        <w:jc w:val="left"/>
      </w:pPr>
      <w:bookmarkStart w:id="8" w:name="_TOC_250052"/>
      <w:r>
        <w:t>Role</w:t>
      </w:r>
      <w:r>
        <w:rPr>
          <w:spacing w:val="-2"/>
        </w:rPr>
        <w:t xml:space="preserve"> </w:t>
      </w:r>
      <w:r>
        <w:t>of</w:t>
      </w:r>
      <w:r>
        <w:rPr>
          <w:spacing w:val="-2"/>
        </w:rPr>
        <w:t xml:space="preserve"> </w:t>
      </w:r>
      <w:r>
        <w:t>the</w:t>
      </w:r>
      <w:bookmarkEnd w:id="8"/>
      <w:r>
        <w:rPr>
          <w:spacing w:val="-2"/>
        </w:rPr>
        <w:t xml:space="preserve"> Executive</w:t>
      </w:r>
    </w:p>
    <w:p w14:paraId="7CB25D09" w14:textId="77777777" w:rsidR="008A4099" w:rsidRDefault="008A4099">
      <w:pPr>
        <w:pStyle w:val="BodyText"/>
        <w:spacing w:before="8"/>
        <w:rPr>
          <w:b/>
          <w:i/>
        </w:rPr>
      </w:pPr>
    </w:p>
    <w:p w14:paraId="7CB25D0A" w14:textId="77777777" w:rsidR="008A4099" w:rsidRDefault="006A6EE2">
      <w:pPr>
        <w:pStyle w:val="ListParagraph"/>
        <w:numPr>
          <w:ilvl w:val="2"/>
          <w:numId w:val="11"/>
        </w:numPr>
        <w:tabs>
          <w:tab w:val="left" w:pos="879"/>
        </w:tabs>
        <w:spacing w:before="0" w:line="237" w:lineRule="auto"/>
        <w:ind w:right="680" w:firstLine="0"/>
      </w:pPr>
      <w:r>
        <w:t>The TLRI observed that the Executive branch of government could support the operation of a Charter of Rights in several ways, including:</w:t>
      </w:r>
    </w:p>
    <w:p w14:paraId="7CB25D0B" w14:textId="77777777" w:rsidR="008A4099" w:rsidRDefault="006A6EE2">
      <w:pPr>
        <w:pStyle w:val="ListParagraph"/>
        <w:numPr>
          <w:ilvl w:val="3"/>
          <w:numId w:val="11"/>
        </w:numPr>
        <w:tabs>
          <w:tab w:val="left" w:pos="1228"/>
        </w:tabs>
        <w:spacing w:before="219" w:line="276" w:lineRule="auto"/>
        <w:ind w:right="681"/>
        <w:rPr>
          <w:sz w:val="13"/>
        </w:rPr>
      </w:pPr>
      <w:r>
        <w:t>fostering a culture of human rights awareness within government departments, including through departmental Human Rights Action Plans and annual reports on actions taken to meet human rights standards;</w:t>
      </w:r>
      <w:r>
        <w:rPr>
          <w:position w:val="7"/>
          <w:sz w:val="13"/>
        </w:rPr>
        <w:t>51</w:t>
      </w:r>
    </w:p>
    <w:p w14:paraId="7CB25D0C" w14:textId="77777777" w:rsidR="008A4099" w:rsidRDefault="006A6EE2">
      <w:pPr>
        <w:pStyle w:val="ListParagraph"/>
        <w:numPr>
          <w:ilvl w:val="3"/>
          <w:numId w:val="11"/>
        </w:numPr>
        <w:tabs>
          <w:tab w:val="left" w:pos="1228"/>
        </w:tabs>
        <w:spacing w:before="116" w:line="276" w:lineRule="auto"/>
        <w:ind w:right="678"/>
      </w:pPr>
      <w:r>
        <w:t>ensuring</w:t>
      </w:r>
      <w:r>
        <w:rPr>
          <w:spacing w:val="-13"/>
        </w:rPr>
        <w:t xml:space="preserve"> </w:t>
      </w:r>
      <w:r>
        <w:t>that</w:t>
      </w:r>
      <w:r>
        <w:rPr>
          <w:spacing w:val="-12"/>
        </w:rPr>
        <w:t xml:space="preserve"> </w:t>
      </w:r>
      <w:r>
        <w:t>legislation</w:t>
      </w:r>
      <w:r>
        <w:rPr>
          <w:spacing w:val="-11"/>
        </w:rPr>
        <w:t xml:space="preserve"> </w:t>
      </w:r>
      <w:r>
        <w:t>and</w:t>
      </w:r>
      <w:r>
        <w:rPr>
          <w:spacing w:val="-11"/>
        </w:rPr>
        <w:t xml:space="preserve"> </w:t>
      </w:r>
      <w:r>
        <w:t>policy</w:t>
      </w:r>
      <w:r>
        <w:rPr>
          <w:spacing w:val="-13"/>
        </w:rPr>
        <w:t xml:space="preserve"> </w:t>
      </w:r>
      <w:r>
        <w:t>for</w:t>
      </w:r>
      <w:r>
        <w:rPr>
          <w:spacing w:val="-10"/>
        </w:rPr>
        <w:t xml:space="preserve"> </w:t>
      </w:r>
      <w:r>
        <w:t>which</w:t>
      </w:r>
      <w:r>
        <w:rPr>
          <w:spacing w:val="-13"/>
        </w:rPr>
        <w:t xml:space="preserve"> </w:t>
      </w:r>
      <w:r>
        <w:t>each</w:t>
      </w:r>
      <w:r>
        <w:rPr>
          <w:spacing w:val="-6"/>
        </w:rPr>
        <w:t xml:space="preserve"> </w:t>
      </w:r>
      <w:r>
        <w:t>department</w:t>
      </w:r>
      <w:r>
        <w:rPr>
          <w:spacing w:val="-12"/>
        </w:rPr>
        <w:t xml:space="preserve"> </w:t>
      </w:r>
      <w:r>
        <w:t>is</w:t>
      </w:r>
      <w:r>
        <w:rPr>
          <w:spacing w:val="-13"/>
        </w:rPr>
        <w:t xml:space="preserve"> </w:t>
      </w:r>
      <w:r>
        <w:t>responsible</w:t>
      </w:r>
      <w:r>
        <w:rPr>
          <w:spacing w:val="-13"/>
        </w:rPr>
        <w:t xml:space="preserve"> </w:t>
      </w:r>
      <w:r>
        <w:t>complies</w:t>
      </w:r>
      <w:r>
        <w:rPr>
          <w:spacing w:val="-10"/>
        </w:rPr>
        <w:t xml:space="preserve"> </w:t>
      </w:r>
      <w:r>
        <w:t>with Charter standards, and that any proposed restriction of human rights is explicit, proportionate, and justified by:</w:t>
      </w:r>
    </w:p>
    <w:p w14:paraId="7CB25D0D" w14:textId="77777777" w:rsidR="008A4099" w:rsidRDefault="006A6EE2">
      <w:pPr>
        <w:pStyle w:val="ListParagraph"/>
        <w:numPr>
          <w:ilvl w:val="4"/>
          <w:numId w:val="11"/>
        </w:numPr>
        <w:tabs>
          <w:tab w:val="left" w:pos="1600"/>
        </w:tabs>
        <w:spacing w:before="118" w:line="256" w:lineRule="auto"/>
        <w:ind w:right="682"/>
        <w:rPr>
          <w:sz w:val="13"/>
        </w:rPr>
      </w:pPr>
      <w:r>
        <w:t xml:space="preserve">preparing statements of compatibility for proposed legislation and subordinate </w:t>
      </w:r>
      <w:r>
        <w:rPr>
          <w:spacing w:val="-2"/>
        </w:rPr>
        <w:t>legislation;</w:t>
      </w:r>
      <w:r>
        <w:rPr>
          <w:spacing w:val="-2"/>
          <w:position w:val="7"/>
          <w:sz w:val="13"/>
        </w:rPr>
        <w:t>52</w:t>
      </w:r>
    </w:p>
    <w:p w14:paraId="7CB25D0E" w14:textId="77777777" w:rsidR="008A4099" w:rsidRDefault="006A6EE2">
      <w:pPr>
        <w:pStyle w:val="ListParagraph"/>
        <w:numPr>
          <w:ilvl w:val="4"/>
          <w:numId w:val="11"/>
        </w:numPr>
        <w:tabs>
          <w:tab w:val="left" w:pos="1600"/>
        </w:tabs>
        <w:spacing w:before="143" w:line="256" w:lineRule="auto"/>
        <w:ind w:right="683"/>
      </w:pPr>
      <w:r>
        <w:t xml:space="preserve">responding to issues raised by the Parliamentary Human Rights Scrutiny Committee; </w:t>
      </w:r>
      <w:r>
        <w:rPr>
          <w:spacing w:val="-4"/>
        </w:rPr>
        <w:t>and</w:t>
      </w:r>
    </w:p>
    <w:p w14:paraId="7CB25D0F" w14:textId="77777777" w:rsidR="008A4099" w:rsidRDefault="006A6EE2">
      <w:pPr>
        <w:pStyle w:val="ListParagraph"/>
        <w:numPr>
          <w:ilvl w:val="4"/>
          <w:numId w:val="11"/>
        </w:numPr>
        <w:tabs>
          <w:tab w:val="left" w:pos="1599"/>
        </w:tabs>
        <w:spacing w:before="141"/>
        <w:ind w:left="1599" w:hanging="359"/>
        <w:jc w:val="left"/>
        <w:rPr>
          <w:sz w:val="13"/>
        </w:rPr>
      </w:pPr>
      <w:r>
        <w:t>assisting</w:t>
      </w:r>
      <w:r>
        <w:rPr>
          <w:spacing w:val="-4"/>
        </w:rPr>
        <w:t xml:space="preserve"> </w:t>
      </w:r>
      <w:r>
        <w:t>Parliament</w:t>
      </w:r>
      <w:r>
        <w:rPr>
          <w:spacing w:val="-5"/>
        </w:rPr>
        <w:t xml:space="preserve"> </w:t>
      </w:r>
      <w:r>
        <w:t>to</w:t>
      </w:r>
      <w:r>
        <w:rPr>
          <w:spacing w:val="-3"/>
        </w:rPr>
        <w:t xml:space="preserve"> </w:t>
      </w:r>
      <w:r>
        <w:t>respond</w:t>
      </w:r>
      <w:r>
        <w:rPr>
          <w:spacing w:val="-3"/>
        </w:rPr>
        <w:t xml:space="preserve"> </w:t>
      </w:r>
      <w:r>
        <w:t>to</w:t>
      </w:r>
      <w:r>
        <w:rPr>
          <w:spacing w:val="-6"/>
        </w:rPr>
        <w:t xml:space="preserve"> </w:t>
      </w:r>
      <w:r>
        <w:t>declarations</w:t>
      </w:r>
      <w:r>
        <w:rPr>
          <w:spacing w:val="-5"/>
        </w:rPr>
        <w:t xml:space="preserve"> </w:t>
      </w:r>
      <w:r>
        <w:t>of</w:t>
      </w:r>
      <w:r>
        <w:rPr>
          <w:spacing w:val="-5"/>
        </w:rPr>
        <w:t xml:space="preserve"> </w:t>
      </w:r>
      <w:r>
        <w:rPr>
          <w:spacing w:val="-2"/>
        </w:rPr>
        <w:t>incompatibility.</w:t>
      </w:r>
      <w:r>
        <w:rPr>
          <w:spacing w:val="-2"/>
          <w:position w:val="7"/>
          <w:sz w:val="13"/>
        </w:rPr>
        <w:t>53</w:t>
      </w:r>
    </w:p>
    <w:p w14:paraId="7CB25D10" w14:textId="77777777" w:rsidR="008A4099" w:rsidRDefault="008A4099">
      <w:pPr>
        <w:pStyle w:val="BodyText"/>
        <w:rPr>
          <w:sz w:val="20"/>
        </w:rPr>
      </w:pPr>
    </w:p>
    <w:p w14:paraId="7CB25D11" w14:textId="77777777" w:rsidR="008A4099" w:rsidRDefault="006A6EE2">
      <w:pPr>
        <w:pStyle w:val="BodyText"/>
        <w:spacing w:before="134"/>
        <w:rPr>
          <w:sz w:val="20"/>
        </w:rPr>
      </w:pPr>
      <w:r>
        <w:rPr>
          <w:noProof/>
        </w:rPr>
        <mc:AlternateContent>
          <mc:Choice Requires="wps">
            <w:drawing>
              <wp:anchor distT="0" distB="0" distL="0" distR="0" simplePos="0" relativeHeight="487593472" behindDoc="1" locked="0" layoutInCell="1" allowOverlap="1" wp14:anchorId="7CB265EF" wp14:editId="7CB265F0">
                <wp:simplePos x="0" y="0"/>
                <wp:positionH relativeFrom="page">
                  <wp:posOffset>914704</wp:posOffset>
                </wp:positionH>
                <wp:positionV relativeFrom="paragraph">
                  <wp:posOffset>246591</wp:posOffset>
                </wp:positionV>
                <wp:extent cx="1829435"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956F32" id="Graphic 41" o:spid="_x0000_s1026" style="position:absolute;margin-left:1in;margin-top:19.4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" path="m1829054,l,,,7619r1829054,l1829054,xe" fillcolor="black" stroked="f">
                <v:path arrowok="t"/>
                <w10:wrap type="topAndBottom" anchorx="page"/>
              </v:shape>
            </w:pict>
          </mc:Fallback>
        </mc:AlternateContent>
      </w:r>
    </w:p>
    <w:p w14:paraId="7CB25D12" w14:textId="77777777" w:rsidR="008A4099" w:rsidRDefault="006A6EE2">
      <w:pPr>
        <w:spacing w:before="112"/>
        <w:ind w:left="160"/>
        <w:jc w:val="both"/>
        <w:rPr>
          <w:sz w:val="18"/>
        </w:rPr>
      </w:pPr>
      <w:r>
        <w:rPr>
          <w:sz w:val="18"/>
          <w:vertAlign w:val="superscript"/>
        </w:rPr>
        <w:t>45</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w:t>
      </w:r>
      <w:r>
        <w:rPr>
          <w:spacing w:val="-1"/>
          <w:sz w:val="18"/>
        </w:rPr>
        <w:t xml:space="preserve"> </w:t>
      </w:r>
      <w:r>
        <w:rPr>
          <w:spacing w:val="-5"/>
          <w:sz w:val="18"/>
        </w:rPr>
        <w:t>11.</w:t>
      </w:r>
    </w:p>
    <w:p w14:paraId="7CB25D13" w14:textId="77777777" w:rsidR="008A4099" w:rsidRDefault="006A6EE2">
      <w:pPr>
        <w:spacing w:before="24" w:line="244" w:lineRule="auto"/>
        <w:ind w:left="160" w:right="682"/>
        <w:jc w:val="both"/>
        <w:rPr>
          <w:sz w:val="18"/>
        </w:rPr>
      </w:pPr>
      <w:r>
        <w:rPr>
          <w:sz w:val="18"/>
          <w:vertAlign w:val="superscript"/>
        </w:rPr>
        <w:t>46</w:t>
      </w:r>
      <w:r>
        <w:rPr>
          <w:spacing w:val="-8"/>
          <w:sz w:val="18"/>
        </w:rPr>
        <w:t xml:space="preserve"> </w:t>
      </w:r>
      <w:r>
        <w:rPr>
          <w:sz w:val="18"/>
        </w:rPr>
        <w:t>Ibid</w:t>
      </w:r>
      <w:r>
        <w:rPr>
          <w:spacing w:val="-9"/>
          <w:sz w:val="18"/>
        </w:rPr>
        <w:t xml:space="preserve"> </w:t>
      </w:r>
      <w:r>
        <w:rPr>
          <w:sz w:val="18"/>
        </w:rPr>
        <w:t>[4.11.36]–[4.11.44],</w:t>
      </w:r>
      <w:r>
        <w:rPr>
          <w:spacing w:val="-9"/>
          <w:sz w:val="18"/>
        </w:rPr>
        <w:t xml:space="preserve"> </w:t>
      </w:r>
      <w:r>
        <w:rPr>
          <w:sz w:val="18"/>
        </w:rPr>
        <w:t>Recommendation</w:t>
      </w:r>
      <w:r>
        <w:rPr>
          <w:spacing w:val="-11"/>
          <w:sz w:val="18"/>
        </w:rPr>
        <w:t xml:space="preserve"> </w:t>
      </w:r>
      <w:r>
        <w:rPr>
          <w:sz w:val="18"/>
        </w:rPr>
        <w:t>12.</w:t>
      </w:r>
      <w:r>
        <w:rPr>
          <w:spacing w:val="-9"/>
          <w:sz w:val="18"/>
        </w:rPr>
        <w:t xml:space="preserve"> </w:t>
      </w:r>
      <w:r>
        <w:rPr>
          <w:sz w:val="18"/>
        </w:rPr>
        <w:t>Legislation</w:t>
      </w:r>
      <w:r>
        <w:rPr>
          <w:spacing w:val="-7"/>
          <w:sz w:val="18"/>
        </w:rPr>
        <w:t xml:space="preserve"> </w:t>
      </w:r>
      <w:r>
        <w:rPr>
          <w:sz w:val="18"/>
        </w:rPr>
        <w:t>in</w:t>
      </w:r>
      <w:r>
        <w:rPr>
          <w:spacing w:val="-9"/>
          <w:sz w:val="18"/>
        </w:rPr>
        <w:t xml:space="preserve"> </w:t>
      </w:r>
      <w:r>
        <w:rPr>
          <w:sz w:val="18"/>
        </w:rPr>
        <w:t>all</w:t>
      </w:r>
      <w:r>
        <w:rPr>
          <w:spacing w:val="-10"/>
          <w:sz w:val="18"/>
        </w:rPr>
        <w:t xml:space="preserve"> </w:t>
      </w:r>
      <w:r>
        <w:rPr>
          <w:sz w:val="18"/>
        </w:rPr>
        <w:t>jurisdictions</w:t>
      </w:r>
      <w:r>
        <w:rPr>
          <w:spacing w:val="-8"/>
          <w:sz w:val="18"/>
        </w:rPr>
        <w:t xml:space="preserve"> </w:t>
      </w:r>
      <w:r>
        <w:rPr>
          <w:sz w:val="18"/>
        </w:rPr>
        <w:t>with</w:t>
      </w:r>
      <w:r>
        <w:rPr>
          <w:spacing w:val="-9"/>
          <w:sz w:val="18"/>
        </w:rPr>
        <w:t xml:space="preserve"> </w:t>
      </w:r>
      <w:r>
        <w:rPr>
          <w:sz w:val="18"/>
        </w:rPr>
        <w:t>human</w:t>
      </w:r>
      <w:r>
        <w:rPr>
          <w:spacing w:val="-7"/>
          <w:sz w:val="18"/>
        </w:rPr>
        <w:t xml:space="preserve"> </w:t>
      </w:r>
      <w:r>
        <w:rPr>
          <w:sz w:val="18"/>
        </w:rPr>
        <w:t>rights</w:t>
      </w:r>
      <w:r>
        <w:rPr>
          <w:spacing w:val="-10"/>
          <w:sz w:val="18"/>
        </w:rPr>
        <w:t xml:space="preserve"> </w:t>
      </w:r>
      <w:r>
        <w:rPr>
          <w:sz w:val="18"/>
        </w:rPr>
        <w:t>enactments</w:t>
      </w:r>
      <w:r>
        <w:rPr>
          <w:spacing w:val="-8"/>
          <w:sz w:val="18"/>
        </w:rPr>
        <w:t xml:space="preserve"> </w:t>
      </w:r>
      <w:r>
        <w:rPr>
          <w:sz w:val="18"/>
        </w:rPr>
        <w:t>provides</w:t>
      </w:r>
      <w:r>
        <w:rPr>
          <w:spacing w:val="-8"/>
          <w:sz w:val="18"/>
        </w:rPr>
        <w:t xml:space="preserve"> </w:t>
      </w:r>
      <w:r>
        <w:rPr>
          <w:sz w:val="18"/>
        </w:rPr>
        <w:t>courts with discretion to make a declaration of incompatibility and trigger ‘dialogue’ with Parliament.</w:t>
      </w:r>
    </w:p>
    <w:p w14:paraId="7CB25D14" w14:textId="77777777" w:rsidR="008A4099" w:rsidRDefault="006A6EE2">
      <w:pPr>
        <w:spacing w:before="15" w:line="242" w:lineRule="auto"/>
        <w:ind w:left="160" w:right="675"/>
        <w:jc w:val="both"/>
        <w:rPr>
          <w:sz w:val="18"/>
        </w:rPr>
      </w:pPr>
      <w:r>
        <w:rPr>
          <w:sz w:val="18"/>
          <w:vertAlign w:val="superscript"/>
        </w:rPr>
        <w:t>47</w:t>
      </w:r>
      <w:r>
        <w:rPr>
          <w:spacing w:val="-12"/>
          <w:sz w:val="18"/>
        </w:rPr>
        <w:t xml:space="preserve"> </w:t>
      </w:r>
      <w:r>
        <w:rPr>
          <w:sz w:val="18"/>
        </w:rPr>
        <w:t>The</w:t>
      </w:r>
      <w:r>
        <w:rPr>
          <w:spacing w:val="-11"/>
          <w:sz w:val="18"/>
        </w:rPr>
        <w:t xml:space="preserve"> </w:t>
      </w:r>
      <w:r>
        <w:rPr>
          <w:sz w:val="18"/>
        </w:rPr>
        <w:t>recommendation</w:t>
      </w:r>
      <w:r>
        <w:rPr>
          <w:spacing w:val="-11"/>
          <w:sz w:val="18"/>
        </w:rPr>
        <w:t xml:space="preserve"> </w:t>
      </w:r>
      <w:r>
        <w:rPr>
          <w:sz w:val="18"/>
        </w:rPr>
        <w:t>was</w:t>
      </w:r>
      <w:r>
        <w:rPr>
          <w:spacing w:val="-11"/>
          <w:sz w:val="18"/>
        </w:rPr>
        <w:t xml:space="preserve"> </w:t>
      </w:r>
      <w:r>
        <w:rPr>
          <w:sz w:val="18"/>
        </w:rPr>
        <w:t>made</w:t>
      </w:r>
      <w:r>
        <w:rPr>
          <w:spacing w:val="-11"/>
          <w:sz w:val="18"/>
        </w:rPr>
        <w:t xml:space="preserve"> </w:t>
      </w:r>
      <w:r>
        <w:rPr>
          <w:sz w:val="18"/>
        </w:rPr>
        <w:t>‘on</w:t>
      </w:r>
      <w:r>
        <w:rPr>
          <w:spacing w:val="-10"/>
          <w:sz w:val="18"/>
        </w:rPr>
        <w:t xml:space="preserve"> </w:t>
      </w:r>
      <w:r>
        <w:rPr>
          <w:sz w:val="18"/>
        </w:rPr>
        <w:t>the</w:t>
      </w:r>
      <w:r>
        <w:rPr>
          <w:spacing w:val="-12"/>
          <w:sz w:val="18"/>
        </w:rPr>
        <w:t xml:space="preserve"> </w:t>
      </w:r>
      <w:r>
        <w:rPr>
          <w:sz w:val="18"/>
        </w:rPr>
        <w:t>proviso</w:t>
      </w:r>
      <w:r>
        <w:rPr>
          <w:spacing w:val="-9"/>
          <w:sz w:val="18"/>
        </w:rPr>
        <w:t xml:space="preserve"> </w:t>
      </w:r>
      <w:r>
        <w:rPr>
          <w:sz w:val="18"/>
        </w:rPr>
        <w:t>that</w:t>
      </w:r>
      <w:r>
        <w:rPr>
          <w:spacing w:val="-11"/>
          <w:sz w:val="18"/>
        </w:rPr>
        <w:t xml:space="preserve"> </w:t>
      </w:r>
      <w:r>
        <w:rPr>
          <w:sz w:val="18"/>
        </w:rPr>
        <w:t>such</w:t>
      </w:r>
      <w:r>
        <w:rPr>
          <w:spacing w:val="-10"/>
          <w:sz w:val="18"/>
        </w:rPr>
        <w:t xml:space="preserve"> </w:t>
      </w:r>
      <w:r>
        <w:rPr>
          <w:sz w:val="18"/>
        </w:rPr>
        <w:t>[delegated]</w:t>
      </w:r>
      <w:r>
        <w:rPr>
          <w:spacing w:val="-10"/>
          <w:sz w:val="18"/>
        </w:rPr>
        <w:t xml:space="preserve"> </w:t>
      </w:r>
      <w:r>
        <w:rPr>
          <w:sz w:val="18"/>
        </w:rPr>
        <w:t>legislation</w:t>
      </w:r>
      <w:r>
        <w:rPr>
          <w:spacing w:val="-10"/>
          <w:sz w:val="18"/>
        </w:rPr>
        <w:t xml:space="preserve"> </w:t>
      </w:r>
      <w:r>
        <w:rPr>
          <w:sz w:val="18"/>
        </w:rPr>
        <w:t>may</w:t>
      </w:r>
      <w:r>
        <w:rPr>
          <w:spacing w:val="-12"/>
          <w:sz w:val="18"/>
        </w:rPr>
        <w:t xml:space="preserve"> </w:t>
      </w:r>
      <w:r>
        <w:rPr>
          <w:sz w:val="18"/>
        </w:rPr>
        <w:t>be</w:t>
      </w:r>
      <w:r>
        <w:rPr>
          <w:spacing w:val="-11"/>
          <w:sz w:val="18"/>
        </w:rPr>
        <w:t xml:space="preserve"> </w:t>
      </w:r>
      <w:r>
        <w:rPr>
          <w:sz w:val="18"/>
        </w:rPr>
        <w:t>reinstated</w:t>
      </w:r>
      <w:r>
        <w:rPr>
          <w:spacing w:val="-11"/>
          <w:sz w:val="18"/>
        </w:rPr>
        <w:t xml:space="preserve"> </w:t>
      </w:r>
      <w:r>
        <w:rPr>
          <w:sz w:val="18"/>
        </w:rPr>
        <w:t>by</w:t>
      </w:r>
      <w:r>
        <w:rPr>
          <w:spacing w:val="-11"/>
          <w:sz w:val="18"/>
        </w:rPr>
        <w:t xml:space="preserve"> </w:t>
      </w:r>
      <w:r>
        <w:rPr>
          <w:sz w:val="18"/>
        </w:rPr>
        <w:t>the</w:t>
      </w:r>
      <w:r>
        <w:rPr>
          <w:spacing w:val="-12"/>
          <w:sz w:val="18"/>
        </w:rPr>
        <w:t xml:space="preserve"> </w:t>
      </w:r>
      <w:r>
        <w:rPr>
          <w:sz w:val="18"/>
        </w:rPr>
        <w:t>legislature</w:t>
      </w:r>
      <w:r>
        <w:rPr>
          <w:spacing w:val="-11"/>
          <w:sz w:val="18"/>
        </w:rPr>
        <w:t xml:space="preserve"> </w:t>
      </w:r>
      <w:r>
        <w:rPr>
          <w:sz w:val="18"/>
        </w:rPr>
        <w:t>enacting authorising legislation explicitly</w:t>
      </w:r>
      <w:r>
        <w:rPr>
          <w:spacing w:val="-2"/>
          <w:sz w:val="18"/>
        </w:rPr>
        <w:t xml:space="preserve"> </w:t>
      </w:r>
      <w:r>
        <w:rPr>
          <w:sz w:val="18"/>
        </w:rPr>
        <w:t>allowing for</w:t>
      </w:r>
      <w:r>
        <w:rPr>
          <w:spacing w:val="-1"/>
          <w:sz w:val="18"/>
        </w:rPr>
        <w:t xml:space="preserve"> </w:t>
      </w:r>
      <w:r>
        <w:rPr>
          <w:sz w:val="18"/>
        </w:rPr>
        <w:t>the</w:t>
      </w:r>
      <w:r>
        <w:rPr>
          <w:spacing w:val="-1"/>
          <w:sz w:val="18"/>
        </w:rPr>
        <w:t xml:space="preserve"> </w:t>
      </w:r>
      <w:r>
        <w:rPr>
          <w:sz w:val="18"/>
        </w:rPr>
        <w:t>inconsistency’. TLRI 2007 Final Report, Recommendation 12, [4.11.35]</w:t>
      </w:r>
      <w:r>
        <w:rPr>
          <w:spacing w:val="-1"/>
          <w:sz w:val="18"/>
        </w:rPr>
        <w:t xml:space="preserve"> </w:t>
      </w:r>
      <w:r>
        <w:rPr>
          <w:sz w:val="18"/>
        </w:rPr>
        <w:t xml:space="preserve">&amp; </w:t>
      </w:r>
      <w:r>
        <w:rPr>
          <w:spacing w:val="-2"/>
          <w:sz w:val="18"/>
        </w:rPr>
        <w:t>[4.11.43].</w:t>
      </w:r>
    </w:p>
    <w:p w14:paraId="7CB25D15" w14:textId="77777777" w:rsidR="008A4099" w:rsidRDefault="006A6EE2">
      <w:pPr>
        <w:spacing w:line="206" w:lineRule="exact"/>
        <w:ind w:left="160"/>
        <w:jc w:val="both"/>
        <w:rPr>
          <w:sz w:val="18"/>
        </w:rPr>
      </w:pPr>
      <w:r>
        <w:rPr>
          <w:position w:val="6"/>
          <w:sz w:val="12"/>
        </w:rPr>
        <w:t>48</w:t>
      </w:r>
      <w:r>
        <w:rPr>
          <w:spacing w:val="13"/>
          <w:position w:val="6"/>
          <w:sz w:val="12"/>
        </w:rPr>
        <w:t xml:space="preserve"> </w:t>
      </w:r>
      <w:r>
        <w:rPr>
          <w:sz w:val="18"/>
        </w:rPr>
        <w:t>Ibid</w:t>
      </w:r>
      <w:r>
        <w:rPr>
          <w:spacing w:val="-2"/>
          <w:sz w:val="18"/>
        </w:rPr>
        <w:t xml:space="preserve"> </w:t>
      </w:r>
      <w:r>
        <w:rPr>
          <w:sz w:val="18"/>
        </w:rPr>
        <w:t>Recommendation</w:t>
      </w:r>
      <w:r>
        <w:rPr>
          <w:spacing w:val="-1"/>
          <w:sz w:val="18"/>
        </w:rPr>
        <w:t xml:space="preserve"> </w:t>
      </w:r>
      <w:r>
        <w:rPr>
          <w:sz w:val="18"/>
        </w:rPr>
        <w:t>19, [4.18.1]–[4.18.10].</w:t>
      </w:r>
      <w:r>
        <w:rPr>
          <w:spacing w:val="-3"/>
          <w:sz w:val="18"/>
        </w:rPr>
        <w:t xml:space="preserve"> </w:t>
      </w:r>
      <w:r>
        <w:rPr>
          <w:sz w:val="18"/>
        </w:rPr>
        <w:t>See</w:t>
      </w:r>
      <w:r>
        <w:rPr>
          <w:spacing w:val="-3"/>
          <w:sz w:val="18"/>
        </w:rPr>
        <w:t xml:space="preserve"> </w:t>
      </w:r>
      <w:r>
        <w:rPr>
          <w:sz w:val="18"/>
        </w:rPr>
        <w:t>further</w:t>
      </w:r>
      <w:r>
        <w:rPr>
          <w:spacing w:val="-1"/>
          <w:sz w:val="18"/>
        </w:rPr>
        <w:t xml:space="preserve"> </w:t>
      </w:r>
      <w:r>
        <w:rPr>
          <w:sz w:val="18"/>
        </w:rPr>
        <w:t>at</w:t>
      </w:r>
      <w:r>
        <w:rPr>
          <w:spacing w:val="-1"/>
          <w:sz w:val="18"/>
        </w:rPr>
        <w:t xml:space="preserve"> </w:t>
      </w:r>
      <w:r>
        <w:rPr>
          <w:spacing w:val="-2"/>
          <w:sz w:val="18"/>
        </w:rPr>
        <w:t>[4.5.1]–[4.5.12].</w:t>
      </w:r>
    </w:p>
    <w:p w14:paraId="7CB25D16" w14:textId="77777777" w:rsidR="008A4099" w:rsidRDefault="006A6EE2">
      <w:pPr>
        <w:spacing w:before="19"/>
        <w:ind w:left="160"/>
        <w:jc w:val="both"/>
        <w:rPr>
          <w:sz w:val="18"/>
        </w:rPr>
      </w:pPr>
      <w:r>
        <w:rPr>
          <w:w w:val="105"/>
          <w:sz w:val="18"/>
          <w:vertAlign w:val="superscript"/>
        </w:rPr>
        <w:t>49</w:t>
      </w:r>
      <w:r>
        <w:rPr>
          <w:w w:val="105"/>
          <w:sz w:val="18"/>
        </w:rPr>
        <w:t xml:space="preserve"> </w:t>
      </w:r>
      <w:r>
        <w:rPr>
          <w:spacing w:val="-2"/>
          <w:w w:val="105"/>
          <w:sz w:val="18"/>
        </w:rPr>
        <w:t>Ibid.</w:t>
      </w:r>
    </w:p>
    <w:p w14:paraId="7CB25D17" w14:textId="77777777" w:rsidR="008A4099" w:rsidRDefault="006A6EE2">
      <w:pPr>
        <w:spacing w:before="23"/>
        <w:ind w:left="160"/>
        <w:jc w:val="both"/>
        <w:rPr>
          <w:sz w:val="18"/>
        </w:rPr>
      </w:pPr>
      <w:r>
        <w:rPr>
          <w:sz w:val="18"/>
          <w:vertAlign w:val="superscript"/>
        </w:rPr>
        <w:t>50</w:t>
      </w:r>
      <w:r>
        <w:rPr>
          <w:spacing w:val="1"/>
          <w:sz w:val="18"/>
        </w:rPr>
        <w:t xml:space="preserve"> </w:t>
      </w:r>
      <w:r>
        <w:rPr>
          <w:sz w:val="18"/>
        </w:rPr>
        <w:t>See further</w:t>
      </w:r>
      <w:r>
        <w:rPr>
          <w:spacing w:val="1"/>
          <w:sz w:val="18"/>
        </w:rPr>
        <w:t xml:space="preserve"> </w:t>
      </w:r>
      <w:r>
        <w:rPr>
          <w:sz w:val="18"/>
        </w:rPr>
        <w:t>at</w:t>
      </w:r>
      <w:r>
        <w:rPr>
          <w:spacing w:val="-1"/>
          <w:sz w:val="18"/>
        </w:rPr>
        <w:t xml:space="preserve"> </w:t>
      </w:r>
      <w:r>
        <w:rPr>
          <w:sz w:val="18"/>
        </w:rPr>
        <w:t>[4.5.2]</w:t>
      </w:r>
      <w:r>
        <w:rPr>
          <w:spacing w:val="2"/>
          <w:sz w:val="18"/>
        </w:rPr>
        <w:t xml:space="preserve"> </w:t>
      </w:r>
      <w:r>
        <w:rPr>
          <w:sz w:val="18"/>
        </w:rPr>
        <w:t xml:space="preserve">&amp; </w:t>
      </w:r>
      <w:r>
        <w:rPr>
          <w:spacing w:val="-2"/>
          <w:sz w:val="18"/>
        </w:rPr>
        <w:t>[4.5.6].</w:t>
      </w:r>
    </w:p>
    <w:p w14:paraId="7CB25D18" w14:textId="77777777" w:rsidR="008A4099" w:rsidRDefault="006A6EE2">
      <w:pPr>
        <w:spacing w:before="21" w:line="242" w:lineRule="auto"/>
        <w:ind w:left="160" w:right="682"/>
        <w:jc w:val="both"/>
        <w:rPr>
          <w:sz w:val="18"/>
        </w:rPr>
      </w:pPr>
      <w:r>
        <w:rPr>
          <w:sz w:val="18"/>
          <w:vertAlign w:val="superscript"/>
        </w:rPr>
        <w:t>51</w:t>
      </w:r>
      <w:r>
        <w:rPr>
          <w:sz w:val="18"/>
        </w:rPr>
        <w:t xml:space="preserve"> TLRI 2007 Final Report, Part 14.3, Recommendation 13. The TLRI recommended that, ‘The extent to which such plans have been developed and implemented should be considered in the periodic reviews of the Charter’s operation. If it is clear after the second review of the Charter that no action has been taken in this regard, then consideration should be given to including the requirement for such plans in the Charter’. TLRI 2007 Final Report 9.</w:t>
      </w:r>
    </w:p>
    <w:p w14:paraId="7CB25D19" w14:textId="77777777" w:rsidR="008A4099" w:rsidRDefault="006A6EE2">
      <w:pPr>
        <w:spacing w:before="16"/>
        <w:ind w:left="160"/>
        <w:jc w:val="both"/>
        <w:rPr>
          <w:sz w:val="18"/>
        </w:rPr>
      </w:pPr>
      <w:r>
        <w:rPr>
          <w:sz w:val="18"/>
          <w:vertAlign w:val="superscript"/>
        </w:rPr>
        <w:t>52</w:t>
      </w:r>
      <w:r>
        <w:rPr>
          <w:sz w:val="18"/>
        </w:rPr>
        <w:t xml:space="preserve"> Ibid Recommendations</w:t>
      </w:r>
      <w:r>
        <w:rPr>
          <w:spacing w:val="1"/>
          <w:sz w:val="18"/>
        </w:rPr>
        <w:t xml:space="preserve"> </w:t>
      </w:r>
      <w:r>
        <w:rPr>
          <w:sz w:val="18"/>
        </w:rPr>
        <w:t>10</w:t>
      </w:r>
      <w:r>
        <w:rPr>
          <w:spacing w:val="1"/>
          <w:sz w:val="18"/>
        </w:rPr>
        <w:t xml:space="preserve"> </w:t>
      </w:r>
      <w:r>
        <w:rPr>
          <w:sz w:val="18"/>
        </w:rPr>
        <w:t xml:space="preserve">&amp; </w:t>
      </w:r>
      <w:r>
        <w:rPr>
          <w:spacing w:val="-5"/>
          <w:sz w:val="18"/>
        </w:rPr>
        <w:t>13.</w:t>
      </w:r>
    </w:p>
    <w:p w14:paraId="7CB25D1A" w14:textId="77777777" w:rsidR="008A4099" w:rsidRDefault="006A6EE2">
      <w:pPr>
        <w:spacing w:before="23"/>
        <w:ind w:left="160"/>
        <w:jc w:val="both"/>
        <w:rPr>
          <w:sz w:val="18"/>
        </w:rPr>
      </w:pPr>
      <w:r>
        <w:rPr>
          <w:sz w:val="18"/>
          <w:vertAlign w:val="superscript"/>
        </w:rPr>
        <w:t>53</w:t>
      </w:r>
      <w:r>
        <w:rPr>
          <w:spacing w:val="-1"/>
          <w:sz w:val="18"/>
        </w:rPr>
        <w:t xml:space="preserve"> </w:t>
      </w:r>
      <w:r>
        <w:rPr>
          <w:sz w:val="18"/>
        </w:rPr>
        <w:t>TLRI</w:t>
      </w:r>
      <w:r>
        <w:rPr>
          <w:spacing w:val="-1"/>
          <w:sz w:val="18"/>
        </w:rPr>
        <w:t xml:space="preserve"> </w:t>
      </w:r>
      <w:r>
        <w:rPr>
          <w:sz w:val="18"/>
        </w:rPr>
        <w:t>2007 Final</w:t>
      </w:r>
      <w:r>
        <w:rPr>
          <w:spacing w:val="-1"/>
          <w:sz w:val="18"/>
        </w:rPr>
        <w:t xml:space="preserve"> </w:t>
      </w:r>
      <w:r>
        <w:rPr>
          <w:sz w:val="18"/>
        </w:rPr>
        <w:t>Report</w:t>
      </w:r>
      <w:r>
        <w:rPr>
          <w:spacing w:val="-1"/>
          <w:sz w:val="18"/>
        </w:rPr>
        <w:t xml:space="preserve"> </w:t>
      </w:r>
      <w:r>
        <w:rPr>
          <w:sz w:val="18"/>
        </w:rPr>
        <w:t>[4.13.4],</w:t>
      </w:r>
      <w:r>
        <w:rPr>
          <w:spacing w:val="-1"/>
          <w:sz w:val="18"/>
        </w:rPr>
        <w:t xml:space="preserve"> </w:t>
      </w:r>
      <w:r>
        <w:rPr>
          <w:sz w:val="18"/>
        </w:rPr>
        <w:t>Recommendation</w:t>
      </w:r>
      <w:r>
        <w:rPr>
          <w:spacing w:val="-2"/>
          <w:sz w:val="18"/>
        </w:rPr>
        <w:t xml:space="preserve"> </w:t>
      </w:r>
      <w:r>
        <w:rPr>
          <w:spacing w:val="-5"/>
          <w:sz w:val="18"/>
        </w:rPr>
        <w:t>13.</w:t>
      </w:r>
    </w:p>
    <w:p w14:paraId="7CB25D1B"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D1C" w14:textId="77777777" w:rsidR="008A4099" w:rsidRDefault="008A4099">
      <w:pPr>
        <w:pStyle w:val="BodyText"/>
        <w:spacing w:before="194"/>
      </w:pPr>
    </w:p>
    <w:p w14:paraId="7CB25D1D" w14:textId="77777777" w:rsidR="008A4099" w:rsidRDefault="006A6EE2">
      <w:pPr>
        <w:pStyle w:val="ListParagraph"/>
        <w:numPr>
          <w:ilvl w:val="2"/>
          <w:numId w:val="11"/>
        </w:numPr>
        <w:tabs>
          <w:tab w:val="left" w:pos="879"/>
        </w:tabs>
        <w:spacing w:before="1"/>
        <w:ind w:right="677" w:firstLine="0"/>
        <w:jc w:val="both"/>
      </w:pPr>
      <w:r>
        <w:t>The Executive would not bear any direct liability or responsibility for actions taken under legislation that was incompatible with human rights, and legislation would not be invalidated due to any</w:t>
      </w:r>
      <w:r>
        <w:rPr>
          <w:spacing w:val="-13"/>
        </w:rPr>
        <w:t xml:space="preserve"> </w:t>
      </w:r>
      <w:r>
        <w:t>apparent</w:t>
      </w:r>
      <w:r>
        <w:rPr>
          <w:spacing w:val="-13"/>
        </w:rPr>
        <w:t xml:space="preserve"> </w:t>
      </w:r>
      <w:r>
        <w:t>breach</w:t>
      </w:r>
      <w:r>
        <w:rPr>
          <w:spacing w:val="-14"/>
        </w:rPr>
        <w:t xml:space="preserve"> </w:t>
      </w:r>
      <w:r>
        <w:t>of</w:t>
      </w:r>
      <w:r>
        <w:rPr>
          <w:spacing w:val="-13"/>
        </w:rPr>
        <w:t xml:space="preserve"> </w:t>
      </w:r>
      <w:r>
        <w:t>human</w:t>
      </w:r>
      <w:r>
        <w:rPr>
          <w:spacing w:val="-12"/>
        </w:rPr>
        <w:t xml:space="preserve"> </w:t>
      </w:r>
      <w:r>
        <w:t>rights.</w:t>
      </w:r>
      <w:r>
        <w:rPr>
          <w:spacing w:val="-11"/>
        </w:rPr>
        <w:t xml:space="preserve"> </w:t>
      </w:r>
      <w:r>
        <w:t>Consistent</w:t>
      </w:r>
      <w:r>
        <w:rPr>
          <w:spacing w:val="-13"/>
        </w:rPr>
        <w:t xml:space="preserve"> </w:t>
      </w:r>
      <w:r>
        <w:t>with</w:t>
      </w:r>
      <w:r>
        <w:rPr>
          <w:spacing w:val="-14"/>
        </w:rPr>
        <w:t xml:space="preserve"> </w:t>
      </w:r>
      <w:r>
        <w:t>maintaining</w:t>
      </w:r>
      <w:r>
        <w:rPr>
          <w:spacing w:val="-14"/>
        </w:rPr>
        <w:t xml:space="preserve"> </w:t>
      </w:r>
      <w:r>
        <w:t>the</w:t>
      </w:r>
      <w:r>
        <w:rPr>
          <w:spacing w:val="-12"/>
        </w:rPr>
        <w:t xml:space="preserve"> </w:t>
      </w:r>
      <w:r>
        <w:t>supremacy</w:t>
      </w:r>
      <w:r>
        <w:rPr>
          <w:spacing w:val="-12"/>
        </w:rPr>
        <w:t xml:space="preserve"> </w:t>
      </w:r>
      <w:r>
        <w:t>of</w:t>
      </w:r>
      <w:r>
        <w:rPr>
          <w:spacing w:val="-13"/>
        </w:rPr>
        <w:t xml:space="preserve"> </w:t>
      </w:r>
      <w:r>
        <w:t>Parliament,</w:t>
      </w:r>
      <w:r>
        <w:rPr>
          <w:spacing w:val="-14"/>
        </w:rPr>
        <w:t xml:space="preserve"> </w:t>
      </w:r>
      <w:r>
        <w:t>Charter legislation would not compel the Executive to direct funding to particular outcomes or to authorise expenditure, other than with the approval of Parliament.</w:t>
      </w:r>
    </w:p>
    <w:p w14:paraId="7CB25D1E" w14:textId="77777777" w:rsidR="008A4099" w:rsidRDefault="006A6EE2">
      <w:pPr>
        <w:pStyle w:val="ListParagraph"/>
        <w:numPr>
          <w:ilvl w:val="2"/>
          <w:numId w:val="11"/>
        </w:numPr>
        <w:tabs>
          <w:tab w:val="left" w:pos="879"/>
        </w:tabs>
        <w:spacing w:before="215"/>
        <w:ind w:right="679" w:firstLine="0"/>
        <w:jc w:val="both"/>
        <w:rPr>
          <w:sz w:val="13"/>
        </w:rPr>
      </w:pPr>
      <w:r>
        <w:t>However, the TLRI was of the view that requiring both Human Rights Statements of Compatibility and Human Rights Action Plans could catalyse a cultural shift by integrating human rights consideration and compliance into decision-making and service delivery across all areas of Executive responsibility.</w:t>
      </w:r>
      <w:r>
        <w:rPr>
          <w:position w:val="7"/>
          <w:sz w:val="13"/>
        </w:rPr>
        <w:t>54</w:t>
      </w:r>
    </w:p>
    <w:p w14:paraId="7CB25D1F" w14:textId="77777777" w:rsidR="008A4099" w:rsidRDefault="006A6EE2">
      <w:pPr>
        <w:pStyle w:val="Heading4"/>
        <w:spacing w:before="236"/>
      </w:pPr>
      <w:bookmarkStart w:id="9" w:name="_TOC_250051"/>
      <w:r>
        <w:t>What</w:t>
      </w:r>
      <w:r>
        <w:rPr>
          <w:spacing w:val="-5"/>
        </w:rPr>
        <w:t xml:space="preserve"> </w:t>
      </w:r>
      <w:r>
        <w:t>rights</w:t>
      </w:r>
      <w:r>
        <w:rPr>
          <w:spacing w:val="-2"/>
        </w:rPr>
        <w:t xml:space="preserve"> </w:t>
      </w:r>
      <w:r>
        <w:t>should</w:t>
      </w:r>
      <w:r>
        <w:rPr>
          <w:spacing w:val="-2"/>
        </w:rPr>
        <w:t xml:space="preserve"> </w:t>
      </w:r>
      <w:r>
        <w:t>the</w:t>
      </w:r>
      <w:r>
        <w:rPr>
          <w:spacing w:val="-3"/>
        </w:rPr>
        <w:t xml:space="preserve"> </w:t>
      </w:r>
      <w:r>
        <w:t>proposed</w:t>
      </w:r>
      <w:r>
        <w:rPr>
          <w:spacing w:val="-2"/>
        </w:rPr>
        <w:t xml:space="preserve"> </w:t>
      </w:r>
      <w:r>
        <w:t>Charter</w:t>
      </w:r>
      <w:bookmarkEnd w:id="9"/>
      <w:r>
        <w:rPr>
          <w:spacing w:val="-2"/>
        </w:rPr>
        <w:t xml:space="preserve"> protect?</w:t>
      </w:r>
    </w:p>
    <w:p w14:paraId="7CB25D20" w14:textId="77777777" w:rsidR="008A4099" w:rsidRDefault="006A6EE2">
      <w:pPr>
        <w:pStyle w:val="ListParagraph"/>
        <w:numPr>
          <w:ilvl w:val="2"/>
          <w:numId w:val="11"/>
        </w:numPr>
        <w:tabs>
          <w:tab w:val="left" w:pos="879"/>
        </w:tabs>
        <w:spacing w:before="259"/>
        <w:ind w:right="675" w:firstLine="0"/>
        <w:jc w:val="both"/>
        <w:rPr>
          <w:sz w:val="13"/>
        </w:rPr>
      </w:pPr>
      <w:r>
        <w:t xml:space="preserve">The TLRI 2007 Final Report recommended that a Tasmanian Charter of Rights include the rights contained in the </w:t>
      </w:r>
      <w:r>
        <w:rPr>
          <w:i/>
        </w:rPr>
        <w:t>International Covenant on Civil and Political Rights</w:t>
      </w:r>
      <w:r>
        <w:rPr>
          <w:position w:val="7"/>
          <w:sz w:val="13"/>
        </w:rPr>
        <w:t>55</w:t>
      </w:r>
      <w:r>
        <w:rPr>
          <w:spacing w:val="40"/>
          <w:position w:val="7"/>
          <w:sz w:val="13"/>
        </w:rPr>
        <w:t xml:space="preserve"> </w:t>
      </w:r>
      <w:r>
        <w:t xml:space="preserve">(‘ICCPR’) and the </w:t>
      </w:r>
      <w:r>
        <w:rPr>
          <w:i/>
        </w:rPr>
        <w:t>International Covenant on Economic, Social and Cultural Rights</w:t>
      </w:r>
      <w:r>
        <w:rPr>
          <w:position w:val="7"/>
          <w:sz w:val="13"/>
        </w:rPr>
        <w:t>56</w:t>
      </w:r>
      <w:r>
        <w:rPr>
          <w:spacing w:val="40"/>
          <w:position w:val="7"/>
          <w:sz w:val="13"/>
        </w:rPr>
        <w:t xml:space="preserve"> </w:t>
      </w:r>
      <w:r>
        <w:rPr>
          <w:sz w:val="20"/>
        </w:rPr>
        <w:t>(‘</w:t>
      </w:r>
      <w:r>
        <w:t>ICESCR’) (subject to modifications as required) (see Appendix B).</w:t>
      </w:r>
      <w:r>
        <w:rPr>
          <w:position w:val="7"/>
          <w:sz w:val="13"/>
        </w:rPr>
        <w:t>57</w:t>
      </w:r>
      <w:r>
        <w:rPr>
          <w:spacing w:val="40"/>
          <w:position w:val="7"/>
          <w:sz w:val="13"/>
        </w:rPr>
        <w:t xml:space="preserve"> </w:t>
      </w:r>
      <w:r>
        <w:t>Its view was that both sets of rights are inherently intertwined</w:t>
      </w:r>
      <w:r>
        <w:rPr>
          <w:spacing w:val="-4"/>
        </w:rPr>
        <w:t xml:space="preserve"> </w:t>
      </w:r>
      <w:r>
        <w:t>and</w:t>
      </w:r>
      <w:r>
        <w:rPr>
          <w:spacing w:val="-5"/>
        </w:rPr>
        <w:t xml:space="preserve"> </w:t>
      </w:r>
      <w:r>
        <w:t>that</w:t>
      </w:r>
      <w:r>
        <w:rPr>
          <w:spacing w:val="-4"/>
        </w:rPr>
        <w:t xml:space="preserve"> </w:t>
      </w:r>
      <w:r>
        <w:t>it</w:t>
      </w:r>
      <w:r>
        <w:rPr>
          <w:spacing w:val="-4"/>
        </w:rPr>
        <w:t xml:space="preserve"> </w:t>
      </w:r>
      <w:r>
        <w:t>is</w:t>
      </w:r>
      <w:r>
        <w:rPr>
          <w:spacing w:val="-4"/>
        </w:rPr>
        <w:t xml:space="preserve"> </w:t>
      </w:r>
      <w:r>
        <w:t>artificial</w:t>
      </w:r>
      <w:r>
        <w:rPr>
          <w:spacing w:val="-4"/>
        </w:rPr>
        <w:t xml:space="preserve"> </w:t>
      </w:r>
      <w:r>
        <w:t>to</w:t>
      </w:r>
      <w:r>
        <w:rPr>
          <w:spacing w:val="-5"/>
        </w:rPr>
        <w:t xml:space="preserve"> </w:t>
      </w:r>
      <w:r>
        <w:t>ignore</w:t>
      </w:r>
      <w:r>
        <w:rPr>
          <w:spacing w:val="-4"/>
        </w:rPr>
        <w:t xml:space="preserve"> </w:t>
      </w:r>
      <w:r>
        <w:t>one.</w:t>
      </w:r>
      <w:r>
        <w:rPr>
          <w:spacing w:val="-4"/>
        </w:rPr>
        <w:t xml:space="preserve"> </w:t>
      </w:r>
      <w:r>
        <w:t>Experience</w:t>
      </w:r>
      <w:r>
        <w:rPr>
          <w:spacing w:val="-4"/>
        </w:rPr>
        <w:t xml:space="preserve"> </w:t>
      </w:r>
      <w:r>
        <w:t>in</w:t>
      </w:r>
      <w:r>
        <w:rPr>
          <w:spacing w:val="-5"/>
        </w:rPr>
        <w:t xml:space="preserve"> </w:t>
      </w:r>
      <w:r>
        <w:t>other</w:t>
      </w:r>
      <w:r>
        <w:rPr>
          <w:spacing w:val="-4"/>
        </w:rPr>
        <w:t xml:space="preserve"> </w:t>
      </w:r>
      <w:r>
        <w:t>jurisdictions</w:t>
      </w:r>
      <w:r>
        <w:rPr>
          <w:spacing w:val="-4"/>
        </w:rPr>
        <w:t xml:space="preserve"> </w:t>
      </w:r>
      <w:r>
        <w:t>has</w:t>
      </w:r>
      <w:r>
        <w:rPr>
          <w:spacing w:val="-4"/>
        </w:rPr>
        <w:t xml:space="preserve"> </w:t>
      </w:r>
      <w:r>
        <w:t>shown</w:t>
      </w:r>
      <w:r>
        <w:rPr>
          <w:spacing w:val="-5"/>
        </w:rPr>
        <w:t xml:space="preserve"> </w:t>
      </w:r>
      <w:r>
        <w:t>that</w:t>
      </w:r>
      <w:r>
        <w:rPr>
          <w:spacing w:val="-4"/>
        </w:rPr>
        <w:t xml:space="preserve"> </w:t>
      </w:r>
      <w:r>
        <w:t>rights are inherently indivisible, which means that, inevitably, civil and political rights are interpreted to protect economic, social, and cultural rights.</w:t>
      </w:r>
      <w:r>
        <w:rPr>
          <w:position w:val="7"/>
          <w:sz w:val="13"/>
        </w:rPr>
        <w:t>58</w:t>
      </w:r>
    </w:p>
    <w:p w14:paraId="7CB25D21" w14:textId="77777777" w:rsidR="008A4099" w:rsidRDefault="006A6EE2">
      <w:pPr>
        <w:pStyle w:val="ListParagraph"/>
        <w:numPr>
          <w:ilvl w:val="2"/>
          <w:numId w:val="11"/>
        </w:numPr>
        <w:tabs>
          <w:tab w:val="left" w:pos="879"/>
        </w:tabs>
        <w:spacing w:before="218"/>
        <w:ind w:right="679" w:firstLine="0"/>
        <w:jc w:val="both"/>
        <w:rPr>
          <w:sz w:val="13"/>
        </w:rPr>
      </w:pPr>
      <w:r>
        <w:t>The</w:t>
      </w:r>
      <w:r>
        <w:rPr>
          <w:spacing w:val="-6"/>
        </w:rPr>
        <w:t xml:space="preserve"> </w:t>
      </w:r>
      <w:r>
        <w:t>TLRI</w:t>
      </w:r>
      <w:r>
        <w:rPr>
          <w:spacing w:val="-8"/>
        </w:rPr>
        <w:t xml:space="preserve"> </w:t>
      </w:r>
      <w:r>
        <w:t>did</w:t>
      </w:r>
      <w:r>
        <w:rPr>
          <w:spacing w:val="-6"/>
        </w:rPr>
        <w:t xml:space="preserve"> </w:t>
      </w:r>
      <w:r>
        <w:t>not</w:t>
      </w:r>
      <w:r>
        <w:rPr>
          <w:spacing w:val="-6"/>
        </w:rPr>
        <w:t xml:space="preserve"> </w:t>
      </w:r>
      <w:r>
        <w:t>believe</w:t>
      </w:r>
      <w:r>
        <w:rPr>
          <w:spacing w:val="-6"/>
        </w:rPr>
        <w:t xml:space="preserve"> </w:t>
      </w:r>
      <w:r>
        <w:t>that</w:t>
      </w:r>
      <w:r>
        <w:rPr>
          <w:spacing w:val="-6"/>
        </w:rPr>
        <w:t xml:space="preserve"> </w:t>
      </w:r>
      <w:r>
        <w:t>including</w:t>
      </w:r>
      <w:r>
        <w:rPr>
          <w:spacing w:val="-6"/>
        </w:rPr>
        <w:t xml:space="preserve"> </w:t>
      </w:r>
      <w:r>
        <w:t>economic,</w:t>
      </w:r>
      <w:r>
        <w:rPr>
          <w:spacing w:val="-7"/>
        </w:rPr>
        <w:t xml:space="preserve"> </w:t>
      </w:r>
      <w:r>
        <w:t>social,</w:t>
      </w:r>
      <w:r>
        <w:rPr>
          <w:spacing w:val="-6"/>
        </w:rPr>
        <w:t xml:space="preserve"> </w:t>
      </w:r>
      <w:r>
        <w:t>and</w:t>
      </w:r>
      <w:r>
        <w:rPr>
          <w:spacing w:val="-7"/>
        </w:rPr>
        <w:t xml:space="preserve"> </w:t>
      </w:r>
      <w:r>
        <w:t>cultural</w:t>
      </w:r>
      <w:r>
        <w:rPr>
          <w:spacing w:val="-6"/>
        </w:rPr>
        <w:t xml:space="preserve"> </w:t>
      </w:r>
      <w:r>
        <w:t>rights,</w:t>
      </w:r>
      <w:r>
        <w:rPr>
          <w:spacing w:val="-6"/>
        </w:rPr>
        <w:t xml:space="preserve"> </w:t>
      </w:r>
      <w:r>
        <w:t>such</w:t>
      </w:r>
      <w:r>
        <w:rPr>
          <w:spacing w:val="-6"/>
        </w:rPr>
        <w:t xml:space="preserve"> </w:t>
      </w:r>
      <w:r>
        <w:t>as</w:t>
      </w:r>
      <w:r>
        <w:rPr>
          <w:spacing w:val="-6"/>
        </w:rPr>
        <w:t xml:space="preserve"> </w:t>
      </w:r>
      <w:r>
        <w:t>a</w:t>
      </w:r>
      <w:r>
        <w:rPr>
          <w:spacing w:val="-6"/>
        </w:rPr>
        <w:t xml:space="preserve"> </w:t>
      </w:r>
      <w:r>
        <w:t>right</w:t>
      </w:r>
      <w:r>
        <w:rPr>
          <w:spacing w:val="-6"/>
        </w:rPr>
        <w:t xml:space="preserve"> </w:t>
      </w:r>
      <w:r>
        <w:t>to education, would deprive Parliament of its fiscal supremacy and capacity to determine how resources are allocated.</w:t>
      </w:r>
      <w:r>
        <w:rPr>
          <w:position w:val="7"/>
          <w:sz w:val="13"/>
        </w:rPr>
        <w:t>59</w:t>
      </w:r>
      <w:r>
        <w:rPr>
          <w:spacing w:val="40"/>
          <w:position w:val="7"/>
          <w:sz w:val="13"/>
        </w:rPr>
        <w:t xml:space="preserve"> </w:t>
      </w:r>
      <w:r>
        <w:t>While greater scrutiny of the human rights implications of funding decisions would occur as Action Plans were implemented, authority for decisions regarding budget allocation would ultimately remain with the Executive, endorsed by Parliament.</w:t>
      </w:r>
      <w:r>
        <w:rPr>
          <w:position w:val="7"/>
          <w:sz w:val="13"/>
        </w:rPr>
        <w:t>60</w:t>
      </w:r>
    </w:p>
    <w:p w14:paraId="7CB25D22" w14:textId="77777777" w:rsidR="008A4099" w:rsidRDefault="008A4099">
      <w:pPr>
        <w:pStyle w:val="BodyText"/>
        <w:rPr>
          <w:sz w:val="20"/>
        </w:rPr>
      </w:pPr>
    </w:p>
    <w:p w14:paraId="7CB25D23" w14:textId="77777777" w:rsidR="008A4099" w:rsidRDefault="008A4099">
      <w:pPr>
        <w:pStyle w:val="BodyText"/>
        <w:rPr>
          <w:sz w:val="20"/>
        </w:rPr>
      </w:pPr>
    </w:p>
    <w:p w14:paraId="7CB25D24" w14:textId="77777777" w:rsidR="008A4099" w:rsidRDefault="008A4099">
      <w:pPr>
        <w:pStyle w:val="BodyText"/>
        <w:rPr>
          <w:sz w:val="20"/>
        </w:rPr>
      </w:pPr>
    </w:p>
    <w:p w14:paraId="7CB25D25" w14:textId="77777777" w:rsidR="008A4099" w:rsidRDefault="008A4099">
      <w:pPr>
        <w:pStyle w:val="BodyText"/>
        <w:rPr>
          <w:sz w:val="20"/>
        </w:rPr>
      </w:pPr>
    </w:p>
    <w:p w14:paraId="7CB25D26" w14:textId="77777777" w:rsidR="008A4099" w:rsidRDefault="008A4099">
      <w:pPr>
        <w:pStyle w:val="BodyText"/>
        <w:rPr>
          <w:sz w:val="20"/>
        </w:rPr>
      </w:pPr>
    </w:p>
    <w:p w14:paraId="7CB25D27" w14:textId="77777777" w:rsidR="008A4099" w:rsidRDefault="008A4099">
      <w:pPr>
        <w:pStyle w:val="BodyText"/>
        <w:rPr>
          <w:sz w:val="20"/>
        </w:rPr>
      </w:pPr>
    </w:p>
    <w:p w14:paraId="7CB25D28" w14:textId="77777777" w:rsidR="008A4099" w:rsidRDefault="008A4099">
      <w:pPr>
        <w:pStyle w:val="BodyText"/>
        <w:rPr>
          <w:sz w:val="20"/>
        </w:rPr>
      </w:pPr>
    </w:p>
    <w:p w14:paraId="7CB25D29" w14:textId="77777777" w:rsidR="008A4099" w:rsidRDefault="008A4099">
      <w:pPr>
        <w:pStyle w:val="BodyText"/>
        <w:rPr>
          <w:sz w:val="20"/>
        </w:rPr>
      </w:pPr>
    </w:p>
    <w:p w14:paraId="7CB25D2A" w14:textId="77777777" w:rsidR="008A4099" w:rsidRDefault="008A4099">
      <w:pPr>
        <w:pStyle w:val="BodyText"/>
        <w:rPr>
          <w:sz w:val="20"/>
        </w:rPr>
      </w:pPr>
    </w:p>
    <w:p w14:paraId="7CB25D2B" w14:textId="77777777" w:rsidR="008A4099" w:rsidRDefault="008A4099">
      <w:pPr>
        <w:pStyle w:val="BodyText"/>
        <w:rPr>
          <w:sz w:val="20"/>
        </w:rPr>
      </w:pPr>
    </w:p>
    <w:p w14:paraId="7CB25D2C" w14:textId="77777777" w:rsidR="008A4099" w:rsidRDefault="008A4099">
      <w:pPr>
        <w:pStyle w:val="BodyText"/>
        <w:rPr>
          <w:sz w:val="20"/>
        </w:rPr>
      </w:pPr>
    </w:p>
    <w:p w14:paraId="7CB25D2D" w14:textId="77777777" w:rsidR="008A4099" w:rsidRDefault="008A4099">
      <w:pPr>
        <w:pStyle w:val="BodyText"/>
        <w:rPr>
          <w:sz w:val="20"/>
        </w:rPr>
      </w:pPr>
    </w:p>
    <w:p w14:paraId="7CB25D2E" w14:textId="77777777" w:rsidR="008A4099" w:rsidRDefault="008A4099">
      <w:pPr>
        <w:pStyle w:val="BodyText"/>
        <w:rPr>
          <w:sz w:val="20"/>
        </w:rPr>
      </w:pPr>
    </w:p>
    <w:p w14:paraId="7CB25D2F" w14:textId="77777777" w:rsidR="008A4099" w:rsidRDefault="008A4099">
      <w:pPr>
        <w:pStyle w:val="BodyText"/>
        <w:rPr>
          <w:sz w:val="20"/>
        </w:rPr>
      </w:pPr>
    </w:p>
    <w:p w14:paraId="7CB25D30" w14:textId="77777777" w:rsidR="008A4099" w:rsidRDefault="008A4099">
      <w:pPr>
        <w:pStyle w:val="BodyText"/>
        <w:rPr>
          <w:sz w:val="20"/>
        </w:rPr>
      </w:pPr>
    </w:p>
    <w:p w14:paraId="7CB25D31" w14:textId="77777777" w:rsidR="008A4099" w:rsidRDefault="008A4099">
      <w:pPr>
        <w:pStyle w:val="BodyText"/>
        <w:rPr>
          <w:sz w:val="20"/>
        </w:rPr>
      </w:pPr>
    </w:p>
    <w:p w14:paraId="7CB25D32" w14:textId="77777777" w:rsidR="008A4099" w:rsidRDefault="008A4099">
      <w:pPr>
        <w:pStyle w:val="BodyText"/>
        <w:rPr>
          <w:sz w:val="20"/>
        </w:rPr>
      </w:pPr>
    </w:p>
    <w:p w14:paraId="7CB25D33" w14:textId="77777777" w:rsidR="008A4099" w:rsidRDefault="008A4099">
      <w:pPr>
        <w:pStyle w:val="BodyText"/>
        <w:rPr>
          <w:sz w:val="20"/>
        </w:rPr>
      </w:pPr>
    </w:p>
    <w:p w14:paraId="7CB25D34" w14:textId="77777777" w:rsidR="008A4099" w:rsidRDefault="008A4099">
      <w:pPr>
        <w:pStyle w:val="BodyText"/>
        <w:rPr>
          <w:sz w:val="20"/>
        </w:rPr>
      </w:pPr>
    </w:p>
    <w:p w14:paraId="7CB25D35" w14:textId="77777777" w:rsidR="008A4099" w:rsidRDefault="008A4099">
      <w:pPr>
        <w:pStyle w:val="BodyText"/>
        <w:rPr>
          <w:sz w:val="20"/>
        </w:rPr>
      </w:pPr>
    </w:p>
    <w:p w14:paraId="7CB25D36" w14:textId="77777777" w:rsidR="008A4099" w:rsidRDefault="006A6EE2">
      <w:pPr>
        <w:pStyle w:val="BodyText"/>
        <w:spacing w:before="173"/>
        <w:rPr>
          <w:sz w:val="20"/>
        </w:rPr>
      </w:pPr>
      <w:r>
        <w:rPr>
          <w:noProof/>
        </w:rPr>
        <mc:AlternateContent>
          <mc:Choice Requires="wps">
            <w:drawing>
              <wp:anchor distT="0" distB="0" distL="0" distR="0" simplePos="0" relativeHeight="487593984" behindDoc="1" locked="0" layoutInCell="1" allowOverlap="1" wp14:anchorId="7CB265F1" wp14:editId="7CB265F2">
                <wp:simplePos x="0" y="0"/>
                <wp:positionH relativeFrom="page">
                  <wp:posOffset>914704</wp:posOffset>
                </wp:positionH>
                <wp:positionV relativeFrom="paragraph">
                  <wp:posOffset>271140</wp:posOffset>
                </wp:positionV>
                <wp:extent cx="1829435" cy="762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47B977" id="Graphic 42" o:spid="_x0000_s1026" style="position:absolute;margin-left:1in;margin-top:21.35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" path="m1829054,l,,,7620r1829054,l1829054,xe" fillcolor="black" stroked="f">
                <v:path arrowok="t"/>
                <w10:wrap type="topAndBottom" anchorx="page"/>
              </v:shape>
            </w:pict>
          </mc:Fallback>
        </mc:AlternateContent>
      </w:r>
    </w:p>
    <w:p w14:paraId="7CB25D37" w14:textId="77777777" w:rsidR="008A4099" w:rsidRDefault="006A6EE2">
      <w:pPr>
        <w:spacing w:before="112"/>
        <w:ind w:left="160"/>
        <w:rPr>
          <w:sz w:val="18"/>
        </w:rPr>
      </w:pPr>
      <w:r>
        <w:rPr>
          <w:sz w:val="18"/>
          <w:vertAlign w:val="superscript"/>
        </w:rPr>
        <w:t>54</w:t>
      </w:r>
      <w:r>
        <w:rPr>
          <w:spacing w:val="-1"/>
          <w:sz w:val="18"/>
        </w:rPr>
        <w:t xml:space="preserve"> </w:t>
      </w:r>
      <w:r>
        <w:rPr>
          <w:sz w:val="18"/>
        </w:rPr>
        <w:t>Ibid</w:t>
      </w:r>
      <w:r>
        <w:rPr>
          <w:spacing w:val="-1"/>
          <w:sz w:val="18"/>
        </w:rPr>
        <w:t xml:space="preserve"> </w:t>
      </w:r>
      <w:r>
        <w:rPr>
          <w:sz w:val="18"/>
        </w:rPr>
        <w:t>[4.13.8]–[4.13.14], Recommendation</w:t>
      </w:r>
      <w:r>
        <w:rPr>
          <w:spacing w:val="1"/>
          <w:sz w:val="18"/>
        </w:rPr>
        <w:t xml:space="preserve"> </w:t>
      </w:r>
      <w:r>
        <w:rPr>
          <w:spacing w:val="-5"/>
          <w:sz w:val="18"/>
        </w:rPr>
        <w:t>13.</w:t>
      </w:r>
    </w:p>
    <w:p w14:paraId="7CB25D38" w14:textId="77777777" w:rsidR="008A4099" w:rsidRDefault="006A6EE2">
      <w:pPr>
        <w:spacing w:before="24" w:line="244" w:lineRule="auto"/>
        <w:ind w:left="160" w:right="679"/>
        <w:rPr>
          <w:sz w:val="18"/>
        </w:rPr>
      </w:pPr>
      <w:r>
        <w:rPr>
          <w:sz w:val="18"/>
          <w:vertAlign w:val="superscript"/>
        </w:rPr>
        <w:t>55</w:t>
      </w:r>
      <w:r>
        <w:rPr>
          <w:spacing w:val="-6"/>
          <w:sz w:val="18"/>
        </w:rPr>
        <w:t xml:space="preserve"> </w:t>
      </w:r>
      <w:r>
        <w:rPr>
          <w:i/>
          <w:sz w:val="18"/>
        </w:rPr>
        <w:t>International</w:t>
      </w:r>
      <w:r>
        <w:rPr>
          <w:i/>
          <w:spacing w:val="-5"/>
          <w:sz w:val="18"/>
        </w:rPr>
        <w:t xml:space="preserve"> </w:t>
      </w:r>
      <w:r>
        <w:rPr>
          <w:i/>
          <w:sz w:val="18"/>
        </w:rPr>
        <w:t>Covenant</w:t>
      </w:r>
      <w:r>
        <w:rPr>
          <w:i/>
          <w:spacing w:val="-5"/>
          <w:sz w:val="18"/>
        </w:rPr>
        <w:t xml:space="preserve"> </w:t>
      </w:r>
      <w:r>
        <w:rPr>
          <w:i/>
          <w:sz w:val="18"/>
        </w:rPr>
        <w:t>on</w:t>
      </w:r>
      <w:r>
        <w:rPr>
          <w:i/>
          <w:spacing w:val="-5"/>
          <w:sz w:val="18"/>
        </w:rPr>
        <w:t xml:space="preserve"> </w:t>
      </w:r>
      <w:r>
        <w:rPr>
          <w:i/>
          <w:sz w:val="18"/>
        </w:rPr>
        <w:t>Civil</w:t>
      </w:r>
      <w:r>
        <w:rPr>
          <w:i/>
          <w:spacing w:val="-5"/>
          <w:sz w:val="18"/>
        </w:rPr>
        <w:t xml:space="preserve"> </w:t>
      </w:r>
      <w:r>
        <w:rPr>
          <w:i/>
          <w:sz w:val="18"/>
        </w:rPr>
        <w:t>and</w:t>
      </w:r>
      <w:r>
        <w:rPr>
          <w:i/>
          <w:spacing w:val="-7"/>
          <w:sz w:val="18"/>
        </w:rPr>
        <w:t xml:space="preserve"> </w:t>
      </w:r>
      <w:r>
        <w:rPr>
          <w:i/>
          <w:sz w:val="18"/>
        </w:rPr>
        <w:t>Political</w:t>
      </w:r>
      <w:r>
        <w:rPr>
          <w:i/>
          <w:spacing w:val="-5"/>
          <w:sz w:val="18"/>
        </w:rPr>
        <w:t xml:space="preserve"> </w:t>
      </w:r>
      <w:r>
        <w:rPr>
          <w:i/>
          <w:sz w:val="18"/>
        </w:rPr>
        <w:t>Rights</w:t>
      </w:r>
      <w:r>
        <w:rPr>
          <w:sz w:val="18"/>
        </w:rPr>
        <w:t>,</w:t>
      </w:r>
      <w:r>
        <w:rPr>
          <w:spacing w:val="-5"/>
          <w:sz w:val="18"/>
        </w:rPr>
        <w:t xml:space="preserve"> </w:t>
      </w:r>
      <w:r>
        <w:rPr>
          <w:sz w:val="18"/>
        </w:rPr>
        <w:t>opened</w:t>
      </w:r>
      <w:r>
        <w:rPr>
          <w:spacing w:val="-5"/>
          <w:sz w:val="18"/>
        </w:rPr>
        <w:t xml:space="preserve"> </w:t>
      </w:r>
      <w:r>
        <w:rPr>
          <w:sz w:val="18"/>
        </w:rPr>
        <w:t>for</w:t>
      </w:r>
      <w:r>
        <w:rPr>
          <w:spacing w:val="-6"/>
          <w:sz w:val="18"/>
        </w:rPr>
        <w:t xml:space="preserve"> </w:t>
      </w:r>
      <w:r>
        <w:rPr>
          <w:sz w:val="18"/>
        </w:rPr>
        <w:t>signature</w:t>
      </w:r>
      <w:r>
        <w:rPr>
          <w:spacing w:val="-9"/>
          <w:sz w:val="18"/>
        </w:rPr>
        <w:t xml:space="preserve"> </w:t>
      </w:r>
      <w:r>
        <w:rPr>
          <w:sz w:val="18"/>
        </w:rPr>
        <w:t>16</w:t>
      </w:r>
      <w:r>
        <w:rPr>
          <w:spacing w:val="-5"/>
          <w:sz w:val="18"/>
        </w:rPr>
        <w:t xml:space="preserve"> </w:t>
      </w:r>
      <w:r>
        <w:rPr>
          <w:sz w:val="18"/>
        </w:rPr>
        <w:t>December</w:t>
      </w:r>
      <w:r>
        <w:rPr>
          <w:spacing w:val="-6"/>
          <w:sz w:val="18"/>
        </w:rPr>
        <w:t xml:space="preserve"> </w:t>
      </w:r>
      <w:r>
        <w:rPr>
          <w:sz w:val="18"/>
        </w:rPr>
        <w:t>1966,</w:t>
      </w:r>
      <w:r>
        <w:rPr>
          <w:spacing w:val="-5"/>
          <w:sz w:val="18"/>
        </w:rPr>
        <w:t xml:space="preserve"> </w:t>
      </w:r>
      <w:r>
        <w:rPr>
          <w:sz w:val="18"/>
        </w:rPr>
        <w:t>999</w:t>
      </w:r>
      <w:r>
        <w:rPr>
          <w:spacing w:val="-7"/>
          <w:sz w:val="18"/>
        </w:rPr>
        <w:t xml:space="preserve"> </w:t>
      </w:r>
      <w:r>
        <w:rPr>
          <w:sz w:val="18"/>
        </w:rPr>
        <w:t>UNTS</w:t>
      </w:r>
      <w:r>
        <w:rPr>
          <w:spacing w:val="-5"/>
          <w:sz w:val="18"/>
        </w:rPr>
        <w:t xml:space="preserve"> </w:t>
      </w:r>
      <w:r>
        <w:rPr>
          <w:sz w:val="18"/>
        </w:rPr>
        <w:t>171</w:t>
      </w:r>
      <w:r>
        <w:rPr>
          <w:spacing w:val="-5"/>
          <w:sz w:val="18"/>
        </w:rPr>
        <w:t xml:space="preserve"> </w:t>
      </w:r>
      <w:r>
        <w:rPr>
          <w:sz w:val="18"/>
        </w:rPr>
        <w:t>(entered</w:t>
      </w:r>
      <w:r>
        <w:rPr>
          <w:spacing w:val="-5"/>
          <w:sz w:val="18"/>
        </w:rPr>
        <w:t xml:space="preserve"> </w:t>
      </w:r>
      <w:r>
        <w:rPr>
          <w:sz w:val="18"/>
        </w:rPr>
        <w:t>into force 23 March 1976).</w:t>
      </w:r>
    </w:p>
    <w:p w14:paraId="7CB25D39" w14:textId="77777777" w:rsidR="008A4099" w:rsidRDefault="006A6EE2">
      <w:pPr>
        <w:spacing w:before="14" w:line="244" w:lineRule="auto"/>
        <w:ind w:left="160" w:right="679"/>
        <w:rPr>
          <w:sz w:val="18"/>
        </w:rPr>
      </w:pPr>
      <w:r>
        <w:rPr>
          <w:sz w:val="18"/>
          <w:vertAlign w:val="superscript"/>
        </w:rPr>
        <w:t>56</w:t>
      </w:r>
      <w:r>
        <w:rPr>
          <w:sz w:val="18"/>
        </w:rPr>
        <w:t xml:space="preserve"> </w:t>
      </w:r>
      <w:r>
        <w:rPr>
          <w:i/>
          <w:sz w:val="18"/>
        </w:rPr>
        <w:t>International Covenant on Economic, Social and Cultural Rights</w:t>
      </w:r>
      <w:r>
        <w:rPr>
          <w:sz w:val="18"/>
        </w:rPr>
        <w:t>, opened for signature 16 December 1966, 993 UNTS 3 (entered into force 3 January 1976).</w:t>
      </w:r>
    </w:p>
    <w:p w14:paraId="7CB25D3A" w14:textId="77777777" w:rsidR="008A4099" w:rsidRDefault="006A6EE2">
      <w:pPr>
        <w:spacing w:before="15"/>
        <w:ind w:left="160"/>
        <w:rPr>
          <w:sz w:val="18"/>
        </w:rPr>
      </w:pPr>
      <w:r>
        <w:rPr>
          <w:sz w:val="18"/>
          <w:vertAlign w:val="superscript"/>
        </w:rPr>
        <w:t>57</w:t>
      </w:r>
      <w:r>
        <w:rPr>
          <w:spacing w:val="-1"/>
          <w:sz w:val="18"/>
        </w:rPr>
        <w:t xml:space="preserve"> </w:t>
      </w:r>
      <w:r>
        <w:rPr>
          <w:sz w:val="18"/>
        </w:rPr>
        <w:t>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 [4.16.1]–[4.16.3],</w:t>
      </w:r>
      <w:r>
        <w:rPr>
          <w:spacing w:val="-3"/>
          <w:sz w:val="18"/>
        </w:rPr>
        <w:t xml:space="preserve"> </w:t>
      </w:r>
      <w:r>
        <w:rPr>
          <w:sz w:val="18"/>
        </w:rPr>
        <w:t>Recommendation</w:t>
      </w:r>
      <w:r>
        <w:rPr>
          <w:spacing w:val="-1"/>
          <w:sz w:val="18"/>
        </w:rPr>
        <w:t xml:space="preserve"> </w:t>
      </w:r>
      <w:r>
        <w:rPr>
          <w:spacing w:val="-5"/>
          <w:sz w:val="18"/>
        </w:rPr>
        <w:t>16.</w:t>
      </w:r>
    </w:p>
    <w:p w14:paraId="7CB25D3B" w14:textId="77777777" w:rsidR="008A4099" w:rsidRDefault="006A6EE2">
      <w:pPr>
        <w:spacing w:before="23"/>
        <w:ind w:left="160"/>
        <w:rPr>
          <w:sz w:val="18"/>
        </w:rPr>
      </w:pPr>
      <w:r>
        <w:rPr>
          <w:sz w:val="18"/>
          <w:vertAlign w:val="superscript"/>
        </w:rPr>
        <w:t>58</w:t>
      </w:r>
      <w:r>
        <w:rPr>
          <w:spacing w:val="4"/>
          <w:sz w:val="18"/>
        </w:rPr>
        <w:t xml:space="preserve"> </w:t>
      </w:r>
      <w:r>
        <w:rPr>
          <w:sz w:val="18"/>
        </w:rPr>
        <w:t>Ibid</w:t>
      </w:r>
      <w:r>
        <w:rPr>
          <w:spacing w:val="4"/>
          <w:sz w:val="18"/>
        </w:rPr>
        <w:t xml:space="preserve"> </w:t>
      </w:r>
      <w:r>
        <w:rPr>
          <w:spacing w:val="-2"/>
          <w:sz w:val="18"/>
        </w:rPr>
        <w:t>[4.15.7].</w:t>
      </w:r>
    </w:p>
    <w:p w14:paraId="7CB25D3C" w14:textId="77777777" w:rsidR="008A4099" w:rsidRDefault="006A6EE2">
      <w:pPr>
        <w:spacing w:before="24" w:line="244" w:lineRule="auto"/>
        <w:ind w:left="160" w:right="679"/>
        <w:rPr>
          <w:sz w:val="18"/>
        </w:rPr>
      </w:pPr>
      <w:r>
        <w:rPr>
          <w:sz w:val="18"/>
          <w:vertAlign w:val="superscript"/>
        </w:rPr>
        <w:t>59</w:t>
      </w:r>
      <w:r>
        <w:rPr>
          <w:sz w:val="18"/>
        </w:rPr>
        <w:t xml:space="preserve"> Both the ACT and Qld Human Rights Acts now provide protection for a number of economic, social, and cultural rights: the right to education, workplace rights, and a right to health services. See Part 4.3 of this Research Paper.</w:t>
      </w:r>
    </w:p>
    <w:p w14:paraId="7CB25D3D" w14:textId="77777777" w:rsidR="008A4099" w:rsidRDefault="006A6EE2">
      <w:pPr>
        <w:spacing w:before="14"/>
        <w:ind w:left="160"/>
        <w:rPr>
          <w:sz w:val="18"/>
        </w:rPr>
      </w:pPr>
      <w:r>
        <w:rPr>
          <w:sz w:val="18"/>
          <w:vertAlign w:val="superscript"/>
        </w:rPr>
        <w:t>60</w:t>
      </w:r>
      <w:r>
        <w:rPr>
          <w:sz w:val="18"/>
        </w:rPr>
        <w:t xml:space="preserve"> TLRI 2007</w:t>
      </w:r>
      <w:r>
        <w:rPr>
          <w:spacing w:val="1"/>
          <w:sz w:val="18"/>
        </w:rPr>
        <w:t xml:space="preserve"> </w:t>
      </w:r>
      <w:r>
        <w:rPr>
          <w:sz w:val="18"/>
        </w:rPr>
        <w:t>Final</w:t>
      </w:r>
      <w:r>
        <w:rPr>
          <w:spacing w:val="1"/>
          <w:sz w:val="18"/>
        </w:rPr>
        <w:t xml:space="preserve"> </w:t>
      </w:r>
      <w:r>
        <w:rPr>
          <w:sz w:val="18"/>
        </w:rPr>
        <w:t xml:space="preserve">Report </w:t>
      </w:r>
      <w:r>
        <w:rPr>
          <w:spacing w:val="-2"/>
          <w:sz w:val="18"/>
        </w:rPr>
        <w:t>[4.15].</w:t>
      </w:r>
    </w:p>
    <w:p w14:paraId="7CB25D3E" w14:textId="77777777" w:rsidR="008A4099" w:rsidRDefault="008A4099">
      <w:pPr>
        <w:rPr>
          <w:sz w:val="18"/>
        </w:rPr>
        <w:sectPr w:rsidR="008A4099" w:rsidSect="00D43B2D">
          <w:pgSz w:w="11910" w:h="16840"/>
          <w:pgMar w:top="980" w:right="760" w:bottom="940" w:left="1280" w:header="718" w:footer="753" w:gutter="0"/>
          <w:cols w:space="720"/>
        </w:sectPr>
      </w:pPr>
    </w:p>
    <w:p w14:paraId="7CB25D3F" w14:textId="77777777" w:rsidR="008A4099" w:rsidRDefault="008A4099">
      <w:pPr>
        <w:pStyle w:val="BodyText"/>
        <w:spacing w:before="118"/>
        <w:rPr>
          <w:sz w:val="32"/>
        </w:rPr>
      </w:pPr>
    </w:p>
    <w:p w14:paraId="7CB25D40" w14:textId="77777777" w:rsidR="008A4099" w:rsidRDefault="006A6EE2">
      <w:pPr>
        <w:ind w:left="538" w:right="1059"/>
        <w:jc w:val="center"/>
        <w:rPr>
          <w:b/>
          <w:sz w:val="32"/>
        </w:rPr>
      </w:pPr>
      <w:r>
        <w:rPr>
          <w:b/>
          <w:sz w:val="32"/>
        </w:rPr>
        <w:t>Part</w:t>
      </w:r>
      <w:r>
        <w:rPr>
          <w:b/>
          <w:spacing w:val="-8"/>
          <w:sz w:val="32"/>
        </w:rPr>
        <w:t xml:space="preserve"> </w:t>
      </w:r>
      <w:r>
        <w:rPr>
          <w:b/>
          <w:spacing w:val="-10"/>
          <w:sz w:val="32"/>
        </w:rPr>
        <w:t>2</w:t>
      </w:r>
    </w:p>
    <w:p w14:paraId="7CB25D41" w14:textId="77777777" w:rsidR="008A4099" w:rsidRDefault="008A4099">
      <w:pPr>
        <w:pStyle w:val="BodyText"/>
        <w:spacing w:before="119"/>
        <w:rPr>
          <w:b/>
          <w:sz w:val="32"/>
        </w:rPr>
      </w:pPr>
    </w:p>
    <w:p w14:paraId="7CB25D42" w14:textId="77777777" w:rsidR="008A4099" w:rsidRDefault="006A6EE2">
      <w:pPr>
        <w:pStyle w:val="Heading1"/>
        <w:ind w:left="542"/>
      </w:pPr>
      <w:r>
        <w:t>Developments</w:t>
      </w:r>
      <w:r>
        <w:rPr>
          <w:spacing w:val="-6"/>
        </w:rPr>
        <w:t xml:space="preserve"> </w:t>
      </w:r>
      <w:r>
        <w:t>in</w:t>
      </w:r>
      <w:r>
        <w:rPr>
          <w:spacing w:val="-4"/>
        </w:rPr>
        <w:t xml:space="preserve"> </w:t>
      </w:r>
      <w:r>
        <w:t>Other</w:t>
      </w:r>
      <w:r>
        <w:rPr>
          <w:spacing w:val="-3"/>
        </w:rPr>
        <w:t xml:space="preserve"> </w:t>
      </w:r>
      <w:r>
        <w:rPr>
          <w:spacing w:val="-2"/>
        </w:rPr>
        <w:t>Jurisdictions</w:t>
      </w:r>
    </w:p>
    <w:p w14:paraId="7CB25D43" w14:textId="77777777" w:rsidR="008A4099" w:rsidRDefault="008A4099">
      <w:pPr>
        <w:pStyle w:val="BodyText"/>
        <w:spacing w:before="42"/>
        <w:rPr>
          <w:b/>
          <w:sz w:val="52"/>
        </w:rPr>
      </w:pPr>
    </w:p>
    <w:p w14:paraId="7CB25D44" w14:textId="77777777" w:rsidR="008A4099" w:rsidRDefault="006A6EE2">
      <w:pPr>
        <w:pStyle w:val="Heading2"/>
        <w:numPr>
          <w:ilvl w:val="1"/>
          <w:numId w:val="9"/>
        </w:numPr>
        <w:tabs>
          <w:tab w:val="left" w:pos="878"/>
        </w:tabs>
        <w:ind w:left="878" w:hanging="718"/>
        <w:jc w:val="both"/>
      </w:pPr>
      <w:bookmarkStart w:id="10" w:name="_TOC_250050"/>
      <w:bookmarkEnd w:id="10"/>
      <w:r>
        <w:rPr>
          <w:spacing w:val="-2"/>
        </w:rPr>
        <w:t>Introduction</w:t>
      </w:r>
    </w:p>
    <w:p w14:paraId="7CB25D45" w14:textId="77777777" w:rsidR="008A4099" w:rsidRDefault="006A6EE2">
      <w:pPr>
        <w:pStyle w:val="ListParagraph"/>
        <w:numPr>
          <w:ilvl w:val="2"/>
          <w:numId w:val="9"/>
        </w:numPr>
        <w:tabs>
          <w:tab w:val="left" w:pos="879"/>
        </w:tabs>
        <w:ind w:right="674" w:firstLine="0"/>
        <w:jc w:val="both"/>
      </w:pPr>
      <w:r>
        <w:t>In accordance with the questions set for this Research Paper, the Tasmanian Law Reform Institute</w:t>
      </w:r>
      <w:r>
        <w:rPr>
          <w:spacing w:val="-12"/>
        </w:rPr>
        <w:t xml:space="preserve"> </w:t>
      </w:r>
      <w:r>
        <w:t>(‘TLRI’)</w:t>
      </w:r>
      <w:r>
        <w:rPr>
          <w:spacing w:val="-14"/>
        </w:rPr>
        <w:t xml:space="preserve"> </w:t>
      </w:r>
      <w:r>
        <w:t>has</w:t>
      </w:r>
      <w:r>
        <w:rPr>
          <w:spacing w:val="-14"/>
        </w:rPr>
        <w:t xml:space="preserve"> </w:t>
      </w:r>
      <w:r>
        <w:t>considered</w:t>
      </w:r>
      <w:r>
        <w:rPr>
          <w:spacing w:val="-14"/>
        </w:rPr>
        <w:t xml:space="preserve"> </w:t>
      </w:r>
      <w:r>
        <w:t>whether</w:t>
      </w:r>
      <w:r>
        <w:rPr>
          <w:spacing w:val="-12"/>
        </w:rPr>
        <w:t xml:space="preserve"> </w:t>
      </w:r>
      <w:r>
        <w:t>developments</w:t>
      </w:r>
      <w:r>
        <w:rPr>
          <w:spacing w:val="-11"/>
        </w:rPr>
        <w:t xml:space="preserve"> </w:t>
      </w:r>
      <w:r>
        <w:t>in</w:t>
      </w:r>
      <w:r>
        <w:rPr>
          <w:spacing w:val="-14"/>
        </w:rPr>
        <w:t xml:space="preserve"> </w:t>
      </w:r>
      <w:r>
        <w:t>the</w:t>
      </w:r>
      <w:r>
        <w:rPr>
          <w:spacing w:val="-12"/>
        </w:rPr>
        <w:t xml:space="preserve"> </w:t>
      </w:r>
      <w:r>
        <w:t>Review</w:t>
      </w:r>
      <w:r>
        <w:rPr>
          <w:spacing w:val="-12"/>
        </w:rPr>
        <w:t xml:space="preserve"> </w:t>
      </w:r>
      <w:r>
        <w:t>Period</w:t>
      </w:r>
      <w:r>
        <w:rPr>
          <w:spacing w:val="-14"/>
        </w:rPr>
        <w:t xml:space="preserve"> </w:t>
      </w:r>
      <w:r>
        <w:t>(between</w:t>
      </w:r>
      <w:r>
        <w:rPr>
          <w:spacing w:val="-12"/>
        </w:rPr>
        <w:t xml:space="preserve"> </w:t>
      </w:r>
      <w:r>
        <w:t>2007</w:t>
      </w:r>
      <w:r>
        <w:rPr>
          <w:spacing w:val="-12"/>
        </w:rPr>
        <w:t xml:space="preserve"> </w:t>
      </w:r>
      <w:r>
        <w:t>and</w:t>
      </w:r>
      <w:r>
        <w:rPr>
          <w:spacing w:val="-14"/>
        </w:rPr>
        <w:t xml:space="preserve"> </w:t>
      </w:r>
      <w:r>
        <w:t>2022) require</w:t>
      </w:r>
      <w:r>
        <w:rPr>
          <w:spacing w:val="-4"/>
        </w:rPr>
        <w:t xml:space="preserve"> </w:t>
      </w:r>
      <w:r>
        <w:t>amendments</w:t>
      </w:r>
      <w:r>
        <w:rPr>
          <w:spacing w:val="-4"/>
        </w:rPr>
        <w:t xml:space="preserve"> </w:t>
      </w:r>
      <w:r>
        <w:t>or</w:t>
      </w:r>
      <w:r>
        <w:rPr>
          <w:spacing w:val="-4"/>
        </w:rPr>
        <w:t xml:space="preserve"> </w:t>
      </w:r>
      <w:r>
        <w:t>improvements</w:t>
      </w:r>
      <w:r>
        <w:rPr>
          <w:spacing w:val="-4"/>
        </w:rPr>
        <w:t xml:space="preserve"> </w:t>
      </w:r>
      <w:r>
        <w:t>to</w:t>
      </w:r>
      <w:r>
        <w:rPr>
          <w:spacing w:val="-6"/>
        </w:rPr>
        <w:t xml:space="preserve"> </w:t>
      </w:r>
      <w:r>
        <w:t>the</w:t>
      </w:r>
      <w:r>
        <w:rPr>
          <w:spacing w:val="-4"/>
        </w:rPr>
        <w:t xml:space="preserve"> </w:t>
      </w:r>
      <w:r>
        <w:t>original</w:t>
      </w:r>
      <w:r>
        <w:rPr>
          <w:spacing w:val="-5"/>
        </w:rPr>
        <w:t xml:space="preserve"> </w:t>
      </w:r>
      <w:r>
        <w:t>recommendations</w:t>
      </w:r>
      <w:r>
        <w:rPr>
          <w:spacing w:val="-4"/>
        </w:rPr>
        <w:t xml:space="preserve"> </w:t>
      </w:r>
      <w:r>
        <w:t>made</w:t>
      </w:r>
      <w:r>
        <w:rPr>
          <w:spacing w:val="-4"/>
        </w:rPr>
        <w:t xml:space="preserve"> </w:t>
      </w:r>
      <w:r>
        <w:t>in</w:t>
      </w:r>
      <w:r>
        <w:rPr>
          <w:spacing w:val="-5"/>
        </w:rPr>
        <w:t xml:space="preserve"> </w:t>
      </w:r>
      <w:r>
        <w:t>the</w:t>
      </w:r>
      <w:r>
        <w:rPr>
          <w:spacing w:val="-4"/>
        </w:rPr>
        <w:t xml:space="preserve"> </w:t>
      </w:r>
      <w:r>
        <w:t>2007</w:t>
      </w:r>
      <w:r>
        <w:rPr>
          <w:spacing w:val="-5"/>
        </w:rPr>
        <w:t xml:space="preserve"> </w:t>
      </w:r>
      <w:r>
        <w:t>Final</w:t>
      </w:r>
      <w:r>
        <w:rPr>
          <w:spacing w:val="-4"/>
        </w:rPr>
        <w:t xml:space="preserve"> </w:t>
      </w:r>
      <w:r>
        <w:t>Report.</w:t>
      </w:r>
    </w:p>
    <w:p w14:paraId="7CB25D46" w14:textId="77777777" w:rsidR="008A4099" w:rsidRDefault="006A6EE2">
      <w:pPr>
        <w:pStyle w:val="ListParagraph"/>
        <w:numPr>
          <w:ilvl w:val="2"/>
          <w:numId w:val="9"/>
        </w:numPr>
        <w:tabs>
          <w:tab w:val="left" w:pos="879"/>
        </w:tabs>
        <w:spacing w:before="218"/>
        <w:ind w:right="672" w:firstLine="0"/>
        <w:jc w:val="both"/>
      </w:pPr>
      <w:r>
        <w:t>As part of this assessment, the TLRI has considered the experience in other Australian jurisdictions</w:t>
      </w:r>
      <w:r>
        <w:rPr>
          <w:spacing w:val="-14"/>
        </w:rPr>
        <w:t xml:space="preserve"> </w:t>
      </w:r>
      <w:r>
        <w:t>that</w:t>
      </w:r>
      <w:r>
        <w:rPr>
          <w:spacing w:val="-12"/>
        </w:rPr>
        <w:t xml:space="preserve"> </w:t>
      </w:r>
      <w:r>
        <w:t>have</w:t>
      </w:r>
      <w:r>
        <w:rPr>
          <w:spacing w:val="-14"/>
        </w:rPr>
        <w:t xml:space="preserve"> </w:t>
      </w:r>
      <w:r>
        <w:t>human</w:t>
      </w:r>
      <w:r>
        <w:rPr>
          <w:spacing w:val="-12"/>
        </w:rPr>
        <w:t xml:space="preserve"> </w:t>
      </w:r>
      <w:r>
        <w:t>rights</w:t>
      </w:r>
      <w:r>
        <w:rPr>
          <w:spacing w:val="-14"/>
        </w:rPr>
        <w:t xml:space="preserve"> </w:t>
      </w:r>
      <w:r>
        <w:t>enactments:</w:t>
      </w:r>
      <w:r>
        <w:rPr>
          <w:spacing w:val="-13"/>
        </w:rPr>
        <w:t xml:space="preserve"> </w:t>
      </w:r>
      <w:r>
        <w:t>the</w:t>
      </w:r>
      <w:r>
        <w:rPr>
          <w:spacing w:val="-12"/>
        </w:rPr>
        <w:t xml:space="preserve"> </w:t>
      </w:r>
      <w:r>
        <w:t>Australian</w:t>
      </w:r>
      <w:r>
        <w:rPr>
          <w:spacing w:val="-14"/>
        </w:rPr>
        <w:t xml:space="preserve"> </w:t>
      </w:r>
      <w:r>
        <w:t>Capital</w:t>
      </w:r>
      <w:r>
        <w:rPr>
          <w:spacing w:val="-11"/>
        </w:rPr>
        <w:t xml:space="preserve"> </w:t>
      </w:r>
      <w:r>
        <w:t>Territory</w:t>
      </w:r>
      <w:r>
        <w:rPr>
          <w:spacing w:val="-14"/>
        </w:rPr>
        <w:t xml:space="preserve"> </w:t>
      </w:r>
      <w:r>
        <w:t>(‘ACT’);</w:t>
      </w:r>
      <w:r>
        <w:rPr>
          <w:spacing w:val="-13"/>
        </w:rPr>
        <w:t xml:space="preserve"> </w:t>
      </w:r>
      <w:r>
        <w:t>Victoria;</w:t>
      </w:r>
      <w:r>
        <w:rPr>
          <w:spacing w:val="-13"/>
        </w:rPr>
        <w:t xml:space="preserve"> </w:t>
      </w:r>
      <w:r>
        <w:t xml:space="preserve">and Queensland. The TLRI has also examined the operation of Commonwealth </w:t>
      </w:r>
      <w:r>
        <w:rPr>
          <w:i/>
        </w:rPr>
        <w:t>Human Rights (Parliamentary</w:t>
      </w:r>
      <w:r>
        <w:rPr>
          <w:i/>
          <w:spacing w:val="-7"/>
        </w:rPr>
        <w:t xml:space="preserve"> </w:t>
      </w:r>
      <w:r>
        <w:rPr>
          <w:i/>
        </w:rPr>
        <w:t>Scrutiny)</w:t>
      </w:r>
      <w:r>
        <w:rPr>
          <w:i/>
          <w:spacing w:val="-6"/>
        </w:rPr>
        <w:t xml:space="preserve"> </w:t>
      </w:r>
      <w:r>
        <w:rPr>
          <w:i/>
        </w:rPr>
        <w:t>Act</w:t>
      </w:r>
      <w:r>
        <w:rPr>
          <w:i/>
          <w:spacing w:val="-6"/>
        </w:rPr>
        <w:t xml:space="preserve"> </w:t>
      </w:r>
      <w:r>
        <w:rPr>
          <w:i/>
        </w:rPr>
        <w:t>2011</w:t>
      </w:r>
      <w:r>
        <w:rPr>
          <w:i/>
          <w:spacing w:val="-5"/>
        </w:rPr>
        <w:t xml:space="preserve"> </w:t>
      </w:r>
      <w:r>
        <w:t>(Cth).</w:t>
      </w:r>
      <w:r>
        <w:rPr>
          <w:spacing w:val="-10"/>
        </w:rPr>
        <w:t xml:space="preserve"> </w:t>
      </w:r>
      <w:r>
        <w:t>This</w:t>
      </w:r>
      <w:r>
        <w:rPr>
          <w:spacing w:val="-6"/>
        </w:rPr>
        <w:t xml:space="preserve"> </w:t>
      </w:r>
      <w:r>
        <w:t>Part</w:t>
      </w:r>
      <w:r>
        <w:rPr>
          <w:spacing w:val="-9"/>
        </w:rPr>
        <w:t xml:space="preserve"> </w:t>
      </w:r>
      <w:r>
        <w:t>canvasses</w:t>
      </w:r>
      <w:r>
        <w:rPr>
          <w:spacing w:val="-6"/>
        </w:rPr>
        <w:t xml:space="preserve"> </w:t>
      </w:r>
      <w:r>
        <w:t>some</w:t>
      </w:r>
      <w:r>
        <w:rPr>
          <w:spacing w:val="-9"/>
        </w:rPr>
        <w:t xml:space="preserve"> </w:t>
      </w:r>
      <w:r>
        <w:t>of</w:t>
      </w:r>
      <w:r>
        <w:rPr>
          <w:spacing w:val="-9"/>
        </w:rPr>
        <w:t xml:space="preserve"> </w:t>
      </w:r>
      <w:r>
        <w:t>these</w:t>
      </w:r>
      <w:r>
        <w:rPr>
          <w:spacing w:val="-9"/>
        </w:rPr>
        <w:t xml:space="preserve"> </w:t>
      </w:r>
      <w:r>
        <w:t>developments;</w:t>
      </w:r>
      <w:r>
        <w:rPr>
          <w:spacing w:val="-6"/>
        </w:rPr>
        <w:t xml:space="preserve"> </w:t>
      </w:r>
      <w:r>
        <w:t>it</w:t>
      </w:r>
      <w:r>
        <w:rPr>
          <w:spacing w:val="-9"/>
        </w:rPr>
        <w:t xml:space="preserve"> </w:t>
      </w:r>
      <w:r>
        <w:t>is</w:t>
      </w:r>
      <w:r>
        <w:rPr>
          <w:spacing w:val="-6"/>
        </w:rPr>
        <w:t xml:space="preserve"> </w:t>
      </w:r>
      <w:r>
        <w:t>beyond the scope of this Research Paper to provide a detailed</w:t>
      </w:r>
      <w:r>
        <w:rPr>
          <w:spacing w:val="-2"/>
        </w:rPr>
        <w:t xml:space="preserve"> </w:t>
      </w:r>
      <w:r>
        <w:t>analysis of all developments that</w:t>
      </w:r>
      <w:r>
        <w:rPr>
          <w:spacing w:val="-1"/>
        </w:rPr>
        <w:t xml:space="preserve"> </w:t>
      </w:r>
      <w:r>
        <w:t>may affect the TLRI’s recommendations. Instead, this Research Paper aims to address the developments that appear most relevant to the research questions.</w:t>
      </w:r>
    </w:p>
    <w:p w14:paraId="7CB25D47" w14:textId="77777777" w:rsidR="008A4099" w:rsidRDefault="006A6EE2">
      <w:pPr>
        <w:pStyle w:val="ListParagraph"/>
        <w:numPr>
          <w:ilvl w:val="2"/>
          <w:numId w:val="9"/>
        </w:numPr>
        <w:tabs>
          <w:tab w:val="left" w:pos="879"/>
        </w:tabs>
        <w:spacing w:before="214"/>
        <w:ind w:right="682" w:firstLine="0"/>
        <w:jc w:val="both"/>
      </w:pPr>
      <w:r>
        <w:t>Further, while this Part discusses some of the major developments in this context, Part 4 considers in more detail whether developments in other jurisdictions support the original model recommended by the TLRI and, if so, where they identify areas for amendment.</w:t>
      </w:r>
    </w:p>
    <w:p w14:paraId="7CB25D48" w14:textId="77777777" w:rsidR="008A4099" w:rsidRDefault="008A4099">
      <w:pPr>
        <w:pStyle w:val="BodyText"/>
      </w:pPr>
    </w:p>
    <w:p w14:paraId="7CB25D49" w14:textId="77777777" w:rsidR="008A4099" w:rsidRDefault="008A4099">
      <w:pPr>
        <w:pStyle w:val="BodyText"/>
        <w:spacing w:before="131"/>
      </w:pPr>
    </w:p>
    <w:p w14:paraId="7CB25D4A" w14:textId="77777777" w:rsidR="008A4099" w:rsidRDefault="006A6EE2">
      <w:pPr>
        <w:pStyle w:val="Heading2"/>
        <w:numPr>
          <w:ilvl w:val="1"/>
          <w:numId w:val="9"/>
        </w:numPr>
        <w:tabs>
          <w:tab w:val="left" w:pos="878"/>
        </w:tabs>
        <w:ind w:left="878" w:hanging="718"/>
        <w:jc w:val="both"/>
      </w:pPr>
      <w:bookmarkStart w:id="11" w:name="_TOC_250049"/>
      <w:r>
        <w:t>Updates</w:t>
      </w:r>
      <w:r>
        <w:rPr>
          <w:spacing w:val="-7"/>
        </w:rPr>
        <w:t xml:space="preserve"> </w:t>
      </w:r>
      <w:r>
        <w:t>from</w:t>
      </w:r>
      <w:r>
        <w:rPr>
          <w:spacing w:val="-8"/>
        </w:rPr>
        <w:t xml:space="preserve"> </w:t>
      </w:r>
      <w:r>
        <w:t>the</w:t>
      </w:r>
      <w:r>
        <w:rPr>
          <w:spacing w:val="-6"/>
        </w:rPr>
        <w:t xml:space="preserve"> </w:t>
      </w:r>
      <w:bookmarkEnd w:id="11"/>
      <w:r>
        <w:rPr>
          <w:spacing w:val="-5"/>
        </w:rPr>
        <w:t>ACT</w:t>
      </w:r>
    </w:p>
    <w:p w14:paraId="7CB25D4B" w14:textId="77777777" w:rsidR="008A4099" w:rsidRDefault="006A6EE2">
      <w:pPr>
        <w:pStyle w:val="ListParagraph"/>
        <w:numPr>
          <w:ilvl w:val="2"/>
          <w:numId w:val="9"/>
        </w:numPr>
        <w:tabs>
          <w:tab w:val="left" w:pos="879"/>
        </w:tabs>
        <w:spacing w:before="223" w:line="237" w:lineRule="auto"/>
        <w:ind w:right="677" w:firstLine="0"/>
        <w:jc w:val="both"/>
      </w:pPr>
      <w:r>
        <w:t>The</w:t>
      </w:r>
      <w:r>
        <w:rPr>
          <w:spacing w:val="-10"/>
        </w:rPr>
        <w:t xml:space="preserve"> </w:t>
      </w:r>
      <w:r>
        <w:rPr>
          <w:i/>
        </w:rPr>
        <w:t>Human</w:t>
      </w:r>
      <w:r>
        <w:rPr>
          <w:i/>
          <w:spacing w:val="-10"/>
        </w:rPr>
        <w:t xml:space="preserve"> </w:t>
      </w:r>
      <w:r>
        <w:rPr>
          <w:i/>
        </w:rPr>
        <w:t>Rights</w:t>
      </w:r>
      <w:r>
        <w:rPr>
          <w:i/>
          <w:spacing w:val="-9"/>
        </w:rPr>
        <w:t xml:space="preserve"> </w:t>
      </w:r>
      <w:r>
        <w:rPr>
          <w:i/>
        </w:rPr>
        <w:t>Act</w:t>
      </w:r>
      <w:r>
        <w:rPr>
          <w:i/>
          <w:spacing w:val="-9"/>
        </w:rPr>
        <w:t xml:space="preserve"> </w:t>
      </w:r>
      <w:r>
        <w:rPr>
          <w:i/>
        </w:rPr>
        <w:t>2004</w:t>
      </w:r>
      <w:r>
        <w:rPr>
          <w:i/>
          <w:spacing w:val="-8"/>
        </w:rPr>
        <w:t xml:space="preserve"> </w:t>
      </w:r>
      <w:r>
        <w:t>(ACT)</w:t>
      </w:r>
      <w:r>
        <w:rPr>
          <w:spacing w:val="-9"/>
        </w:rPr>
        <w:t xml:space="preserve"> </w:t>
      </w:r>
      <w:r>
        <w:t>(‘ACT</w:t>
      </w:r>
      <w:r>
        <w:rPr>
          <w:spacing w:val="-10"/>
        </w:rPr>
        <w:t xml:space="preserve"> </w:t>
      </w:r>
      <w:r>
        <w:t>Human</w:t>
      </w:r>
      <w:r>
        <w:rPr>
          <w:spacing w:val="-9"/>
        </w:rPr>
        <w:t xml:space="preserve"> </w:t>
      </w:r>
      <w:r>
        <w:t>Rights</w:t>
      </w:r>
      <w:r>
        <w:rPr>
          <w:spacing w:val="-9"/>
        </w:rPr>
        <w:t xml:space="preserve"> </w:t>
      </w:r>
      <w:r>
        <w:t>Act’)</w:t>
      </w:r>
      <w:r>
        <w:rPr>
          <w:spacing w:val="-9"/>
        </w:rPr>
        <w:t xml:space="preserve"> </w:t>
      </w:r>
      <w:r>
        <w:t>has</w:t>
      </w:r>
      <w:r>
        <w:rPr>
          <w:spacing w:val="-9"/>
        </w:rPr>
        <w:t xml:space="preserve"> </w:t>
      </w:r>
      <w:r>
        <w:t>undergone</w:t>
      </w:r>
      <w:r>
        <w:rPr>
          <w:spacing w:val="-9"/>
        </w:rPr>
        <w:t xml:space="preserve"> </w:t>
      </w:r>
      <w:r>
        <w:t>several</w:t>
      </w:r>
      <w:r>
        <w:rPr>
          <w:spacing w:val="-9"/>
        </w:rPr>
        <w:t xml:space="preserve"> </w:t>
      </w:r>
      <w:r>
        <w:t>reviews since its introduction:</w:t>
      </w:r>
    </w:p>
    <w:p w14:paraId="7CB25D4C" w14:textId="77777777" w:rsidR="008A4099" w:rsidRDefault="006A6EE2">
      <w:pPr>
        <w:pStyle w:val="ListParagraph"/>
        <w:numPr>
          <w:ilvl w:val="3"/>
          <w:numId w:val="9"/>
        </w:numPr>
        <w:tabs>
          <w:tab w:val="left" w:pos="1228"/>
        </w:tabs>
        <w:spacing w:before="218" w:line="273" w:lineRule="auto"/>
        <w:ind w:right="674"/>
      </w:pPr>
      <w:r>
        <w:t xml:space="preserve">Department of Justice and Community Safety, </w:t>
      </w:r>
      <w:r>
        <w:rPr>
          <w:i/>
        </w:rPr>
        <w:t xml:space="preserve">Human Rights Act 2004 – Twelve Month Review </w:t>
      </w:r>
      <w:r>
        <w:t>(Report, 2006);</w:t>
      </w:r>
    </w:p>
    <w:p w14:paraId="7CB25D4D" w14:textId="77777777" w:rsidR="008A4099" w:rsidRDefault="006A6EE2">
      <w:pPr>
        <w:pStyle w:val="ListParagraph"/>
        <w:numPr>
          <w:ilvl w:val="3"/>
          <w:numId w:val="9"/>
        </w:numPr>
        <w:tabs>
          <w:tab w:val="left" w:pos="1228"/>
        </w:tabs>
        <w:spacing w:before="122" w:line="273" w:lineRule="auto"/>
        <w:ind w:right="676"/>
      </w:pPr>
      <w:r>
        <w:t xml:space="preserve">ACT Human Rights Act Research Project, Australian National University, </w:t>
      </w:r>
      <w:r>
        <w:rPr>
          <w:i/>
        </w:rPr>
        <w:t xml:space="preserve">The Human Rights Act 2004 (ACT): The First Five Years of Operation </w:t>
      </w:r>
      <w:r>
        <w:t>(Report, 2009);</w:t>
      </w:r>
    </w:p>
    <w:p w14:paraId="7CB25D4E" w14:textId="77777777" w:rsidR="008A4099" w:rsidRDefault="006A6EE2">
      <w:pPr>
        <w:pStyle w:val="ListParagraph"/>
        <w:numPr>
          <w:ilvl w:val="3"/>
          <w:numId w:val="9"/>
        </w:numPr>
        <w:tabs>
          <w:tab w:val="left" w:pos="1228"/>
        </w:tabs>
        <w:spacing w:before="122" w:line="276" w:lineRule="auto"/>
        <w:ind w:right="681"/>
      </w:pPr>
      <w:r>
        <w:t xml:space="preserve">Australian Research Council Project, Australian National University and University of New South Wales, </w:t>
      </w:r>
      <w:r>
        <w:rPr>
          <w:i/>
        </w:rPr>
        <w:t xml:space="preserve">Australian Capital Territory Economic, Social and Cultural Rights Research Project </w:t>
      </w:r>
      <w:r>
        <w:t>(Report, 2010);</w:t>
      </w:r>
    </w:p>
    <w:p w14:paraId="7CB25D4F" w14:textId="77777777" w:rsidR="008A4099" w:rsidRDefault="006A6EE2">
      <w:pPr>
        <w:pStyle w:val="ListParagraph"/>
        <w:numPr>
          <w:ilvl w:val="3"/>
          <w:numId w:val="9"/>
        </w:numPr>
        <w:tabs>
          <w:tab w:val="left" w:pos="1228"/>
        </w:tabs>
        <w:spacing w:before="117" w:line="273" w:lineRule="auto"/>
        <w:ind w:right="674"/>
      </w:pPr>
      <w:r>
        <w:t>ACT</w:t>
      </w:r>
      <w:r>
        <w:rPr>
          <w:spacing w:val="-3"/>
        </w:rPr>
        <w:t xml:space="preserve"> </w:t>
      </w:r>
      <w:r>
        <w:t>Human</w:t>
      </w:r>
      <w:r>
        <w:rPr>
          <w:spacing w:val="-5"/>
        </w:rPr>
        <w:t xml:space="preserve"> </w:t>
      </w:r>
      <w:r>
        <w:t>Rights</w:t>
      </w:r>
      <w:r>
        <w:rPr>
          <w:spacing w:val="-5"/>
        </w:rPr>
        <w:t xml:space="preserve"> </w:t>
      </w:r>
      <w:r>
        <w:t>and</w:t>
      </w:r>
      <w:r>
        <w:rPr>
          <w:spacing w:val="-3"/>
        </w:rPr>
        <w:t xml:space="preserve"> </w:t>
      </w:r>
      <w:r>
        <w:t>Discrimination</w:t>
      </w:r>
      <w:r>
        <w:rPr>
          <w:spacing w:val="-3"/>
        </w:rPr>
        <w:t xml:space="preserve"> </w:t>
      </w:r>
      <w:r>
        <w:t>Commissioner,</w:t>
      </w:r>
      <w:r>
        <w:rPr>
          <w:spacing w:val="-1"/>
        </w:rPr>
        <w:t xml:space="preserve"> </w:t>
      </w:r>
      <w:r>
        <w:rPr>
          <w:i/>
        </w:rPr>
        <w:t>Look</w:t>
      </w:r>
      <w:r>
        <w:rPr>
          <w:i/>
          <w:spacing w:val="-6"/>
        </w:rPr>
        <w:t xml:space="preserve"> </w:t>
      </w:r>
      <w:r>
        <w:rPr>
          <w:i/>
        </w:rPr>
        <w:t>Who’s</w:t>
      </w:r>
      <w:r>
        <w:rPr>
          <w:i/>
          <w:spacing w:val="-3"/>
        </w:rPr>
        <w:t xml:space="preserve"> </w:t>
      </w:r>
      <w:r>
        <w:rPr>
          <w:i/>
        </w:rPr>
        <w:t>Talking</w:t>
      </w:r>
      <w:r>
        <w:rPr>
          <w:i/>
          <w:spacing w:val="-5"/>
        </w:rPr>
        <w:t xml:space="preserve"> </w:t>
      </w:r>
      <w:r>
        <w:rPr>
          <w:i/>
        </w:rPr>
        <w:t>–</w:t>
      </w:r>
      <w:r>
        <w:rPr>
          <w:i/>
          <w:spacing w:val="-3"/>
        </w:rPr>
        <w:t xml:space="preserve"> </w:t>
      </w:r>
      <w:r>
        <w:rPr>
          <w:i/>
        </w:rPr>
        <w:t>A</w:t>
      </w:r>
      <w:r>
        <w:rPr>
          <w:i/>
          <w:spacing w:val="-6"/>
        </w:rPr>
        <w:t xml:space="preserve"> </w:t>
      </w:r>
      <w:r>
        <w:rPr>
          <w:i/>
        </w:rPr>
        <w:t xml:space="preserve">Snapshot of Ten Years of Dialogue Under the Human Rights Act 2004 </w:t>
      </w:r>
      <w:r>
        <w:t>(Report, 2014);</w:t>
      </w:r>
    </w:p>
    <w:p w14:paraId="7CB25D50" w14:textId="77777777" w:rsidR="008A4099" w:rsidRDefault="006A6EE2">
      <w:pPr>
        <w:pStyle w:val="ListParagraph"/>
        <w:numPr>
          <w:ilvl w:val="3"/>
          <w:numId w:val="9"/>
        </w:numPr>
        <w:tabs>
          <w:tab w:val="left" w:pos="1228"/>
        </w:tabs>
        <w:spacing w:before="122" w:line="273" w:lineRule="auto"/>
        <w:ind w:right="677"/>
      </w:pPr>
      <w:r>
        <w:t xml:space="preserve">Justice and Community Safety Directorate (ACT), </w:t>
      </w:r>
      <w:r>
        <w:rPr>
          <w:i/>
        </w:rPr>
        <w:t xml:space="preserve">Economic, Social and Cultural Rights in the Human Rights Act 2004: Section 43 Review </w:t>
      </w:r>
      <w:r>
        <w:t>(2014); and</w:t>
      </w:r>
    </w:p>
    <w:p w14:paraId="7CB25D51" w14:textId="77777777" w:rsidR="008A4099" w:rsidRDefault="006A6EE2">
      <w:pPr>
        <w:pStyle w:val="ListParagraph"/>
        <w:numPr>
          <w:ilvl w:val="3"/>
          <w:numId w:val="9"/>
        </w:numPr>
        <w:tabs>
          <w:tab w:val="left" w:pos="1228"/>
        </w:tabs>
        <w:spacing w:before="122" w:line="273" w:lineRule="auto"/>
        <w:ind w:right="678"/>
      </w:pPr>
      <w:r>
        <w:t xml:space="preserve">ACT Auditor-General, </w:t>
      </w:r>
      <w:r>
        <w:rPr>
          <w:i/>
        </w:rPr>
        <w:t xml:space="preserve">Recognition and Implementation of Obligations under the Human Rights Act 2004 </w:t>
      </w:r>
      <w:r>
        <w:t>(Report No 2, 2019).</w:t>
      </w:r>
    </w:p>
    <w:p w14:paraId="7CB25D52" w14:textId="77777777" w:rsidR="008A4099" w:rsidRDefault="006A6EE2">
      <w:pPr>
        <w:pStyle w:val="ListParagraph"/>
        <w:numPr>
          <w:ilvl w:val="2"/>
          <w:numId w:val="9"/>
        </w:numPr>
        <w:tabs>
          <w:tab w:val="left" w:pos="879"/>
        </w:tabs>
        <w:spacing w:before="227" w:line="235" w:lineRule="auto"/>
        <w:ind w:right="680" w:firstLine="0"/>
        <w:jc w:val="both"/>
      </w:pPr>
      <w:r>
        <w:t>Significantly, an independent review of the ACT Human Rights Act conducted by the Australian National University in 2009 found that the Act had improved the quality of law making in</w:t>
      </w:r>
    </w:p>
    <w:p w14:paraId="7CB25D53" w14:textId="77777777" w:rsidR="008A4099" w:rsidRDefault="008A4099">
      <w:pPr>
        <w:spacing w:line="235" w:lineRule="auto"/>
        <w:jc w:val="both"/>
        <w:sectPr w:rsidR="008A4099" w:rsidSect="00D43B2D">
          <w:headerReference w:type="even" r:id="rId48"/>
          <w:headerReference w:type="default" r:id="rId49"/>
          <w:footerReference w:type="even" r:id="rId50"/>
          <w:footerReference w:type="default" r:id="rId51"/>
          <w:pgSz w:w="11910" w:h="16840"/>
          <w:pgMar w:top="980" w:right="760" w:bottom="940" w:left="1280" w:header="718" w:footer="753" w:gutter="0"/>
          <w:pgNumType w:start="8"/>
          <w:cols w:space="720"/>
        </w:sectPr>
      </w:pPr>
    </w:p>
    <w:p w14:paraId="7CB25D54" w14:textId="77777777" w:rsidR="008A4099" w:rsidRDefault="008A4099">
      <w:pPr>
        <w:pStyle w:val="BodyText"/>
        <w:spacing w:before="194"/>
      </w:pPr>
    </w:p>
    <w:p w14:paraId="7CB25D55" w14:textId="77777777" w:rsidR="008A4099" w:rsidRDefault="006A6EE2">
      <w:pPr>
        <w:pStyle w:val="BodyText"/>
        <w:ind w:left="160" w:right="677"/>
        <w:jc w:val="both"/>
        <w:rPr>
          <w:sz w:val="13"/>
        </w:rPr>
      </w:pPr>
      <w:r>
        <w:t>the ACT in respect to the consideration of human rights.</w:t>
      </w:r>
      <w:r>
        <w:rPr>
          <w:position w:val="7"/>
          <w:sz w:val="13"/>
        </w:rPr>
        <w:t xml:space="preserve">61 </w:t>
      </w:r>
      <w:r>
        <w:t>This finding has been echoed more recently by the Human Rights and Discrimination Commissioner and others, who note greater embedding of a human rights culture across the ACT Government.</w:t>
      </w:r>
      <w:r>
        <w:rPr>
          <w:position w:val="7"/>
          <w:sz w:val="13"/>
        </w:rPr>
        <w:t>62</w:t>
      </w:r>
      <w:r>
        <w:rPr>
          <w:spacing w:val="34"/>
          <w:position w:val="7"/>
          <w:sz w:val="13"/>
        </w:rPr>
        <w:t xml:space="preserve"> </w:t>
      </w:r>
      <w:r>
        <w:t xml:space="preserve">While the reviews have identified strengths and weaknesses in the human rights framework in the ACT, a ‘common and consistent theme that has emerged is the [Human Rights Acts’s] positive impact on the work of the legislature and the </w:t>
      </w:r>
      <w:r>
        <w:rPr>
          <w:spacing w:val="-2"/>
        </w:rPr>
        <w:t>executive’.</w:t>
      </w:r>
      <w:r>
        <w:rPr>
          <w:spacing w:val="-2"/>
          <w:position w:val="7"/>
          <w:sz w:val="13"/>
        </w:rPr>
        <w:t>63</w:t>
      </w:r>
    </w:p>
    <w:p w14:paraId="7CB25D56" w14:textId="77777777" w:rsidR="008A4099" w:rsidRDefault="006A6EE2">
      <w:pPr>
        <w:pStyle w:val="ListParagraph"/>
        <w:numPr>
          <w:ilvl w:val="2"/>
          <w:numId w:val="9"/>
        </w:numPr>
        <w:tabs>
          <w:tab w:val="left" w:pos="879"/>
        </w:tabs>
        <w:spacing w:before="221"/>
        <w:ind w:left="879" w:hanging="719"/>
        <w:jc w:val="both"/>
      </w:pPr>
      <w:r>
        <w:t>Changes</w:t>
      </w:r>
      <w:r>
        <w:rPr>
          <w:spacing w:val="-5"/>
        </w:rPr>
        <w:t xml:space="preserve"> </w:t>
      </w:r>
      <w:r>
        <w:t>made</w:t>
      </w:r>
      <w:r>
        <w:rPr>
          <w:spacing w:val="-2"/>
        </w:rPr>
        <w:t xml:space="preserve"> </w:t>
      </w:r>
      <w:r>
        <w:t>to</w:t>
      </w:r>
      <w:r>
        <w:rPr>
          <w:spacing w:val="-3"/>
        </w:rPr>
        <w:t xml:space="preserve"> </w:t>
      </w:r>
      <w:r>
        <w:t>reflect</w:t>
      </w:r>
      <w:r>
        <w:rPr>
          <w:spacing w:val="-1"/>
        </w:rPr>
        <w:t xml:space="preserve"> </w:t>
      </w:r>
      <w:r>
        <w:t>the</w:t>
      </w:r>
      <w:r>
        <w:rPr>
          <w:spacing w:val="-5"/>
        </w:rPr>
        <w:t xml:space="preserve"> </w:t>
      </w:r>
      <w:r>
        <w:t>findings</w:t>
      </w:r>
      <w:r>
        <w:rPr>
          <w:spacing w:val="-2"/>
        </w:rPr>
        <w:t xml:space="preserve"> </w:t>
      </w:r>
      <w:r>
        <w:t>of</w:t>
      </w:r>
      <w:r>
        <w:rPr>
          <w:spacing w:val="-5"/>
        </w:rPr>
        <w:t xml:space="preserve"> </w:t>
      </w:r>
      <w:r>
        <w:t>the</w:t>
      </w:r>
      <w:r>
        <w:rPr>
          <w:spacing w:val="-4"/>
        </w:rPr>
        <w:t xml:space="preserve"> </w:t>
      </w:r>
      <w:r>
        <w:t>reviews</w:t>
      </w:r>
      <w:r>
        <w:rPr>
          <w:spacing w:val="-5"/>
        </w:rPr>
        <w:t xml:space="preserve"> </w:t>
      </w:r>
      <w:r>
        <w:rPr>
          <w:spacing w:val="-2"/>
        </w:rPr>
        <w:t>include:</w:t>
      </w:r>
    </w:p>
    <w:p w14:paraId="7CB25D57" w14:textId="77777777" w:rsidR="008A4099" w:rsidRDefault="006A6EE2">
      <w:pPr>
        <w:pStyle w:val="ListParagraph"/>
        <w:numPr>
          <w:ilvl w:val="3"/>
          <w:numId w:val="9"/>
        </w:numPr>
        <w:tabs>
          <w:tab w:val="left" w:pos="1011"/>
        </w:tabs>
        <w:spacing w:before="235"/>
        <w:ind w:left="1011" w:hanging="285"/>
        <w:jc w:val="left"/>
        <w:rPr>
          <w:sz w:val="13"/>
        </w:rPr>
      </w:pPr>
      <w:r>
        <w:t>imposing</w:t>
      </w:r>
      <w:r>
        <w:rPr>
          <w:spacing w:val="-3"/>
        </w:rPr>
        <w:t xml:space="preserve"> </w:t>
      </w:r>
      <w:r>
        <w:t>a</w:t>
      </w:r>
      <w:r>
        <w:rPr>
          <w:spacing w:val="-3"/>
        </w:rPr>
        <w:t xml:space="preserve"> </w:t>
      </w:r>
      <w:r>
        <w:t>positive</w:t>
      </w:r>
      <w:r>
        <w:rPr>
          <w:spacing w:val="-3"/>
        </w:rPr>
        <w:t xml:space="preserve"> </w:t>
      </w:r>
      <w:r>
        <w:t>duty</w:t>
      </w:r>
      <w:r>
        <w:rPr>
          <w:spacing w:val="-3"/>
        </w:rPr>
        <w:t xml:space="preserve"> </w:t>
      </w:r>
      <w:r>
        <w:t>on</w:t>
      </w:r>
      <w:r>
        <w:rPr>
          <w:spacing w:val="-6"/>
        </w:rPr>
        <w:t xml:space="preserve"> </w:t>
      </w:r>
      <w:r>
        <w:t>public</w:t>
      </w:r>
      <w:r>
        <w:rPr>
          <w:spacing w:val="-3"/>
        </w:rPr>
        <w:t xml:space="preserve"> </w:t>
      </w:r>
      <w:r>
        <w:t>authorities</w:t>
      </w:r>
      <w:r>
        <w:rPr>
          <w:spacing w:val="-5"/>
        </w:rPr>
        <w:t xml:space="preserve"> </w:t>
      </w:r>
      <w:r>
        <w:t>to</w:t>
      </w:r>
      <w:r>
        <w:rPr>
          <w:spacing w:val="-3"/>
        </w:rPr>
        <w:t xml:space="preserve"> </w:t>
      </w:r>
      <w:r>
        <w:t>comply</w:t>
      </w:r>
      <w:r>
        <w:rPr>
          <w:spacing w:val="-3"/>
        </w:rPr>
        <w:t xml:space="preserve"> </w:t>
      </w:r>
      <w:r>
        <w:t>with</w:t>
      </w:r>
      <w:r>
        <w:rPr>
          <w:spacing w:val="-6"/>
        </w:rPr>
        <w:t xml:space="preserve"> </w:t>
      </w:r>
      <w:r>
        <w:t>the</w:t>
      </w:r>
      <w:r>
        <w:rPr>
          <w:spacing w:val="-2"/>
        </w:rPr>
        <w:t xml:space="preserve"> Act;</w:t>
      </w:r>
      <w:r>
        <w:rPr>
          <w:spacing w:val="-2"/>
          <w:position w:val="7"/>
          <w:sz w:val="13"/>
        </w:rPr>
        <w:t>64</w:t>
      </w:r>
    </w:p>
    <w:p w14:paraId="7CB25D58" w14:textId="77777777" w:rsidR="008A4099" w:rsidRDefault="008A4099">
      <w:pPr>
        <w:pStyle w:val="BodyText"/>
        <w:spacing w:before="25"/>
      </w:pPr>
    </w:p>
    <w:p w14:paraId="7CB25D59" w14:textId="77777777" w:rsidR="008A4099" w:rsidRDefault="006A6EE2">
      <w:pPr>
        <w:pStyle w:val="ListParagraph"/>
        <w:numPr>
          <w:ilvl w:val="3"/>
          <w:numId w:val="9"/>
        </w:numPr>
        <w:tabs>
          <w:tab w:val="left" w:pos="1012"/>
        </w:tabs>
        <w:spacing w:before="0" w:line="276" w:lineRule="auto"/>
        <w:ind w:left="1012" w:right="675" w:hanging="286"/>
      </w:pPr>
      <w:r>
        <w:t>providing</w:t>
      </w:r>
      <w:r>
        <w:rPr>
          <w:spacing w:val="-12"/>
        </w:rPr>
        <w:t xml:space="preserve"> </w:t>
      </w:r>
      <w:r>
        <w:t>an</w:t>
      </w:r>
      <w:r>
        <w:rPr>
          <w:spacing w:val="-14"/>
        </w:rPr>
        <w:t xml:space="preserve"> </w:t>
      </w:r>
      <w:r>
        <w:t>independent</w:t>
      </w:r>
      <w:r>
        <w:rPr>
          <w:spacing w:val="-10"/>
        </w:rPr>
        <w:t xml:space="preserve"> </w:t>
      </w:r>
      <w:r>
        <w:t>right</w:t>
      </w:r>
      <w:r>
        <w:rPr>
          <w:spacing w:val="-11"/>
        </w:rPr>
        <w:t xml:space="preserve"> </w:t>
      </w:r>
      <w:r>
        <w:t>of</w:t>
      </w:r>
      <w:r>
        <w:rPr>
          <w:spacing w:val="-13"/>
        </w:rPr>
        <w:t xml:space="preserve"> </w:t>
      </w:r>
      <w:r>
        <w:t>action</w:t>
      </w:r>
      <w:r>
        <w:rPr>
          <w:spacing w:val="-12"/>
        </w:rPr>
        <w:t xml:space="preserve"> </w:t>
      </w:r>
      <w:r>
        <w:t>in</w:t>
      </w:r>
      <w:r>
        <w:rPr>
          <w:spacing w:val="-14"/>
        </w:rPr>
        <w:t xml:space="preserve"> </w:t>
      </w:r>
      <w:r>
        <w:t>the</w:t>
      </w:r>
      <w:r>
        <w:rPr>
          <w:spacing w:val="-11"/>
        </w:rPr>
        <w:t xml:space="preserve"> </w:t>
      </w:r>
      <w:r>
        <w:t>Supreme</w:t>
      </w:r>
      <w:r>
        <w:rPr>
          <w:spacing w:val="-14"/>
        </w:rPr>
        <w:t xml:space="preserve"> </w:t>
      </w:r>
      <w:r>
        <w:t>Court</w:t>
      </w:r>
      <w:r>
        <w:rPr>
          <w:spacing w:val="-12"/>
        </w:rPr>
        <w:t xml:space="preserve"> </w:t>
      </w:r>
      <w:r>
        <w:t>for</w:t>
      </w:r>
      <w:r>
        <w:rPr>
          <w:spacing w:val="-11"/>
        </w:rPr>
        <w:t xml:space="preserve"> </w:t>
      </w:r>
      <w:r>
        <w:t>breaches</w:t>
      </w:r>
      <w:r>
        <w:rPr>
          <w:spacing w:val="-11"/>
        </w:rPr>
        <w:t xml:space="preserve"> </w:t>
      </w:r>
      <w:r>
        <w:t>of</w:t>
      </w:r>
      <w:r>
        <w:rPr>
          <w:spacing w:val="-14"/>
        </w:rPr>
        <w:t xml:space="preserve"> </w:t>
      </w:r>
      <w:r>
        <w:t>the</w:t>
      </w:r>
      <w:r>
        <w:rPr>
          <w:spacing w:val="-11"/>
        </w:rPr>
        <w:t xml:space="preserve"> </w:t>
      </w:r>
      <w:r>
        <w:t>Act,</w:t>
      </w:r>
      <w:r>
        <w:rPr>
          <w:position w:val="7"/>
          <w:sz w:val="13"/>
        </w:rPr>
        <w:t>65</w:t>
      </w:r>
      <w:r>
        <w:rPr>
          <w:spacing w:val="11"/>
          <w:position w:val="7"/>
          <w:sz w:val="13"/>
        </w:rPr>
        <w:t xml:space="preserve"> </w:t>
      </w:r>
      <w:r>
        <w:t>rather than</w:t>
      </w:r>
      <w:r>
        <w:rPr>
          <w:spacing w:val="-16"/>
        </w:rPr>
        <w:t xml:space="preserve"> </w:t>
      </w:r>
      <w:r>
        <w:t>restricting</w:t>
      </w:r>
      <w:r>
        <w:rPr>
          <w:spacing w:val="-14"/>
        </w:rPr>
        <w:t xml:space="preserve"> </w:t>
      </w:r>
      <w:r>
        <w:t>human</w:t>
      </w:r>
      <w:r>
        <w:rPr>
          <w:spacing w:val="-14"/>
        </w:rPr>
        <w:t xml:space="preserve"> </w:t>
      </w:r>
      <w:r>
        <w:t>rights</w:t>
      </w:r>
      <w:r>
        <w:rPr>
          <w:spacing w:val="-13"/>
        </w:rPr>
        <w:t xml:space="preserve"> </w:t>
      </w:r>
      <w:r>
        <w:t>claims</w:t>
      </w:r>
      <w:r>
        <w:rPr>
          <w:spacing w:val="-14"/>
        </w:rPr>
        <w:t xml:space="preserve"> </w:t>
      </w:r>
      <w:r>
        <w:t>to</w:t>
      </w:r>
      <w:r>
        <w:rPr>
          <w:spacing w:val="-14"/>
        </w:rPr>
        <w:t xml:space="preserve"> </w:t>
      </w:r>
      <w:r>
        <w:t>piggy-backing</w:t>
      </w:r>
      <w:r>
        <w:rPr>
          <w:spacing w:val="-14"/>
        </w:rPr>
        <w:t xml:space="preserve"> </w:t>
      </w:r>
      <w:r>
        <w:t>on</w:t>
      </w:r>
      <w:r>
        <w:rPr>
          <w:spacing w:val="-13"/>
        </w:rPr>
        <w:t xml:space="preserve"> </w:t>
      </w:r>
      <w:r>
        <w:t>existing</w:t>
      </w:r>
      <w:r>
        <w:rPr>
          <w:spacing w:val="-14"/>
        </w:rPr>
        <w:t xml:space="preserve"> </w:t>
      </w:r>
      <w:r>
        <w:t>legal</w:t>
      </w:r>
      <w:r>
        <w:rPr>
          <w:spacing w:val="-14"/>
        </w:rPr>
        <w:t xml:space="preserve"> </w:t>
      </w:r>
      <w:r>
        <w:t>actions</w:t>
      </w:r>
      <w:r>
        <w:rPr>
          <w:spacing w:val="-14"/>
        </w:rPr>
        <w:t xml:space="preserve"> </w:t>
      </w:r>
      <w:r>
        <w:t>available</w:t>
      </w:r>
      <w:r>
        <w:rPr>
          <w:spacing w:val="-13"/>
        </w:rPr>
        <w:t xml:space="preserve"> </w:t>
      </w:r>
      <w:r>
        <w:t>under other legislation or the common law;</w:t>
      </w:r>
    </w:p>
    <w:p w14:paraId="7CB25D5A" w14:textId="77777777" w:rsidR="008A4099" w:rsidRDefault="006A6EE2">
      <w:pPr>
        <w:pStyle w:val="ListParagraph"/>
        <w:numPr>
          <w:ilvl w:val="3"/>
          <w:numId w:val="9"/>
        </w:numPr>
        <w:tabs>
          <w:tab w:val="left" w:pos="1011"/>
        </w:tabs>
        <w:spacing w:before="237"/>
        <w:ind w:left="1011" w:hanging="285"/>
        <w:jc w:val="left"/>
      </w:pPr>
      <w:r>
        <w:t>expanding</w:t>
      </w:r>
      <w:r>
        <w:rPr>
          <w:spacing w:val="-6"/>
        </w:rPr>
        <w:t xml:space="preserve"> </w:t>
      </w:r>
      <w:r>
        <w:t>the</w:t>
      </w:r>
      <w:r>
        <w:rPr>
          <w:spacing w:val="-4"/>
        </w:rPr>
        <w:t xml:space="preserve"> </w:t>
      </w:r>
      <w:r>
        <w:t>rights</w:t>
      </w:r>
      <w:r>
        <w:rPr>
          <w:spacing w:val="-5"/>
        </w:rPr>
        <w:t xml:space="preserve"> </w:t>
      </w:r>
      <w:r>
        <w:t>protected</w:t>
      </w:r>
      <w:r>
        <w:rPr>
          <w:spacing w:val="-2"/>
        </w:rPr>
        <w:t xml:space="preserve"> </w:t>
      </w:r>
      <w:r>
        <w:t>by</w:t>
      </w:r>
      <w:r>
        <w:rPr>
          <w:spacing w:val="-4"/>
        </w:rPr>
        <w:t xml:space="preserve"> </w:t>
      </w:r>
      <w:r>
        <w:t>the</w:t>
      </w:r>
      <w:r>
        <w:rPr>
          <w:spacing w:val="-5"/>
        </w:rPr>
        <w:t xml:space="preserve"> </w:t>
      </w:r>
      <w:r>
        <w:t>Human</w:t>
      </w:r>
      <w:r>
        <w:rPr>
          <w:spacing w:val="-2"/>
        </w:rPr>
        <w:t xml:space="preserve"> </w:t>
      </w:r>
      <w:r>
        <w:t>Rights</w:t>
      </w:r>
      <w:r>
        <w:rPr>
          <w:spacing w:val="-3"/>
        </w:rPr>
        <w:t xml:space="preserve"> </w:t>
      </w:r>
      <w:r>
        <w:t>Act</w:t>
      </w:r>
      <w:r>
        <w:rPr>
          <w:spacing w:val="-1"/>
        </w:rPr>
        <w:t xml:space="preserve"> </w:t>
      </w:r>
      <w:r>
        <w:t>to</w:t>
      </w:r>
      <w:r>
        <w:rPr>
          <w:spacing w:val="-2"/>
        </w:rPr>
        <w:t xml:space="preserve"> include:</w:t>
      </w:r>
    </w:p>
    <w:p w14:paraId="7CB25D5B" w14:textId="77777777" w:rsidR="008A4099" w:rsidRDefault="008A4099">
      <w:pPr>
        <w:pStyle w:val="BodyText"/>
        <w:spacing w:before="26"/>
      </w:pPr>
    </w:p>
    <w:p w14:paraId="7CB25D5C" w14:textId="77777777" w:rsidR="008A4099" w:rsidRDefault="006A6EE2">
      <w:pPr>
        <w:pStyle w:val="ListParagraph"/>
        <w:numPr>
          <w:ilvl w:val="4"/>
          <w:numId w:val="9"/>
        </w:numPr>
        <w:tabs>
          <w:tab w:val="left" w:pos="2319"/>
        </w:tabs>
        <w:spacing w:before="0"/>
        <w:ind w:left="2319" w:hanging="359"/>
        <w:jc w:val="left"/>
        <w:rPr>
          <w:sz w:val="13"/>
        </w:rPr>
      </w:pPr>
      <w:r>
        <w:t>the</w:t>
      </w:r>
      <w:r>
        <w:rPr>
          <w:spacing w:val="-3"/>
        </w:rPr>
        <w:t xml:space="preserve"> </w:t>
      </w:r>
      <w:r>
        <w:t>right</w:t>
      </w:r>
      <w:r>
        <w:rPr>
          <w:spacing w:val="-3"/>
        </w:rPr>
        <w:t xml:space="preserve"> </w:t>
      </w:r>
      <w:r>
        <w:t>to</w:t>
      </w:r>
      <w:r>
        <w:rPr>
          <w:spacing w:val="-1"/>
        </w:rPr>
        <w:t xml:space="preserve"> </w:t>
      </w:r>
      <w:r>
        <w:rPr>
          <w:spacing w:val="-2"/>
        </w:rPr>
        <w:t>education;</w:t>
      </w:r>
      <w:r>
        <w:rPr>
          <w:spacing w:val="-2"/>
          <w:position w:val="7"/>
          <w:sz w:val="13"/>
        </w:rPr>
        <w:t>66</w:t>
      </w:r>
    </w:p>
    <w:p w14:paraId="7CB25D5D" w14:textId="77777777" w:rsidR="008A4099" w:rsidRDefault="008A4099">
      <w:pPr>
        <w:pStyle w:val="BodyText"/>
        <w:spacing w:before="6"/>
      </w:pPr>
    </w:p>
    <w:p w14:paraId="7CB25D5E" w14:textId="77777777" w:rsidR="008A4099" w:rsidRDefault="006A6EE2">
      <w:pPr>
        <w:pStyle w:val="ListParagraph"/>
        <w:numPr>
          <w:ilvl w:val="4"/>
          <w:numId w:val="9"/>
        </w:numPr>
        <w:tabs>
          <w:tab w:val="left" w:pos="2319"/>
        </w:tabs>
        <w:spacing w:before="0"/>
        <w:ind w:left="2319" w:hanging="359"/>
        <w:jc w:val="left"/>
      </w:pPr>
      <w:r>
        <w:t>distinct</w:t>
      </w:r>
      <w:r>
        <w:rPr>
          <w:spacing w:val="-3"/>
        </w:rPr>
        <w:t xml:space="preserve"> </w:t>
      </w:r>
      <w:r>
        <w:t>cultural</w:t>
      </w:r>
      <w:r>
        <w:rPr>
          <w:spacing w:val="-6"/>
        </w:rPr>
        <w:t xml:space="preserve"> </w:t>
      </w:r>
      <w:r>
        <w:t>rights</w:t>
      </w:r>
      <w:r>
        <w:rPr>
          <w:spacing w:val="-6"/>
        </w:rPr>
        <w:t xml:space="preserve"> </w:t>
      </w:r>
      <w:r>
        <w:t>of</w:t>
      </w:r>
      <w:r>
        <w:rPr>
          <w:spacing w:val="-3"/>
        </w:rPr>
        <w:t xml:space="preserve"> </w:t>
      </w:r>
      <w:r>
        <w:t>Aboriginal</w:t>
      </w:r>
      <w:r>
        <w:rPr>
          <w:spacing w:val="-3"/>
        </w:rPr>
        <w:t xml:space="preserve"> </w:t>
      </w:r>
      <w:r>
        <w:t>and</w:t>
      </w:r>
      <w:r>
        <w:rPr>
          <w:spacing w:val="-4"/>
        </w:rPr>
        <w:t xml:space="preserve"> </w:t>
      </w:r>
      <w:r>
        <w:t>Torres</w:t>
      </w:r>
      <w:r>
        <w:rPr>
          <w:spacing w:val="-4"/>
        </w:rPr>
        <w:t xml:space="preserve"> </w:t>
      </w:r>
      <w:r>
        <w:t>Strait</w:t>
      </w:r>
      <w:r>
        <w:rPr>
          <w:spacing w:val="-2"/>
        </w:rPr>
        <w:t xml:space="preserve"> </w:t>
      </w:r>
      <w:r>
        <w:t>Island</w:t>
      </w:r>
      <w:r>
        <w:rPr>
          <w:spacing w:val="-6"/>
        </w:rPr>
        <w:t xml:space="preserve"> </w:t>
      </w:r>
      <w:r>
        <w:t>people;</w:t>
      </w:r>
      <w:r>
        <w:rPr>
          <w:position w:val="7"/>
          <w:sz w:val="13"/>
        </w:rPr>
        <w:t>67</w:t>
      </w:r>
      <w:r>
        <w:rPr>
          <w:spacing w:val="18"/>
          <w:position w:val="7"/>
          <w:sz w:val="13"/>
        </w:rPr>
        <w:t xml:space="preserve"> </w:t>
      </w:r>
      <w:r>
        <w:rPr>
          <w:spacing w:val="-5"/>
        </w:rPr>
        <w:t>and</w:t>
      </w:r>
    </w:p>
    <w:p w14:paraId="7CB25D5F" w14:textId="77777777" w:rsidR="008A4099" w:rsidRDefault="008A4099">
      <w:pPr>
        <w:pStyle w:val="BodyText"/>
        <w:spacing w:before="8"/>
      </w:pPr>
    </w:p>
    <w:p w14:paraId="7CB25D60" w14:textId="77777777" w:rsidR="008A4099" w:rsidRDefault="006A6EE2">
      <w:pPr>
        <w:pStyle w:val="ListParagraph"/>
        <w:numPr>
          <w:ilvl w:val="4"/>
          <w:numId w:val="9"/>
        </w:numPr>
        <w:tabs>
          <w:tab w:val="left" w:pos="2319"/>
        </w:tabs>
        <w:spacing w:before="0"/>
        <w:ind w:left="2319" w:hanging="359"/>
        <w:jc w:val="left"/>
        <w:rPr>
          <w:sz w:val="13"/>
        </w:rPr>
      </w:pPr>
      <w:r>
        <w:t>the</w:t>
      </w:r>
      <w:r>
        <w:rPr>
          <w:spacing w:val="-4"/>
        </w:rPr>
        <w:t xml:space="preserve"> </w:t>
      </w:r>
      <w:r>
        <w:t>right</w:t>
      </w:r>
      <w:r>
        <w:rPr>
          <w:spacing w:val="-4"/>
        </w:rPr>
        <w:t xml:space="preserve"> </w:t>
      </w:r>
      <w:r>
        <w:t>to</w:t>
      </w:r>
      <w:r>
        <w:rPr>
          <w:spacing w:val="-2"/>
        </w:rPr>
        <w:t xml:space="preserve"> </w:t>
      </w:r>
      <w:r>
        <w:t>work</w:t>
      </w:r>
      <w:r>
        <w:rPr>
          <w:spacing w:val="-5"/>
        </w:rPr>
        <w:t xml:space="preserve"> </w:t>
      </w:r>
      <w:r>
        <w:t>and</w:t>
      </w:r>
      <w:r>
        <w:rPr>
          <w:spacing w:val="-2"/>
        </w:rPr>
        <w:t xml:space="preserve"> </w:t>
      </w:r>
      <w:r>
        <w:t>workers’</w:t>
      </w:r>
      <w:r>
        <w:rPr>
          <w:spacing w:val="-3"/>
        </w:rPr>
        <w:t xml:space="preserve"> </w:t>
      </w:r>
      <w:r>
        <w:rPr>
          <w:spacing w:val="-2"/>
        </w:rPr>
        <w:t>rights.</w:t>
      </w:r>
      <w:r>
        <w:rPr>
          <w:spacing w:val="-2"/>
          <w:position w:val="7"/>
          <w:sz w:val="13"/>
        </w:rPr>
        <w:t>68</w:t>
      </w:r>
    </w:p>
    <w:p w14:paraId="7CB25D61" w14:textId="77777777" w:rsidR="008A4099" w:rsidRDefault="008A4099">
      <w:pPr>
        <w:pStyle w:val="BodyText"/>
        <w:spacing w:before="7"/>
      </w:pPr>
    </w:p>
    <w:p w14:paraId="7CB25D62" w14:textId="77777777" w:rsidR="008A4099" w:rsidRDefault="006A6EE2">
      <w:pPr>
        <w:pStyle w:val="ListParagraph"/>
        <w:numPr>
          <w:ilvl w:val="2"/>
          <w:numId w:val="9"/>
        </w:numPr>
        <w:tabs>
          <w:tab w:val="left" w:pos="879"/>
        </w:tabs>
        <w:spacing w:before="0" w:line="237" w:lineRule="auto"/>
        <w:ind w:right="680" w:firstLine="0"/>
        <w:jc w:val="both"/>
        <w:rPr>
          <w:sz w:val="13"/>
        </w:rPr>
      </w:pPr>
      <w:r>
        <w:t>The</w:t>
      </w:r>
      <w:r>
        <w:rPr>
          <w:spacing w:val="-7"/>
        </w:rPr>
        <w:t xml:space="preserve"> </w:t>
      </w:r>
      <w:r>
        <w:t>ACT</w:t>
      </w:r>
      <w:r>
        <w:rPr>
          <w:spacing w:val="-8"/>
        </w:rPr>
        <w:t xml:space="preserve"> </w:t>
      </w:r>
      <w:r>
        <w:t>has</w:t>
      </w:r>
      <w:r>
        <w:rPr>
          <w:spacing w:val="-6"/>
        </w:rPr>
        <w:t xml:space="preserve"> </w:t>
      </w:r>
      <w:r>
        <w:t>also</w:t>
      </w:r>
      <w:r>
        <w:rPr>
          <w:spacing w:val="-9"/>
        </w:rPr>
        <w:t xml:space="preserve"> </w:t>
      </w:r>
      <w:r>
        <w:t>introduced</w:t>
      </w:r>
      <w:r>
        <w:rPr>
          <w:spacing w:val="-7"/>
        </w:rPr>
        <w:t xml:space="preserve"> </w:t>
      </w:r>
      <w:r>
        <w:t>legislation</w:t>
      </w:r>
      <w:r>
        <w:rPr>
          <w:spacing w:val="-7"/>
        </w:rPr>
        <w:t xml:space="preserve"> </w:t>
      </w:r>
      <w:r>
        <w:t>that</w:t>
      </w:r>
      <w:r>
        <w:rPr>
          <w:spacing w:val="-6"/>
        </w:rPr>
        <w:t xml:space="preserve"> </w:t>
      </w:r>
      <w:r>
        <w:t>would</w:t>
      </w:r>
      <w:r>
        <w:rPr>
          <w:spacing w:val="-7"/>
        </w:rPr>
        <w:t xml:space="preserve"> </w:t>
      </w:r>
      <w:r>
        <w:t>insert</w:t>
      </w:r>
      <w:r>
        <w:rPr>
          <w:spacing w:val="-6"/>
        </w:rPr>
        <w:t xml:space="preserve"> </w:t>
      </w:r>
      <w:r>
        <w:t>a</w:t>
      </w:r>
      <w:r>
        <w:rPr>
          <w:spacing w:val="-7"/>
        </w:rPr>
        <w:t xml:space="preserve"> </w:t>
      </w:r>
      <w:r>
        <w:t>right</w:t>
      </w:r>
      <w:r>
        <w:rPr>
          <w:spacing w:val="-6"/>
        </w:rPr>
        <w:t xml:space="preserve"> </w:t>
      </w:r>
      <w:r>
        <w:t>to</w:t>
      </w:r>
      <w:r>
        <w:rPr>
          <w:spacing w:val="-7"/>
        </w:rPr>
        <w:t xml:space="preserve"> </w:t>
      </w:r>
      <w:r>
        <w:t>a</w:t>
      </w:r>
      <w:r>
        <w:rPr>
          <w:spacing w:val="-7"/>
        </w:rPr>
        <w:t xml:space="preserve"> </w:t>
      </w:r>
      <w:r>
        <w:t>healthy</w:t>
      </w:r>
      <w:r>
        <w:rPr>
          <w:spacing w:val="-7"/>
        </w:rPr>
        <w:t xml:space="preserve"> </w:t>
      </w:r>
      <w:r>
        <w:t>environment</w:t>
      </w:r>
      <w:r>
        <w:rPr>
          <w:spacing w:val="-8"/>
        </w:rPr>
        <w:t xml:space="preserve"> </w:t>
      </w:r>
      <w:r>
        <w:t>into the ACT Charter.</w:t>
      </w:r>
      <w:r>
        <w:rPr>
          <w:position w:val="7"/>
          <w:sz w:val="13"/>
        </w:rPr>
        <w:t>69</w:t>
      </w:r>
    </w:p>
    <w:p w14:paraId="7CB25D63" w14:textId="77777777" w:rsidR="008A4099" w:rsidRDefault="006A6EE2">
      <w:pPr>
        <w:pStyle w:val="ListParagraph"/>
        <w:numPr>
          <w:ilvl w:val="2"/>
          <w:numId w:val="9"/>
        </w:numPr>
        <w:tabs>
          <w:tab w:val="left" w:pos="879"/>
        </w:tabs>
        <w:spacing w:before="218"/>
        <w:ind w:right="676" w:firstLine="0"/>
        <w:jc w:val="both"/>
        <w:rPr>
          <w:sz w:val="13"/>
        </w:rPr>
      </w:pPr>
      <w:r>
        <w:t>Other developments in the ACT include the establishment of a Human Rights Unit within the Justice and Community Safety Directorate (as part of the government’s commitment to effective implementation of the Act) and the appointment of a dedicated Minister for Human Rights to oversee legislative and policy responses to the protection of human rights in the ACT. The ACT has recently established</w:t>
      </w:r>
      <w:r>
        <w:rPr>
          <w:spacing w:val="-14"/>
        </w:rPr>
        <w:t xml:space="preserve"> </w:t>
      </w:r>
      <w:r>
        <w:t>a</w:t>
      </w:r>
      <w:r>
        <w:rPr>
          <w:spacing w:val="-14"/>
        </w:rPr>
        <w:t xml:space="preserve"> </w:t>
      </w:r>
      <w:r>
        <w:t>complaints</w:t>
      </w:r>
      <w:r>
        <w:rPr>
          <w:spacing w:val="-14"/>
        </w:rPr>
        <w:t xml:space="preserve"> </w:t>
      </w:r>
      <w:r>
        <w:t>mechanism</w:t>
      </w:r>
      <w:r>
        <w:rPr>
          <w:spacing w:val="-13"/>
        </w:rPr>
        <w:t xml:space="preserve"> </w:t>
      </w:r>
      <w:r>
        <w:t>within</w:t>
      </w:r>
      <w:r>
        <w:rPr>
          <w:spacing w:val="-14"/>
        </w:rPr>
        <w:t xml:space="preserve"> </w:t>
      </w:r>
      <w:r>
        <w:t>the</w:t>
      </w:r>
      <w:r>
        <w:rPr>
          <w:spacing w:val="-14"/>
        </w:rPr>
        <w:t xml:space="preserve"> </w:t>
      </w:r>
      <w:r>
        <w:t>Human</w:t>
      </w:r>
      <w:r>
        <w:rPr>
          <w:spacing w:val="-14"/>
        </w:rPr>
        <w:t xml:space="preserve"> </w:t>
      </w:r>
      <w:r>
        <w:t>Rights</w:t>
      </w:r>
      <w:r>
        <w:rPr>
          <w:spacing w:val="-13"/>
        </w:rPr>
        <w:t xml:space="preserve"> </w:t>
      </w:r>
      <w:r>
        <w:t>Commission</w:t>
      </w:r>
      <w:r>
        <w:rPr>
          <w:spacing w:val="-14"/>
        </w:rPr>
        <w:t xml:space="preserve"> </w:t>
      </w:r>
      <w:r>
        <w:t>in</w:t>
      </w:r>
      <w:r>
        <w:rPr>
          <w:spacing w:val="-14"/>
        </w:rPr>
        <w:t xml:space="preserve"> </w:t>
      </w:r>
      <w:r>
        <w:t>relation</w:t>
      </w:r>
      <w:r>
        <w:rPr>
          <w:spacing w:val="-14"/>
        </w:rPr>
        <w:t xml:space="preserve"> </w:t>
      </w:r>
      <w:r>
        <w:t>to</w:t>
      </w:r>
      <w:r>
        <w:rPr>
          <w:spacing w:val="-13"/>
        </w:rPr>
        <w:t xml:space="preserve"> </w:t>
      </w:r>
      <w:r>
        <w:t>abuse,</w:t>
      </w:r>
      <w:r>
        <w:rPr>
          <w:spacing w:val="-14"/>
        </w:rPr>
        <w:t xml:space="preserve"> </w:t>
      </w:r>
      <w:r>
        <w:t>neglect, or exploitation of vulnerable people, including people older than 60 with specified characteristics and people with a disability.</w:t>
      </w:r>
      <w:r>
        <w:rPr>
          <w:position w:val="7"/>
          <w:sz w:val="13"/>
        </w:rPr>
        <w:t>70</w:t>
      </w:r>
    </w:p>
    <w:p w14:paraId="7CB25D64" w14:textId="77777777" w:rsidR="008A4099" w:rsidRDefault="008A4099">
      <w:pPr>
        <w:pStyle w:val="BodyText"/>
        <w:rPr>
          <w:sz w:val="20"/>
        </w:rPr>
      </w:pPr>
    </w:p>
    <w:p w14:paraId="7CB25D65" w14:textId="77777777" w:rsidR="008A4099" w:rsidRDefault="008A4099">
      <w:pPr>
        <w:pStyle w:val="BodyText"/>
        <w:rPr>
          <w:sz w:val="20"/>
        </w:rPr>
      </w:pPr>
    </w:p>
    <w:p w14:paraId="7CB25D66" w14:textId="77777777" w:rsidR="008A4099" w:rsidRDefault="006A6EE2">
      <w:pPr>
        <w:pStyle w:val="BodyText"/>
        <w:spacing w:before="167"/>
        <w:rPr>
          <w:sz w:val="20"/>
        </w:rPr>
      </w:pPr>
      <w:r>
        <w:rPr>
          <w:noProof/>
        </w:rPr>
        <mc:AlternateContent>
          <mc:Choice Requires="wps">
            <w:drawing>
              <wp:anchor distT="0" distB="0" distL="0" distR="0" simplePos="0" relativeHeight="487594496" behindDoc="1" locked="0" layoutInCell="1" allowOverlap="1" wp14:anchorId="7CB265F3" wp14:editId="7CB265F4">
                <wp:simplePos x="0" y="0"/>
                <wp:positionH relativeFrom="page">
                  <wp:posOffset>914704</wp:posOffset>
                </wp:positionH>
                <wp:positionV relativeFrom="paragraph">
                  <wp:posOffset>267461</wp:posOffset>
                </wp:positionV>
                <wp:extent cx="1829435" cy="76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3175FE" id="Graphic 49" o:spid="_x0000_s1026" style="position:absolute;margin-left:1in;margin-top:21.05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" path="m1829054,l,,,7619r1829054,l1829054,xe" fillcolor="black" stroked="f">
                <v:path arrowok="t"/>
                <w10:wrap type="topAndBottom" anchorx="page"/>
              </v:shape>
            </w:pict>
          </mc:Fallback>
        </mc:AlternateContent>
      </w:r>
    </w:p>
    <w:p w14:paraId="7CB25D67" w14:textId="77777777" w:rsidR="008A4099" w:rsidRDefault="006A6EE2">
      <w:pPr>
        <w:spacing w:before="112" w:line="244" w:lineRule="auto"/>
        <w:ind w:left="160" w:right="680"/>
        <w:jc w:val="both"/>
        <w:rPr>
          <w:sz w:val="18"/>
        </w:rPr>
      </w:pPr>
      <w:r>
        <w:rPr>
          <w:sz w:val="18"/>
          <w:vertAlign w:val="superscript"/>
        </w:rPr>
        <w:t>61</w:t>
      </w:r>
      <w:r>
        <w:rPr>
          <w:sz w:val="18"/>
        </w:rPr>
        <w:t xml:space="preserve"> Australian National University (ACT Human Rights Act Research Project), </w:t>
      </w:r>
      <w:r>
        <w:rPr>
          <w:i/>
          <w:sz w:val="18"/>
        </w:rPr>
        <w:t>The Human Rights Act</w:t>
      </w:r>
      <w:r>
        <w:rPr>
          <w:i/>
          <w:spacing w:val="-1"/>
          <w:sz w:val="18"/>
        </w:rPr>
        <w:t xml:space="preserve"> </w:t>
      </w:r>
      <w:r>
        <w:rPr>
          <w:i/>
          <w:sz w:val="18"/>
        </w:rPr>
        <w:t>2004 (ACT): The First Five Years of Operation</w:t>
      </w:r>
      <w:r>
        <w:rPr>
          <w:sz w:val="18"/>
        </w:rPr>
        <w:t xml:space="preserve">. </w:t>
      </w:r>
      <w:r>
        <w:rPr>
          <w:i/>
          <w:sz w:val="18"/>
        </w:rPr>
        <w:t xml:space="preserve">Report to the ACT Department of Justice and Community Safety </w:t>
      </w:r>
      <w:r>
        <w:rPr>
          <w:sz w:val="18"/>
        </w:rPr>
        <w:t>(Report, 2009) 6.</w:t>
      </w:r>
    </w:p>
    <w:p w14:paraId="7CB25D68" w14:textId="77777777" w:rsidR="008A4099" w:rsidRDefault="006A6EE2">
      <w:pPr>
        <w:spacing w:before="15" w:line="242" w:lineRule="auto"/>
        <w:ind w:left="160" w:right="674"/>
        <w:jc w:val="both"/>
        <w:rPr>
          <w:sz w:val="18"/>
        </w:rPr>
      </w:pPr>
      <w:r>
        <w:rPr>
          <w:sz w:val="18"/>
          <w:vertAlign w:val="superscript"/>
        </w:rPr>
        <w:t>62</w:t>
      </w:r>
      <w:r>
        <w:rPr>
          <w:sz w:val="18"/>
        </w:rPr>
        <w:t xml:space="preserve"> Helen Watchirs, Sean Costello and Renuka Thilagaratnam, ‘Human Rights Scrutiny under the </w:t>
      </w:r>
      <w:r>
        <w:rPr>
          <w:i/>
          <w:sz w:val="18"/>
        </w:rPr>
        <w:t xml:space="preserve">Human Rights Act 2004 </w:t>
      </w:r>
      <w:r>
        <w:rPr>
          <w:sz w:val="18"/>
        </w:rPr>
        <w:t xml:space="preserve">(ACT)’ in Julie Debeljak and Laura Greenfell (eds), </w:t>
      </w:r>
      <w:r>
        <w:rPr>
          <w:i/>
          <w:sz w:val="18"/>
        </w:rPr>
        <w:t xml:space="preserve">Law Making and Human Rights </w:t>
      </w:r>
      <w:r>
        <w:rPr>
          <w:sz w:val="18"/>
        </w:rPr>
        <w:t>(LawBook Co,</w:t>
      </w:r>
      <w:r>
        <w:rPr>
          <w:spacing w:val="-2"/>
          <w:sz w:val="18"/>
        </w:rPr>
        <w:t xml:space="preserve"> </w:t>
      </w:r>
      <w:r>
        <w:rPr>
          <w:sz w:val="18"/>
        </w:rPr>
        <w:t xml:space="preserve">2020) ch 6 [6.10]; ACT Human Rights and Discrimination Commissioner, </w:t>
      </w:r>
      <w:r>
        <w:rPr>
          <w:i/>
          <w:sz w:val="18"/>
        </w:rPr>
        <w:t xml:space="preserve">Look Who’s Talking – A Snapshot of Ten Years of Dialogue Under the Human Rights Act 2004 </w:t>
      </w:r>
      <w:r>
        <w:rPr>
          <w:sz w:val="18"/>
        </w:rPr>
        <w:t>(Report, 2014) 16.</w:t>
      </w:r>
    </w:p>
    <w:p w14:paraId="7CB25D69" w14:textId="77777777" w:rsidR="008A4099" w:rsidRDefault="006A6EE2">
      <w:pPr>
        <w:spacing w:before="16"/>
        <w:ind w:left="160"/>
        <w:rPr>
          <w:sz w:val="18"/>
        </w:rPr>
      </w:pPr>
      <w:r>
        <w:rPr>
          <w:sz w:val="18"/>
          <w:vertAlign w:val="superscript"/>
        </w:rPr>
        <w:t>63</w:t>
      </w:r>
      <w:r>
        <w:rPr>
          <w:spacing w:val="-2"/>
          <w:sz w:val="18"/>
        </w:rPr>
        <w:t xml:space="preserve"> </w:t>
      </w:r>
      <w:r>
        <w:rPr>
          <w:sz w:val="18"/>
        </w:rPr>
        <w:t>Watchirs,</w:t>
      </w:r>
      <w:r>
        <w:rPr>
          <w:spacing w:val="-1"/>
          <w:sz w:val="18"/>
        </w:rPr>
        <w:t xml:space="preserve"> </w:t>
      </w:r>
      <w:r>
        <w:rPr>
          <w:sz w:val="18"/>
        </w:rPr>
        <w:t>Costello and Thilagaratnam,</w:t>
      </w:r>
      <w:r>
        <w:rPr>
          <w:spacing w:val="-1"/>
          <w:sz w:val="18"/>
        </w:rPr>
        <w:t xml:space="preserve"> </w:t>
      </w:r>
      <w:r>
        <w:rPr>
          <w:sz w:val="18"/>
        </w:rPr>
        <w:t>‘Human Rights</w:t>
      </w:r>
      <w:r>
        <w:rPr>
          <w:spacing w:val="-3"/>
          <w:sz w:val="18"/>
        </w:rPr>
        <w:t xml:space="preserve"> </w:t>
      </w:r>
      <w:r>
        <w:rPr>
          <w:sz w:val="18"/>
        </w:rPr>
        <w:t>Scrutiny</w:t>
      </w:r>
      <w:r>
        <w:rPr>
          <w:spacing w:val="-2"/>
          <w:sz w:val="18"/>
        </w:rPr>
        <w:t xml:space="preserve"> </w:t>
      </w:r>
      <w:r>
        <w:rPr>
          <w:sz w:val="18"/>
        </w:rPr>
        <w:t>under</w:t>
      </w:r>
      <w:r>
        <w:rPr>
          <w:spacing w:val="-1"/>
          <w:sz w:val="18"/>
        </w:rPr>
        <w:t xml:space="preserve"> </w:t>
      </w:r>
      <w:r>
        <w:rPr>
          <w:sz w:val="18"/>
        </w:rPr>
        <w:t>the</w:t>
      </w:r>
      <w:r>
        <w:rPr>
          <w:spacing w:val="3"/>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Act</w:t>
      </w:r>
      <w:r>
        <w:rPr>
          <w:i/>
          <w:spacing w:val="-3"/>
          <w:sz w:val="18"/>
        </w:rPr>
        <w:t xml:space="preserve"> </w:t>
      </w:r>
      <w:r>
        <w:rPr>
          <w:i/>
          <w:sz w:val="18"/>
        </w:rPr>
        <w:t xml:space="preserve">2004 </w:t>
      </w:r>
      <w:r>
        <w:rPr>
          <w:sz w:val="18"/>
        </w:rPr>
        <w:t>(ACT)’</w:t>
      </w:r>
      <w:r>
        <w:rPr>
          <w:spacing w:val="-1"/>
          <w:sz w:val="18"/>
        </w:rPr>
        <w:t xml:space="preserve"> </w:t>
      </w:r>
      <w:r>
        <w:rPr>
          <w:spacing w:val="-2"/>
          <w:sz w:val="18"/>
        </w:rPr>
        <w:t>[6.10].</w:t>
      </w:r>
    </w:p>
    <w:p w14:paraId="7CB25D6A" w14:textId="77777777" w:rsidR="008A4099" w:rsidRDefault="006A6EE2">
      <w:pPr>
        <w:spacing w:before="21"/>
        <w:ind w:left="160"/>
        <w:rPr>
          <w:sz w:val="18"/>
        </w:rPr>
      </w:pPr>
      <w:r>
        <w:rPr>
          <w:sz w:val="18"/>
          <w:vertAlign w:val="superscript"/>
        </w:rPr>
        <w:t>64</w:t>
      </w:r>
      <w:r>
        <w:rPr>
          <w:sz w:val="18"/>
        </w:rPr>
        <w:t xml:space="preserve"> </w:t>
      </w:r>
      <w:r>
        <w:rPr>
          <w:i/>
          <w:sz w:val="18"/>
        </w:rPr>
        <w:t>Human</w:t>
      </w:r>
      <w:r>
        <w:rPr>
          <w:i/>
          <w:spacing w:val="-1"/>
          <w:sz w:val="18"/>
        </w:rPr>
        <w:t xml:space="preserve"> </w:t>
      </w:r>
      <w:r>
        <w:rPr>
          <w:i/>
          <w:sz w:val="18"/>
        </w:rPr>
        <w:t>Rights</w:t>
      </w:r>
      <w:r>
        <w:rPr>
          <w:i/>
          <w:spacing w:val="1"/>
          <w:sz w:val="18"/>
        </w:rPr>
        <w:t xml:space="preserve"> </w:t>
      </w:r>
      <w:r>
        <w:rPr>
          <w:i/>
          <w:sz w:val="18"/>
        </w:rPr>
        <w:t>Act</w:t>
      </w:r>
      <w:r>
        <w:rPr>
          <w:i/>
          <w:spacing w:val="-2"/>
          <w:sz w:val="18"/>
        </w:rPr>
        <w:t xml:space="preserve"> </w:t>
      </w:r>
      <w:r>
        <w:rPr>
          <w:i/>
          <w:sz w:val="18"/>
        </w:rPr>
        <w:t>2004</w:t>
      </w:r>
      <w:r>
        <w:rPr>
          <w:i/>
          <w:spacing w:val="4"/>
          <w:sz w:val="18"/>
        </w:rPr>
        <w:t xml:space="preserve"> </w:t>
      </w:r>
      <w:r>
        <w:rPr>
          <w:sz w:val="18"/>
        </w:rPr>
        <w:t>(ACT) s</w:t>
      </w:r>
      <w:r>
        <w:rPr>
          <w:spacing w:val="-2"/>
          <w:sz w:val="18"/>
        </w:rPr>
        <w:t xml:space="preserve"> </w:t>
      </w:r>
      <w:r>
        <w:rPr>
          <w:spacing w:val="-4"/>
          <w:sz w:val="18"/>
        </w:rPr>
        <w:t>40B.</w:t>
      </w:r>
    </w:p>
    <w:p w14:paraId="7CB25D6B" w14:textId="77777777" w:rsidR="008A4099" w:rsidRDefault="006A6EE2">
      <w:pPr>
        <w:spacing w:before="24"/>
        <w:ind w:left="160"/>
        <w:rPr>
          <w:sz w:val="18"/>
        </w:rPr>
      </w:pPr>
      <w:r>
        <w:rPr>
          <w:sz w:val="18"/>
          <w:vertAlign w:val="superscript"/>
        </w:rPr>
        <w:t>65</w:t>
      </w:r>
      <w:r>
        <w:rPr>
          <w:spacing w:val="2"/>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Act 2004</w:t>
      </w:r>
      <w:r>
        <w:rPr>
          <w:i/>
          <w:spacing w:val="2"/>
          <w:sz w:val="18"/>
        </w:rPr>
        <w:t xml:space="preserve"> </w:t>
      </w:r>
      <w:r>
        <w:rPr>
          <w:sz w:val="18"/>
        </w:rPr>
        <w:t>(ACT)</w:t>
      </w:r>
      <w:r>
        <w:rPr>
          <w:spacing w:val="1"/>
          <w:sz w:val="18"/>
        </w:rPr>
        <w:t xml:space="preserve"> </w:t>
      </w:r>
      <w:r>
        <w:rPr>
          <w:sz w:val="18"/>
        </w:rPr>
        <w:t>s 40C.</w:t>
      </w:r>
      <w:r>
        <w:rPr>
          <w:spacing w:val="2"/>
          <w:sz w:val="18"/>
        </w:rPr>
        <w:t xml:space="preserve"> </w:t>
      </w:r>
      <w:r>
        <w:rPr>
          <w:sz w:val="18"/>
        </w:rPr>
        <w:t>However,</w:t>
      </w:r>
      <w:r>
        <w:rPr>
          <w:spacing w:val="2"/>
          <w:sz w:val="18"/>
        </w:rPr>
        <w:t xml:space="preserve"> </w:t>
      </w:r>
      <w:r>
        <w:rPr>
          <w:sz w:val="18"/>
        </w:rPr>
        <w:t>an</w:t>
      </w:r>
      <w:r>
        <w:rPr>
          <w:spacing w:val="1"/>
          <w:sz w:val="18"/>
        </w:rPr>
        <w:t xml:space="preserve"> </w:t>
      </w:r>
      <w:r>
        <w:rPr>
          <w:sz w:val="18"/>
        </w:rPr>
        <w:t>award</w:t>
      </w:r>
      <w:r>
        <w:rPr>
          <w:spacing w:val="2"/>
          <w:sz w:val="18"/>
        </w:rPr>
        <w:t xml:space="preserve"> </w:t>
      </w:r>
      <w:r>
        <w:rPr>
          <w:sz w:val="18"/>
        </w:rPr>
        <w:t>of</w:t>
      </w:r>
      <w:r>
        <w:rPr>
          <w:spacing w:val="-1"/>
          <w:sz w:val="18"/>
        </w:rPr>
        <w:t xml:space="preserve"> </w:t>
      </w:r>
      <w:r>
        <w:rPr>
          <w:sz w:val="18"/>
        </w:rPr>
        <w:t>damages</w:t>
      </w:r>
      <w:r>
        <w:rPr>
          <w:spacing w:val="2"/>
          <w:sz w:val="18"/>
        </w:rPr>
        <w:t xml:space="preserve"> </w:t>
      </w:r>
      <w:r>
        <w:rPr>
          <w:sz w:val="18"/>
        </w:rPr>
        <w:t>may</w:t>
      </w:r>
      <w:r>
        <w:rPr>
          <w:spacing w:val="2"/>
          <w:sz w:val="18"/>
        </w:rPr>
        <w:t xml:space="preserve"> </w:t>
      </w:r>
      <w:r>
        <w:rPr>
          <w:sz w:val="18"/>
        </w:rPr>
        <w:t>still</w:t>
      </w:r>
      <w:r>
        <w:rPr>
          <w:spacing w:val="-1"/>
          <w:sz w:val="18"/>
        </w:rPr>
        <w:t xml:space="preserve"> </w:t>
      </w:r>
      <w:r>
        <w:rPr>
          <w:sz w:val="18"/>
        </w:rPr>
        <w:t>not be</w:t>
      </w:r>
      <w:r>
        <w:rPr>
          <w:spacing w:val="1"/>
          <w:sz w:val="18"/>
        </w:rPr>
        <w:t xml:space="preserve"> </w:t>
      </w:r>
      <w:r>
        <w:rPr>
          <w:sz w:val="18"/>
        </w:rPr>
        <w:t>made</w:t>
      </w:r>
      <w:r>
        <w:rPr>
          <w:spacing w:val="1"/>
          <w:sz w:val="18"/>
        </w:rPr>
        <w:t xml:space="preserve"> </w:t>
      </w:r>
      <w:r>
        <w:rPr>
          <w:sz w:val="18"/>
        </w:rPr>
        <w:t>for a</w:t>
      </w:r>
      <w:r>
        <w:rPr>
          <w:spacing w:val="1"/>
          <w:sz w:val="18"/>
        </w:rPr>
        <w:t xml:space="preserve"> </w:t>
      </w:r>
      <w:r>
        <w:rPr>
          <w:sz w:val="18"/>
        </w:rPr>
        <w:t>breach</w:t>
      </w:r>
      <w:r>
        <w:rPr>
          <w:spacing w:val="2"/>
          <w:sz w:val="18"/>
        </w:rPr>
        <w:t xml:space="preserve"> </w:t>
      </w:r>
      <w:r>
        <w:rPr>
          <w:sz w:val="18"/>
        </w:rPr>
        <w:t>of human</w:t>
      </w:r>
      <w:r>
        <w:rPr>
          <w:spacing w:val="2"/>
          <w:sz w:val="18"/>
        </w:rPr>
        <w:t xml:space="preserve"> </w:t>
      </w:r>
      <w:r>
        <w:rPr>
          <w:spacing w:val="-2"/>
          <w:sz w:val="18"/>
        </w:rPr>
        <w:t>rights:</w:t>
      </w:r>
    </w:p>
    <w:p w14:paraId="7CB25D6C" w14:textId="77777777" w:rsidR="008A4099" w:rsidRDefault="006A6EE2">
      <w:pPr>
        <w:spacing w:before="4"/>
        <w:ind w:left="160"/>
        <w:rPr>
          <w:sz w:val="18"/>
        </w:rPr>
      </w:pPr>
      <w:r>
        <w:rPr>
          <w:i/>
          <w:sz w:val="18"/>
        </w:rPr>
        <w:t>Human</w:t>
      </w:r>
      <w:r>
        <w:rPr>
          <w:i/>
          <w:spacing w:val="-2"/>
          <w:sz w:val="18"/>
        </w:rPr>
        <w:t xml:space="preserve"> </w:t>
      </w:r>
      <w:r>
        <w:rPr>
          <w:i/>
          <w:sz w:val="18"/>
        </w:rPr>
        <w:t>Rights Act</w:t>
      </w:r>
      <w:r>
        <w:rPr>
          <w:i/>
          <w:spacing w:val="-2"/>
          <w:sz w:val="18"/>
        </w:rPr>
        <w:t xml:space="preserve"> </w:t>
      </w:r>
      <w:r>
        <w:rPr>
          <w:i/>
          <w:sz w:val="18"/>
        </w:rPr>
        <w:t>2004</w:t>
      </w:r>
      <w:r>
        <w:rPr>
          <w:i/>
          <w:spacing w:val="-1"/>
          <w:sz w:val="18"/>
        </w:rPr>
        <w:t xml:space="preserve"> </w:t>
      </w:r>
      <w:r>
        <w:rPr>
          <w:sz w:val="18"/>
        </w:rPr>
        <w:t>(ACT) s</w:t>
      </w:r>
      <w:r>
        <w:rPr>
          <w:spacing w:val="-3"/>
          <w:sz w:val="18"/>
        </w:rPr>
        <w:t xml:space="preserve"> </w:t>
      </w:r>
      <w:r>
        <w:rPr>
          <w:spacing w:val="-2"/>
          <w:sz w:val="18"/>
        </w:rPr>
        <w:t>40C(4).</w:t>
      </w:r>
    </w:p>
    <w:p w14:paraId="7CB25D6D" w14:textId="77777777" w:rsidR="008A4099" w:rsidRDefault="006A6EE2">
      <w:pPr>
        <w:spacing w:before="19" w:line="242" w:lineRule="auto"/>
        <w:ind w:left="160" w:right="673"/>
        <w:rPr>
          <w:sz w:val="18"/>
        </w:rPr>
      </w:pPr>
      <w:r>
        <w:rPr>
          <w:sz w:val="18"/>
          <w:vertAlign w:val="superscript"/>
        </w:rPr>
        <w:t>66</w:t>
      </w:r>
      <w:r>
        <w:rPr>
          <w:sz w:val="18"/>
        </w:rPr>
        <w:t xml:space="preserve"> See </w:t>
      </w:r>
      <w:r>
        <w:rPr>
          <w:i/>
          <w:sz w:val="18"/>
        </w:rPr>
        <w:t xml:space="preserve">Human Rights Amendment Act 2012 </w:t>
      </w:r>
      <w:r>
        <w:rPr>
          <w:sz w:val="18"/>
        </w:rPr>
        <w:t xml:space="preserve">(ACT) s 6, which inserted s 27A into the Act (discussed at [4.3.3]–[4.3.4]); see also </w:t>
      </w:r>
      <w:r>
        <w:rPr>
          <w:i/>
          <w:sz w:val="18"/>
        </w:rPr>
        <w:t xml:space="preserve">ACT Government Response to the Australian Capital Territory Economic, Social and Cultural Rights Research Project </w:t>
      </w:r>
      <w:r>
        <w:rPr>
          <w:sz w:val="18"/>
        </w:rPr>
        <w:t xml:space="preserve">(Report, 2012) &lt;https://regnet.anu.edu.au/Centre-International-Governance-and-Justice/ACT-economic-social-and-cultural- </w:t>
      </w:r>
      <w:r>
        <w:rPr>
          <w:spacing w:val="-2"/>
          <w:sz w:val="18"/>
        </w:rPr>
        <w:t>rights-project&gt;.</w:t>
      </w:r>
    </w:p>
    <w:p w14:paraId="7CB25D6E" w14:textId="77777777" w:rsidR="008A4099" w:rsidRDefault="006A6EE2">
      <w:pPr>
        <w:spacing w:before="15" w:line="244" w:lineRule="auto"/>
        <w:ind w:left="160" w:right="680"/>
        <w:rPr>
          <w:sz w:val="18"/>
        </w:rPr>
      </w:pPr>
      <w:r>
        <w:rPr>
          <w:sz w:val="18"/>
          <w:vertAlign w:val="superscript"/>
        </w:rPr>
        <w:t>67</w:t>
      </w:r>
      <w:r>
        <w:rPr>
          <w:spacing w:val="14"/>
          <w:sz w:val="18"/>
        </w:rPr>
        <w:t xml:space="preserve"> </w:t>
      </w:r>
      <w:r>
        <w:rPr>
          <w:i/>
          <w:sz w:val="18"/>
        </w:rPr>
        <w:t>Human Rights Amendment Act 2016</w:t>
      </w:r>
      <w:r>
        <w:rPr>
          <w:i/>
          <w:spacing w:val="17"/>
          <w:sz w:val="18"/>
        </w:rPr>
        <w:t xml:space="preserve"> </w:t>
      </w:r>
      <w:r>
        <w:rPr>
          <w:sz w:val="18"/>
        </w:rPr>
        <w:t>(ACT) s</w:t>
      </w:r>
      <w:r>
        <w:rPr>
          <w:spacing w:val="13"/>
          <w:sz w:val="18"/>
        </w:rPr>
        <w:t xml:space="preserve"> </w:t>
      </w:r>
      <w:r>
        <w:rPr>
          <w:sz w:val="18"/>
        </w:rPr>
        <w:t>7,</w:t>
      </w:r>
      <w:r>
        <w:rPr>
          <w:spacing w:val="14"/>
          <w:sz w:val="18"/>
        </w:rPr>
        <w:t xml:space="preserve"> </w:t>
      </w:r>
      <w:r>
        <w:rPr>
          <w:sz w:val="18"/>
        </w:rPr>
        <w:t>inserting a</w:t>
      </w:r>
      <w:r>
        <w:rPr>
          <w:spacing w:val="13"/>
          <w:sz w:val="18"/>
        </w:rPr>
        <w:t xml:space="preserve"> </w:t>
      </w:r>
      <w:r>
        <w:rPr>
          <w:sz w:val="18"/>
        </w:rPr>
        <w:t>new s</w:t>
      </w:r>
      <w:r>
        <w:rPr>
          <w:spacing w:val="13"/>
          <w:sz w:val="18"/>
        </w:rPr>
        <w:t xml:space="preserve"> </w:t>
      </w:r>
      <w:r>
        <w:rPr>
          <w:sz w:val="18"/>
        </w:rPr>
        <w:t>27(2) in</w:t>
      </w:r>
      <w:r>
        <w:rPr>
          <w:spacing w:val="15"/>
          <w:sz w:val="18"/>
        </w:rPr>
        <w:t xml:space="preserve"> </w:t>
      </w:r>
      <w:r>
        <w:rPr>
          <w:sz w:val="18"/>
        </w:rPr>
        <w:t>the</w:t>
      </w:r>
      <w:r>
        <w:rPr>
          <w:spacing w:val="17"/>
          <w:sz w:val="18"/>
        </w:rPr>
        <w:t xml:space="preserve"> </w:t>
      </w:r>
      <w:r>
        <w:rPr>
          <w:i/>
          <w:sz w:val="18"/>
        </w:rPr>
        <w:t>Human Rights</w:t>
      </w:r>
      <w:r>
        <w:rPr>
          <w:i/>
          <w:spacing w:val="13"/>
          <w:sz w:val="18"/>
        </w:rPr>
        <w:t xml:space="preserve"> </w:t>
      </w:r>
      <w:r>
        <w:rPr>
          <w:i/>
          <w:sz w:val="18"/>
        </w:rPr>
        <w:t>Act</w:t>
      </w:r>
      <w:r>
        <w:rPr>
          <w:i/>
          <w:spacing w:val="14"/>
          <w:sz w:val="18"/>
        </w:rPr>
        <w:t xml:space="preserve"> </w:t>
      </w:r>
      <w:r>
        <w:rPr>
          <w:i/>
          <w:sz w:val="18"/>
        </w:rPr>
        <w:t>2004</w:t>
      </w:r>
      <w:r>
        <w:rPr>
          <w:i/>
          <w:spacing w:val="15"/>
          <w:sz w:val="18"/>
        </w:rPr>
        <w:t xml:space="preserve"> </w:t>
      </w:r>
      <w:r>
        <w:rPr>
          <w:sz w:val="18"/>
        </w:rPr>
        <w:t>(ACT);</w:t>
      </w:r>
      <w:r>
        <w:rPr>
          <w:spacing w:val="14"/>
          <w:sz w:val="18"/>
        </w:rPr>
        <w:t xml:space="preserve"> </w:t>
      </w:r>
      <w:r>
        <w:rPr>
          <w:sz w:val="18"/>
        </w:rPr>
        <w:t>see</w:t>
      </w:r>
      <w:r>
        <w:rPr>
          <w:spacing w:val="13"/>
          <w:sz w:val="18"/>
        </w:rPr>
        <w:t xml:space="preserve"> </w:t>
      </w:r>
      <w:r>
        <w:rPr>
          <w:sz w:val="18"/>
        </w:rPr>
        <w:t xml:space="preserve">also </w:t>
      </w:r>
      <w:r>
        <w:rPr>
          <w:spacing w:val="-2"/>
          <w:sz w:val="18"/>
        </w:rPr>
        <w:t>[4.3.13].</w:t>
      </w:r>
    </w:p>
    <w:p w14:paraId="7CB25D6F" w14:textId="77777777" w:rsidR="008A4099" w:rsidRDefault="006A6EE2">
      <w:pPr>
        <w:spacing w:before="15" w:line="244" w:lineRule="auto"/>
        <w:ind w:left="160"/>
        <w:rPr>
          <w:sz w:val="18"/>
        </w:rPr>
      </w:pPr>
      <w:r>
        <w:rPr>
          <w:sz w:val="18"/>
          <w:vertAlign w:val="superscript"/>
        </w:rPr>
        <w:t>68</w:t>
      </w:r>
      <w:r>
        <w:rPr>
          <w:sz w:val="18"/>
        </w:rPr>
        <w:t xml:space="preserve"> See </w:t>
      </w:r>
      <w:r>
        <w:rPr>
          <w:i/>
          <w:sz w:val="18"/>
        </w:rPr>
        <w:t xml:space="preserve">Human Rights Act 2004 </w:t>
      </w:r>
      <w:r>
        <w:rPr>
          <w:sz w:val="18"/>
        </w:rPr>
        <w:t xml:space="preserve">(ACT) s 27B inserted by </w:t>
      </w:r>
      <w:r>
        <w:rPr>
          <w:i/>
          <w:sz w:val="18"/>
        </w:rPr>
        <w:t xml:space="preserve">Human Rights (Workers Rights) Amendment Act 2020 </w:t>
      </w:r>
      <w:r>
        <w:rPr>
          <w:sz w:val="18"/>
        </w:rPr>
        <w:t>s</w:t>
      </w:r>
      <w:r>
        <w:rPr>
          <w:spacing w:val="-4"/>
          <w:sz w:val="18"/>
        </w:rPr>
        <w:t xml:space="preserve"> </w:t>
      </w:r>
      <w:r>
        <w:rPr>
          <w:sz w:val="18"/>
        </w:rPr>
        <w:t xml:space="preserve">4; see also </w:t>
      </w:r>
      <w:r>
        <w:rPr>
          <w:spacing w:val="-2"/>
          <w:sz w:val="18"/>
        </w:rPr>
        <w:t>[4.3.19]–[4.3.20].</w:t>
      </w:r>
    </w:p>
    <w:p w14:paraId="7CB25D70" w14:textId="77777777" w:rsidR="008A4099" w:rsidRDefault="006A6EE2">
      <w:pPr>
        <w:spacing w:before="14"/>
        <w:ind w:left="160"/>
        <w:rPr>
          <w:sz w:val="18"/>
        </w:rPr>
      </w:pPr>
      <w:r>
        <w:rPr>
          <w:sz w:val="18"/>
          <w:vertAlign w:val="superscript"/>
        </w:rPr>
        <w:t>69</w:t>
      </w:r>
      <w:r>
        <w:rPr>
          <w:spacing w:val="-1"/>
          <w:sz w:val="18"/>
        </w:rPr>
        <w:t xml:space="preserve"> </w:t>
      </w:r>
      <w:r>
        <w:rPr>
          <w:sz w:val="18"/>
        </w:rPr>
        <w:t>See</w:t>
      </w:r>
      <w:r>
        <w:rPr>
          <w:spacing w:val="-1"/>
          <w:sz w:val="18"/>
        </w:rPr>
        <w:t xml:space="preserve"> </w:t>
      </w:r>
      <w:r>
        <w:rPr>
          <w:i/>
          <w:sz w:val="18"/>
        </w:rPr>
        <w:t>Human</w:t>
      </w:r>
      <w:r>
        <w:rPr>
          <w:i/>
          <w:spacing w:val="-1"/>
          <w:sz w:val="18"/>
        </w:rPr>
        <w:t xml:space="preserve"> </w:t>
      </w:r>
      <w:r>
        <w:rPr>
          <w:i/>
          <w:sz w:val="18"/>
        </w:rPr>
        <w:t>Rights</w:t>
      </w:r>
      <w:r>
        <w:rPr>
          <w:i/>
          <w:spacing w:val="-1"/>
          <w:sz w:val="18"/>
        </w:rPr>
        <w:t xml:space="preserve"> </w:t>
      </w:r>
      <w:r>
        <w:rPr>
          <w:i/>
          <w:sz w:val="18"/>
        </w:rPr>
        <w:t>(Healthy</w:t>
      </w:r>
      <w:r>
        <w:rPr>
          <w:i/>
          <w:spacing w:val="-2"/>
          <w:sz w:val="18"/>
        </w:rPr>
        <w:t xml:space="preserve"> </w:t>
      </w:r>
      <w:r>
        <w:rPr>
          <w:i/>
          <w:sz w:val="18"/>
        </w:rPr>
        <w:t>Environment) Amendment</w:t>
      </w:r>
      <w:r>
        <w:rPr>
          <w:i/>
          <w:spacing w:val="-3"/>
          <w:sz w:val="18"/>
        </w:rPr>
        <w:t xml:space="preserve"> </w:t>
      </w:r>
      <w:r>
        <w:rPr>
          <w:i/>
          <w:sz w:val="18"/>
        </w:rPr>
        <w:t>Act 2023</w:t>
      </w:r>
      <w:r>
        <w:rPr>
          <w:i/>
          <w:spacing w:val="5"/>
          <w:sz w:val="18"/>
        </w:rPr>
        <w:t xml:space="preserve"> </w:t>
      </w:r>
      <w:r>
        <w:rPr>
          <w:spacing w:val="-2"/>
          <w:sz w:val="18"/>
        </w:rPr>
        <w:t>(ACT).</w:t>
      </w:r>
    </w:p>
    <w:p w14:paraId="7CB25D71" w14:textId="77777777" w:rsidR="008A4099" w:rsidRDefault="006A6EE2">
      <w:pPr>
        <w:spacing w:before="24"/>
        <w:ind w:left="160"/>
        <w:rPr>
          <w:sz w:val="18"/>
        </w:rPr>
      </w:pPr>
      <w:r>
        <w:rPr>
          <w:sz w:val="18"/>
          <w:vertAlign w:val="superscript"/>
        </w:rPr>
        <w:t>70</w:t>
      </w:r>
      <w:r>
        <w:rPr>
          <w:sz w:val="18"/>
        </w:rPr>
        <w:t xml:space="preserve"> </w:t>
      </w:r>
      <w:r>
        <w:rPr>
          <w:i/>
          <w:sz w:val="18"/>
        </w:rPr>
        <w:t>Human Rights</w:t>
      </w:r>
      <w:r>
        <w:rPr>
          <w:i/>
          <w:spacing w:val="1"/>
          <w:sz w:val="18"/>
        </w:rPr>
        <w:t xml:space="preserve"> </w:t>
      </w:r>
      <w:r>
        <w:rPr>
          <w:i/>
          <w:sz w:val="18"/>
        </w:rPr>
        <w:t>Commission</w:t>
      </w:r>
      <w:r>
        <w:rPr>
          <w:i/>
          <w:spacing w:val="-1"/>
          <w:sz w:val="18"/>
        </w:rPr>
        <w:t xml:space="preserve"> </w:t>
      </w:r>
      <w:r>
        <w:rPr>
          <w:i/>
          <w:sz w:val="18"/>
        </w:rPr>
        <w:t>Act</w:t>
      </w:r>
      <w:r>
        <w:rPr>
          <w:i/>
          <w:spacing w:val="1"/>
          <w:sz w:val="18"/>
        </w:rPr>
        <w:t xml:space="preserve"> </w:t>
      </w:r>
      <w:r>
        <w:rPr>
          <w:i/>
          <w:sz w:val="18"/>
        </w:rPr>
        <w:t>2005</w:t>
      </w:r>
      <w:r>
        <w:rPr>
          <w:i/>
          <w:spacing w:val="2"/>
          <w:sz w:val="18"/>
        </w:rPr>
        <w:t xml:space="preserve"> </w:t>
      </w:r>
      <w:r>
        <w:rPr>
          <w:sz w:val="18"/>
        </w:rPr>
        <w:t>(ACT) s</w:t>
      </w:r>
      <w:r>
        <w:rPr>
          <w:spacing w:val="-2"/>
          <w:sz w:val="18"/>
        </w:rPr>
        <w:t xml:space="preserve"> </w:t>
      </w:r>
      <w:r>
        <w:rPr>
          <w:spacing w:val="-4"/>
          <w:sz w:val="18"/>
        </w:rPr>
        <w:t>41B.</w:t>
      </w:r>
    </w:p>
    <w:p w14:paraId="7CB25D72" w14:textId="77777777" w:rsidR="008A4099" w:rsidRDefault="008A4099">
      <w:pPr>
        <w:rPr>
          <w:sz w:val="18"/>
        </w:rPr>
        <w:sectPr w:rsidR="008A4099" w:rsidSect="00D43B2D">
          <w:pgSz w:w="11910" w:h="16840"/>
          <w:pgMar w:top="980" w:right="760" w:bottom="940" w:left="1280" w:header="718" w:footer="753" w:gutter="0"/>
          <w:cols w:space="720"/>
        </w:sectPr>
      </w:pPr>
    </w:p>
    <w:p w14:paraId="7CB25D73" w14:textId="77777777" w:rsidR="008A4099" w:rsidRDefault="008A4099">
      <w:pPr>
        <w:pStyle w:val="BodyText"/>
        <w:spacing w:before="194"/>
      </w:pPr>
    </w:p>
    <w:p w14:paraId="7CB25D74" w14:textId="77777777" w:rsidR="008A4099" w:rsidRDefault="006A6EE2">
      <w:pPr>
        <w:pStyle w:val="ListParagraph"/>
        <w:numPr>
          <w:ilvl w:val="2"/>
          <w:numId w:val="9"/>
        </w:numPr>
        <w:tabs>
          <w:tab w:val="left" w:pos="879"/>
        </w:tabs>
        <w:spacing w:before="1"/>
        <w:ind w:right="674" w:firstLine="0"/>
        <w:jc w:val="both"/>
      </w:pPr>
      <w:r>
        <w:t>It</w:t>
      </w:r>
      <w:r>
        <w:rPr>
          <w:spacing w:val="-5"/>
        </w:rPr>
        <w:t xml:space="preserve"> </w:t>
      </w:r>
      <w:r>
        <w:t>is</w:t>
      </w:r>
      <w:r>
        <w:rPr>
          <w:spacing w:val="-5"/>
        </w:rPr>
        <w:t xml:space="preserve"> </w:t>
      </w:r>
      <w:r>
        <w:t>noted</w:t>
      </w:r>
      <w:r>
        <w:rPr>
          <w:spacing w:val="-6"/>
        </w:rPr>
        <w:t xml:space="preserve"> </w:t>
      </w:r>
      <w:r>
        <w:t>that,</w:t>
      </w:r>
      <w:r>
        <w:rPr>
          <w:spacing w:val="-6"/>
        </w:rPr>
        <w:t xml:space="preserve"> </w:t>
      </w:r>
      <w:r>
        <w:t>despite</w:t>
      </w:r>
      <w:r>
        <w:rPr>
          <w:spacing w:val="-6"/>
        </w:rPr>
        <w:t xml:space="preserve"> </w:t>
      </w:r>
      <w:r>
        <w:t>positive</w:t>
      </w:r>
      <w:r>
        <w:rPr>
          <w:spacing w:val="-6"/>
        </w:rPr>
        <w:t xml:space="preserve"> </w:t>
      </w:r>
      <w:r>
        <w:t>findings</w:t>
      </w:r>
      <w:r>
        <w:rPr>
          <w:spacing w:val="-5"/>
        </w:rPr>
        <w:t xml:space="preserve"> </w:t>
      </w:r>
      <w:r>
        <w:t>about</w:t>
      </w:r>
      <w:r>
        <w:rPr>
          <w:spacing w:val="-8"/>
        </w:rPr>
        <w:t xml:space="preserve"> </w:t>
      </w:r>
      <w:r>
        <w:t>the</w:t>
      </w:r>
      <w:r>
        <w:rPr>
          <w:spacing w:val="-6"/>
        </w:rPr>
        <w:t xml:space="preserve"> </w:t>
      </w:r>
      <w:r>
        <w:t>impact</w:t>
      </w:r>
      <w:r>
        <w:rPr>
          <w:spacing w:val="-5"/>
        </w:rPr>
        <w:t xml:space="preserve"> </w:t>
      </w:r>
      <w:r>
        <w:t>of</w:t>
      </w:r>
      <w:r>
        <w:rPr>
          <w:spacing w:val="-8"/>
        </w:rPr>
        <w:t xml:space="preserve"> </w:t>
      </w:r>
      <w:r>
        <w:t>the</w:t>
      </w:r>
      <w:r>
        <w:rPr>
          <w:spacing w:val="-8"/>
        </w:rPr>
        <w:t xml:space="preserve"> </w:t>
      </w:r>
      <w:r>
        <w:t>legislation</w:t>
      </w:r>
      <w:r>
        <w:rPr>
          <w:spacing w:val="-6"/>
        </w:rPr>
        <w:t xml:space="preserve"> </w:t>
      </w:r>
      <w:r>
        <w:t>on</w:t>
      </w:r>
      <w:r>
        <w:rPr>
          <w:spacing w:val="-9"/>
        </w:rPr>
        <w:t xml:space="preserve"> </w:t>
      </w:r>
      <w:r>
        <w:t>the</w:t>
      </w:r>
      <w:r>
        <w:rPr>
          <w:spacing w:val="-6"/>
        </w:rPr>
        <w:t xml:space="preserve"> </w:t>
      </w:r>
      <w:r>
        <w:t>development of policy and</w:t>
      </w:r>
      <w:r>
        <w:rPr>
          <w:spacing w:val="-2"/>
        </w:rPr>
        <w:t xml:space="preserve"> </w:t>
      </w:r>
      <w:r>
        <w:t>legislation</w:t>
      </w:r>
      <w:r>
        <w:rPr>
          <w:spacing w:val="-2"/>
        </w:rPr>
        <w:t xml:space="preserve"> </w:t>
      </w:r>
      <w:r>
        <w:t>from a human rights perspective in</w:t>
      </w:r>
      <w:r>
        <w:rPr>
          <w:spacing w:val="-2"/>
        </w:rPr>
        <w:t xml:space="preserve"> </w:t>
      </w:r>
      <w:r>
        <w:t>the ACT,</w:t>
      </w:r>
      <w:r>
        <w:rPr>
          <w:spacing w:val="-2"/>
        </w:rPr>
        <w:t xml:space="preserve"> </w:t>
      </w:r>
      <w:r>
        <w:t>there has been less</w:t>
      </w:r>
      <w:r>
        <w:rPr>
          <w:spacing w:val="-1"/>
        </w:rPr>
        <w:t xml:space="preserve"> </w:t>
      </w:r>
      <w:r>
        <w:t>involvement by</w:t>
      </w:r>
      <w:r>
        <w:rPr>
          <w:spacing w:val="-5"/>
        </w:rPr>
        <w:t xml:space="preserve"> </w:t>
      </w:r>
      <w:r>
        <w:t>courts</w:t>
      </w:r>
      <w:r>
        <w:rPr>
          <w:spacing w:val="-6"/>
        </w:rPr>
        <w:t xml:space="preserve"> </w:t>
      </w:r>
      <w:r>
        <w:t>in</w:t>
      </w:r>
      <w:r>
        <w:rPr>
          <w:spacing w:val="-7"/>
        </w:rPr>
        <w:t xml:space="preserve"> </w:t>
      </w:r>
      <w:r>
        <w:t>the</w:t>
      </w:r>
      <w:r>
        <w:rPr>
          <w:spacing w:val="-7"/>
        </w:rPr>
        <w:t xml:space="preserve"> </w:t>
      </w:r>
      <w:r>
        <w:t>human</w:t>
      </w:r>
      <w:r>
        <w:rPr>
          <w:spacing w:val="-7"/>
        </w:rPr>
        <w:t xml:space="preserve"> </w:t>
      </w:r>
      <w:r>
        <w:t>rights</w:t>
      </w:r>
      <w:r>
        <w:rPr>
          <w:spacing w:val="-4"/>
        </w:rPr>
        <w:t xml:space="preserve"> </w:t>
      </w:r>
      <w:r>
        <w:t>dialogue.</w:t>
      </w:r>
      <w:r>
        <w:rPr>
          <w:position w:val="7"/>
          <w:sz w:val="13"/>
        </w:rPr>
        <w:t>71</w:t>
      </w:r>
      <w:r>
        <w:rPr>
          <w:spacing w:val="17"/>
          <w:position w:val="7"/>
          <w:sz w:val="13"/>
        </w:rPr>
        <w:t xml:space="preserve"> </w:t>
      </w:r>
      <w:r>
        <w:t>In</w:t>
      </w:r>
      <w:r>
        <w:rPr>
          <w:spacing w:val="-5"/>
        </w:rPr>
        <w:t xml:space="preserve"> </w:t>
      </w:r>
      <w:r>
        <w:t>a</w:t>
      </w:r>
      <w:r>
        <w:rPr>
          <w:spacing w:val="-4"/>
        </w:rPr>
        <w:t xml:space="preserve"> </w:t>
      </w:r>
      <w:r>
        <w:t>2014</w:t>
      </w:r>
      <w:r>
        <w:rPr>
          <w:spacing w:val="-5"/>
        </w:rPr>
        <w:t xml:space="preserve"> </w:t>
      </w:r>
      <w:r>
        <w:t>address</w:t>
      </w:r>
      <w:r>
        <w:rPr>
          <w:spacing w:val="-6"/>
        </w:rPr>
        <w:t xml:space="preserve"> </w:t>
      </w:r>
      <w:r>
        <w:t>marking</w:t>
      </w:r>
      <w:r>
        <w:rPr>
          <w:spacing w:val="-5"/>
        </w:rPr>
        <w:t xml:space="preserve"> </w:t>
      </w:r>
      <w:r>
        <w:t>10</w:t>
      </w:r>
      <w:r>
        <w:rPr>
          <w:spacing w:val="-7"/>
        </w:rPr>
        <w:t xml:space="preserve"> </w:t>
      </w:r>
      <w:r>
        <w:t>years</w:t>
      </w:r>
      <w:r>
        <w:rPr>
          <w:spacing w:val="-7"/>
        </w:rPr>
        <w:t xml:space="preserve"> </w:t>
      </w:r>
      <w:r>
        <w:t>since</w:t>
      </w:r>
      <w:r>
        <w:rPr>
          <w:spacing w:val="-6"/>
        </w:rPr>
        <w:t xml:space="preserve"> </w:t>
      </w:r>
      <w:r>
        <w:t>its</w:t>
      </w:r>
      <w:r>
        <w:rPr>
          <w:spacing w:val="-4"/>
        </w:rPr>
        <w:t xml:space="preserve"> </w:t>
      </w:r>
      <w:r>
        <w:t>enactment,</w:t>
      </w:r>
      <w:r>
        <w:rPr>
          <w:spacing w:val="-7"/>
        </w:rPr>
        <w:t xml:space="preserve"> </w:t>
      </w:r>
      <w:r>
        <w:t>Chief Justice Helen Murrell noted that the Human Rights Act</w:t>
      </w:r>
    </w:p>
    <w:p w14:paraId="7CB25D75" w14:textId="77777777" w:rsidR="008A4099" w:rsidRDefault="006A6EE2">
      <w:pPr>
        <w:pStyle w:val="BodyText"/>
        <w:spacing w:before="237" w:line="276" w:lineRule="auto"/>
        <w:ind w:left="868" w:right="1344"/>
        <w:jc w:val="both"/>
      </w:pPr>
      <w:r>
        <w:t>has had little direct impact on the outcome of cases. The enactment of the HRA was a powerful symbolic statement, and it was predicted that the Supreme Court would play an important role in increasing human rights compliance in the ACT. But despite the significant number of cases in which the HRA has been mentioned, there are very few in which it has made a difference to the outcome.</w:t>
      </w:r>
      <w:r>
        <w:rPr>
          <w:vertAlign w:val="superscript"/>
        </w:rPr>
        <w:t>72</w:t>
      </w:r>
    </w:p>
    <w:p w14:paraId="7CB25D76" w14:textId="77777777" w:rsidR="008A4099" w:rsidRDefault="006A6EE2">
      <w:pPr>
        <w:pStyle w:val="BodyText"/>
        <w:spacing w:before="242"/>
        <w:ind w:left="160"/>
        <w:rPr>
          <w:sz w:val="13"/>
        </w:rPr>
      </w:pPr>
      <w:r>
        <w:t>This</w:t>
      </w:r>
      <w:r>
        <w:rPr>
          <w:spacing w:val="-4"/>
        </w:rPr>
        <w:t xml:space="preserve"> </w:t>
      </w:r>
      <w:r>
        <w:t>trend</w:t>
      </w:r>
      <w:r>
        <w:rPr>
          <w:spacing w:val="-1"/>
        </w:rPr>
        <w:t xml:space="preserve"> </w:t>
      </w:r>
      <w:r>
        <w:t>is</w:t>
      </w:r>
      <w:r>
        <w:rPr>
          <w:spacing w:val="-2"/>
        </w:rPr>
        <w:t xml:space="preserve"> </w:t>
      </w:r>
      <w:r>
        <w:t>said</w:t>
      </w:r>
      <w:r>
        <w:rPr>
          <w:spacing w:val="-4"/>
        </w:rPr>
        <w:t xml:space="preserve"> </w:t>
      </w:r>
      <w:r>
        <w:t>to</w:t>
      </w:r>
      <w:r>
        <w:rPr>
          <w:spacing w:val="-1"/>
        </w:rPr>
        <w:t xml:space="preserve"> </w:t>
      </w:r>
      <w:r>
        <w:t>have</w:t>
      </w:r>
      <w:r>
        <w:rPr>
          <w:spacing w:val="-1"/>
        </w:rPr>
        <w:t xml:space="preserve"> </w:t>
      </w:r>
      <w:r>
        <w:rPr>
          <w:spacing w:val="-2"/>
        </w:rPr>
        <w:t>continued.</w:t>
      </w:r>
      <w:r>
        <w:rPr>
          <w:spacing w:val="-2"/>
          <w:position w:val="7"/>
          <w:sz w:val="13"/>
        </w:rPr>
        <w:t>73</w:t>
      </w:r>
    </w:p>
    <w:p w14:paraId="7CB25D77" w14:textId="77777777" w:rsidR="008A4099" w:rsidRDefault="008A4099">
      <w:pPr>
        <w:pStyle w:val="BodyText"/>
        <w:spacing w:before="24"/>
      </w:pPr>
    </w:p>
    <w:p w14:paraId="7CB25D78" w14:textId="77777777" w:rsidR="008A4099" w:rsidRDefault="006A6EE2">
      <w:pPr>
        <w:pStyle w:val="ListParagraph"/>
        <w:numPr>
          <w:ilvl w:val="2"/>
          <w:numId w:val="9"/>
        </w:numPr>
        <w:tabs>
          <w:tab w:val="left" w:pos="879"/>
        </w:tabs>
        <w:spacing w:before="1" w:line="237" w:lineRule="auto"/>
        <w:ind w:right="677" w:firstLine="0"/>
        <w:jc w:val="both"/>
      </w:pPr>
      <w:r>
        <w:t>The</w:t>
      </w:r>
      <w:r>
        <w:rPr>
          <w:spacing w:val="-12"/>
        </w:rPr>
        <w:t xml:space="preserve"> </w:t>
      </w:r>
      <w:r>
        <w:t>role</w:t>
      </w:r>
      <w:r>
        <w:rPr>
          <w:spacing w:val="-14"/>
        </w:rPr>
        <w:t xml:space="preserve"> </w:t>
      </w:r>
      <w:r>
        <w:t>of</w:t>
      </w:r>
      <w:r>
        <w:rPr>
          <w:spacing w:val="-14"/>
        </w:rPr>
        <w:t xml:space="preserve"> </w:t>
      </w:r>
      <w:r>
        <w:t>the</w:t>
      </w:r>
      <w:r>
        <w:rPr>
          <w:spacing w:val="-14"/>
        </w:rPr>
        <w:t xml:space="preserve"> </w:t>
      </w:r>
      <w:r>
        <w:t>amended</w:t>
      </w:r>
      <w:r>
        <w:rPr>
          <w:spacing w:val="-11"/>
        </w:rPr>
        <w:t xml:space="preserve"> </w:t>
      </w:r>
      <w:r>
        <w:t>ACT</w:t>
      </w:r>
      <w:r>
        <w:rPr>
          <w:spacing w:val="-11"/>
        </w:rPr>
        <w:t xml:space="preserve"> </w:t>
      </w:r>
      <w:r>
        <w:t>Human</w:t>
      </w:r>
      <w:r>
        <w:rPr>
          <w:spacing w:val="-11"/>
        </w:rPr>
        <w:t xml:space="preserve"> </w:t>
      </w:r>
      <w:r>
        <w:t>Rights</w:t>
      </w:r>
      <w:r>
        <w:rPr>
          <w:spacing w:val="-11"/>
        </w:rPr>
        <w:t xml:space="preserve"> </w:t>
      </w:r>
      <w:r>
        <w:t>Act</w:t>
      </w:r>
      <w:r>
        <w:rPr>
          <w:spacing w:val="-13"/>
        </w:rPr>
        <w:t xml:space="preserve"> </w:t>
      </w:r>
      <w:r>
        <w:t>in</w:t>
      </w:r>
      <w:r>
        <w:rPr>
          <w:spacing w:val="-12"/>
        </w:rPr>
        <w:t xml:space="preserve"> </w:t>
      </w:r>
      <w:r>
        <w:t>key</w:t>
      </w:r>
      <w:r>
        <w:rPr>
          <w:spacing w:val="-12"/>
        </w:rPr>
        <w:t xml:space="preserve"> </w:t>
      </w:r>
      <w:r>
        <w:t>social</w:t>
      </w:r>
      <w:r>
        <w:rPr>
          <w:spacing w:val="-11"/>
        </w:rPr>
        <w:t xml:space="preserve"> </w:t>
      </w:r>
      <w:r>
        <w:t>issues</w:t>
      </w:r>
      <w:r>
        <w:rPr>
          <w:spacing w:val="-11"/>
        </w:rPr>
        <w:t xml:space="preserve"> </w:t>
      </w:r>
      <w:r>
        <w:t>is</w:t>
      </w:r>
      <w:r>
        <w:rPr>
          <w:spacing w:val="-11"/>
        </w:rPr>
        <w:t xml:space="preserve"> </w:t>
      </w:r>
      <w:r>
        <w:t>discussed</w:t>
      </w:r>
      <w:r>
        <w:rPr>
          <w:spacing w:val="-12"/>
        </w:rPr>
        <w:t xml:space="preserve"> </w:t>
      </w:r>
      <w:r>
        <w:t>in</w:t>
      </w:r>
      <w:r>
        <w:rPr>
          <w:spacing w:val="-12"/>
        </w:rPr>
        <w:t xml:space="preserve"> </w:t>
      </w:r>
      <w:r>
        <w:t>more</w:t>
      </w:r>
      <w:r>
        <w:rPr>
          <w:spacing w:val="-12"/>
        </w:rPr>
        <w:t xml:space="preserve"> </w:t>
      </w:r>
      <w:r>
        <w:t>detail in Parts 3 and 4.</w:t>
      </w:r>
    </w:p>
    <w:p w14:paraId="7CB25D79" w14:textId="77777777" w:rsidR="008A4099" w:rsidRDefault="008A4099">
      <w:pPr>
        <w:pStyle w:val="BodyText"/>
      </w:pPr>
    </w:p>
    <w:p w14:paraId="7CB25D7A" w14:textId="77777777" w:rsidR="008A4099" w:rsidRDefault="008A4099">
      <w:pPr>
        <w:pStyle w:val="BodyText"/>
        <w:spacing w:before="132"/>
      </w:pPr>
    </w:p>
    <w:p w14:paraId="7CB25D7B" w14:textId="77777777" w:rsidR="008A4099" w:rsidRDefault="006A6EE2">
      <w:pPr>
        <w:pStyle w:val="Heading2"/>
        <w:numPr>
          <w:ilvl w:val="1"/>
          <w:numId w:val="9"/>
        </w:numPr>
        <w:tabs>
          <w:tab w:val="left" w:pos="878"/>
        </w:tabs>
        <w:ind w:left="878" w:hanging="718"/>
        <w:jc w:val="both"/>
      </w:pPr>
      <w:bookmarkStart w:id="12" w:name="_TOC_250048"/>
      <w:r>
        <w:t>Updates</w:t>
      </w:r>
      <w:r>
        <w:rPr>
          <w:spacing w:val="-9"/>
        </w:rPr>
        <w:t xml:space="preserve"> </w:t>
      </w:r>
      <w:r>
        <w:t>from</w:t>
      </w:r>
      <w:r>
        <w:rPr>
          <w:spacing w:val="-9"/>
        </w:rPr>
        <w:t xml:space="preserve"> </w:t>
      </w:r>
      <w:bookmarkEnd w:id="12"/>
      <w:r>
        <w:rPr>
          <w:spacing w:val="-2"/>
        </w:rPr>
        <w:t>Victoria</w:t>
      </w:r>
    </w:p>
    <w:p w14:paraId="7CB25D7C" w14:textId="77777777" w:rsidR="008A4099" w:rsidRDefault="006A6EE2">
      <w:pPr>
        <w:pStyle w:val="ListParagraph"/>
        <w:numPr>
          <w:ilvl w:val="2"/>
          <w:numId w:val="9"/>
        </w:numPr>
        <w:tabs>
          <w:tab w:val="left" w:pos="879"/>
        </w:tabs>
        <w:ind w:right="674" w:firstLine="0"/>
        <w:jc w:val="both"/>
      </w:pPr>
      <w:r>
        <w:t xml:space="preserve">The </w:t>
      </w:r>
      <w:r>
        <w:rPr>
          <w:i/>
        </w:rPr>
        <w:t xml:space="preserve">Charter of Human Rights and Responsibilities Act 2006 </w:t>
      </w:r>
      <w:r>
        <w:t>(Vic) (‘Vic Human Rights Charter’) was subject to statutory reviews in 2011 and 2015. There have been no substantive changes to the legislation following these reviews, however.</w:t>
      </w:r>
    </w:p>
    <w:p w14:paraId="7CB25D7D" w14:textId="77777777" w:rsidR="008A4099" w:rsidRDefault="006A6EE2">
      <w:pPr>
        <w:pStyle w:val="ListParagraph"/>
        <w:numPr>
          <w:ilvl w:val="2"/>
          <w:numId w:val="9"/>
        </w:numPr>
        <w:tabs>
          <w:tab w:val="left" w:pos="879"/>
        </w:tabs>
        <w:spacing w:before="217"/>
        <w:ind w:right="679" w:firstLine="0"/>
        <w:jc w:val="both"/>
      </w:pPr>
      <w:r>
        <w:t>The 2011 review, undertaken by the Parliamentary Scrutiny of Acts and Regulations Committee,</w:t>
      </w:r>
      <w:r>
        <w:rPr>
          <w:spacing w:val="-8"/>
        </w:rPr>
        <w:t xml:space="preserve"> </w:t>
      </w:r>
      <w:r>
        <w:t>considered</w:t>
      </w:r>
      <w:r>
        <w:rPr>
          <w:spacing w:val="-8"/>
        </w:rPr>
        <w:t xml:space="preserve"> </w:t>
      </w:r>
      <w:r>
        <w:t>whether</w:t>
      </w:r>
      <w:r>
        <w:rPr>
          <w:spacing w:val="-8"/>
        </w:rPr>
        <w:t xml:space="preserve"> </w:t>
      </w:r>
      <w:r>
        <w:t>the</w:t>
      </w:r>
      <w:r>
        <w:rPr>
          <w:spacing w:val="-8"/>
        </w:rPr>
        <w:t xml:space="preserve"> </w:t>
      </w:r>
      <w:r>
        <w:t>Vic</w:t>
      </w:r>
      <w:r>
        <w:rPr>
          <w:spacing w:val="-8"/>
        </w:rPr>
        <w:t xml:space="preserve"> </w:t>
      </w:r>
      <w:r>
        <w:t>Human</w:t>
      </w:r>
      <w:r>
        <w:rPr>
          <w:spacing w:val="-9"/>
        </w:rPr>
        <w:t xml:space="preserve"> </w:t>
      </w:r>
      <w:r>
        <w:t>Rights</w:t>
      </w:r>
      <w:r>
        <w:rPr>
          <w:spacing w:val="-12"/>
        </w:rPr>
        <w:t xml:space="preserve"> </w:t>
      </w:r>
      <w:r>
        <w:t>Charter</w:t>
      </w:r>
      <w:r>
        <w:rPr>
          <w:spacing w:val="-8"/>
        </w:rPr>
        <w:t xml:space="preserve"> </w:t>
      </w:r>
      <w:r>
        <w:t>should</w:t>
      </w:r>
      <w:r>
        <w:rPr>
          <w:spacing w:val="-10"/>
        </w:rPr>
        <w:t xml:space="preserve"> </w:t>
      </w:r>
      <w:r>
        <w:t>include</w:t>
      </w:r>
      <w:r>
        <w:rPr>
          <w:spacing w:val="-9"/>
        </w:rPr>
        <w:t xml:space="preserve"> </w:t>
      </w:r>
      <w:r>
        <w:t>additional</w:t>
      </w:r>
      <w:r>
        <w:rPr>
          <w:spacing w:val="-8"/>
        </w:rPr>
        <w:t xml:space="preserve"> </w:t>
      </w:r>
      <w:r>
        <w:t>human</w:t>
      </w:r>
      <w:r>
        <w:rPr>
          <w:spacing w:val="-9"/>
        </w:rPr>
        <w:t xml:space="preserve"> </w:t>
      </w:r>
      <w:r>
        <w:t>rights, including: a right to self-determination for First Nations people; whether there should be auditing of human</w:t>
      </w:r>
      <w:r>
        <w:rPr>
          <w:spacing w:val="-4"/>
        </w:rPr>
        <w:t xml:space="preserve"> </w:t>
      </w:r>
      <w:r>
        <w:t>rights</w:t>
      </w:r>
      <w:r>
        <w:rPr>
          <w:spacing w:val="-4"/>
        </w:rPr>
        <w:t xml:space="preserve"> </w:t>
      </w:r>
      <w:r>
        <w:t>compliance;</w:t>
      </w:r>
      <w:r>
        <w:rPr>
          <w:spacing w:val="-4"/>
        </w:rPr>
        <w:t xml:space="preserve"> </w:t>
      </w:r>
      <w:r>
        <w:t>and</w:t>
      </w:r>
      <w:r>
        <w:rPr>
          <w:spacing w:val="-2"/>
        </w:rPr>
        <w:t xml:space="preserve"> </w:t>
      </w:r>
      <w:r>
        <w:t>whether</w:t>
      </w:r>
      <w:r>
        <w:rPr>
          <w:spacing w:val="-3"/>
        </w:rPr>
        <w:t xml:space="preserve"> </w:t>
      </w:r>
      <w:r>
        <w:t>to</w:t>
      </w:r>
      <w:r>
        <w:rPr>
          <w:spacing w:val="-5"/>
        </w:rPr>
        <w:t xml:space="preserve"> </w:t>
      </w:r>
      <w:r>
        <w:t>provide</w:t>
      </w:r>
      <w:r>
        <w:rPr>
          <w:spacing w:val="-2"/>
        </w:rPr>
        <w:t xml:space="preserve"> </w:t>
      </w:r>
      <w:r>
        <w:t>direct</w:t>
      </w:r>
      <w:r>
        <w:rPr>
          <w:spacing w:val="-1"/>
        </w:rPr>
        <w:t xml:space="preserve"> </w:t>
      </w:r>
      <w:r>
        <w:t>remedies</w:t>
      </w:r>
      <w:r>
        <w:rPr>
          <w:spacing w:val="-4"/>
        </w:rPr>
        <w:t xml:space="preserve"> </w:t>
      </w:r>
      <w:r>
        <w:t>for</w:t>
      </w:r>
      <w:r>
        <w:rPr>
          <w:spacing w:val="-4"/>
        </w:rPr>
        <w:t xml:space="preserve"> </w:t>
      </w:r>
      <w:r>
        <w:t>breaches</w:t>
      </w:r>
      <w:r>
        <w:rPr>
          <w:spacing w:val="-4"/>
        </w:rPr>
        <w:t xml:space="preserve"> </w:t>
      </w:r>
      <w:r>
        <w:t>of</w:t>
      </w:r>
      <w:r>
        <w:rPr>
          <w:spacing w:val="-4"/>
        </w:rPr>
        <w:t xml:space="preserve"> </w:t>
      </w:r>
      <w:r>
        <w:t>protected</w:t>
      </w:r>
      <w:r>
        <w:rPr>
          <w:spacing w:val="-4"/>
        </w:rPr>
        <w:t xml:space="preserve"> </w:t>
      </w:r>
      <w:r>
        <w:t>rights.</w:t>
      </w:r>
      <w:r>
        <w:rPr>
          <w:spacing w:val="-4"/>
        </w:rPr>
        <w:t xml:space="preserve"> </w:t>
      </w:r>
      <w:r>
        <w:t>The review did not recommend any changes to the rights protected by the Charter but did recommend a number of operative changes, including that courts be excluded from the operation of the public authority obligations under the Act in all of their functions. The Victorian Government did not make any amendments to the Victorian legislation following the 2011 review.</w:t>
      </w:r>
    </w:p>
    <w:p w14:paraId="7CB25D7E" w14:textId="77777777" w:rsidR="008A4099" w:rsidRDefault="006A6EE2">
      <w:pPr>
        <w:pStyle w:val="ListParagraph"/>
        <w:numPr>
          <w:ilvl w:val="2"/>
          <w:numId w:val="9"/>
        </w:numPr>
        <w:tabs>
          <w:tab w:val="left" w:pos="879"/>
        </w:tabs>
        <w:spacing w:before="214"/>
        <w:ind w:right="680" w:firstLine="0"/>
        <w:jc w:val="both"/>
      </w:pPr>
      <w:r>
        <w:t>The independent 2015 Review, conducted by Michael Brett Young, former CEO of the Law Institute of Victoria, observed that:</w:t>
      </w:r>
    </w:p>
    <w:p w14:paraId="7CB25D7F" w14:textId="77777777" w:rsidR="008A4099" w:rsidRDefault="006A6EE2">
      <w:pPr>
        <w:pStyle w:val="BodyText"/>
        <w:spacing w:before="239" w:line="276" w:lineRule="auto"/>
        <w:ind w:left="868" w:right="1339"/>
        <w:jc w:val="both"/>
        <w:rPr>
          <w:sz w:val="13"/>
        </w:rPr>
      </w:pPr>
      <w:r>
        <w:t>The</w:t>
      </w:r>
      <w:r>
        <w:rPr>
          <w:spacing w:val="-2"/>
        </w:rPr>
        <w:t xml:space="preserve"> </w:t>
      </w:r>
      <w:r>
        <w:t>introduction</w:t>
      </w:r>
      <w:r>
        <w:rPr>
          <w:spacing w:val="-5"/>
        </w:rPr>
        <w:t xml:space="preserve"> </w:t>
      </w:r>
      <w:r>
        <w:t>of</w:t>
      </w:r>
      <w:r>
        <w:rPr>
          <w:spacing w:val="-4"/>
        </w:rPr>
        <w:t xml:space="preserve"> </w:t>
      </w:r>
      <w:r>
        <w:t>the</w:t>
      </w:r>
      <w:r>
        <w:rPr>
          <w:spacing w:val="-2"/>
        </w:rPr>
        <w:t xml:space="preserve"> </w:t>
      </w:r>
      <w:r>
        <w:t>Charter</w:t>
      </w:r>
      <w:r>
        <w:rPr>
          <w:spacing w:val="-2"/>
        </w:rPr>
        <w:t xml:space="preserve"> </w:t>
      </w:r>
      <w:r>
        <w:t>has</w:t>
      </w:r>
      <w:r>
        <w:rPr>
          <w:spacing w:val="-2"/>
        </w:rPr>
        <w:t xml:space="preserve"> </w:t>
      </w:r>
      <w:r>
        <w:t>been</w:t>
      </w:r>
      <w:r>
        <w:rPr>
          <w:spacing w:val="-2"/>
        </w:rPr>
        <w:t xml:space="preserve"> </w:t>
      </w:r>
      <w:r>
        <w:t>a</w:t>
      </w:r>
      <w:r>
        <w:rPr>
          <w:spacing w:val="-4"/>
        </w:rPr>
        <w:t xml:space="preserve"> </w:t>
      </w:r>
      <w:r>
        <w:t>clear</w:t>
      </w:r>
      <w:r>
        <w:rPr>
          <w:spacing w:val="-1"/>
        </w:rPr>
        <w:t xml:space="preserve"> </w:t>
      </w:r>
      <w:r>
        <w:t>part</w:t>
      </w:r>
      <w:r>
        <w:rPr>
          <w:spacing w:val="-1"/>
        </w:rPr>
        <w:t xml:space="preserve"> </w:t>
      </w:r>
      <w:r>
        <w:t>of</w:t>
      </w:r>
      <w:r>
        <w:rPr>
          <w:spacing w:val="-6"/>
        </w:rPr>
        <w:t xml:space="preserve"> </w:t>
      </w:r>
      <w:r>
        <w:t>building</w:t>
      </w:r>
      <w:r>
        <w:rPr>
          <w:spacing w:val="-5"/>
        </w:rPr>
        <w:t xml:space="preserve"> </w:t>
      </w:r>
      <w:r>
        <w:t>a</w:t>
      </w:r>
      <w:r>
        <w:rPr>
          <w:spacing w:val="-2"/>
        </w:rPr>
        <w:t xml:space="preserve"> </w:t>
      </w:r>
      <w:r>
        <w:t>human</w:t>
      </w:r>
      <w:r>
        <w:rPr>
          <w:spacing w:val="-4"/>
        </w:rPr>
        <w:t xml:space="preserve"> </w:t>
      </w:r>
      <w:r>
        <w:t>rights</w:t>
      </w:r>
      <w:r>
        <w:rPr>
          <w:spacing w:val="-2"/>
        </w:rPr>
        <w:t xml:space="preserve"> </w:t>
      </w:r>
      <w:r>
        <w:t>culture in</w:t>
      </w:r>
      <w:r>
        <w:rPr>
          <w:spacing w:val="-9"/>
        </w:rPr>
        <w:t xml:space="preserve"> </w:t>
      </w:r>
      <w:r>
        <w:t>Victoria,</w:t>
      </w:r>
      <w:r>
        <w:rPr>
          <w:spacing w:val="-11"/>
        </w:rPr>
        <w:t xml:space="preserve"> </w:t>
      </w:r>
      <w:r>
        <w:t>particularly</w:t>
      </w:r>
      <w:r>
        <w:rPr>
          <w:spacing w:val="-11"/>
        </w:rPr>
        <w:t xml:space="preserve"> </w:t>
      </w:r>
      <w:r>
        <w:t>in</w:t>
      </w:r>
      <w:r>
        <w:rPr>
          <w:spacing w:val="-9"/>
        </w:rPr>
        <w:t xml:space="preserve"> </w:t>
      </w:r>
      <w:r>
        <w:t>the</w:t>
      </w:r>
      <w:r>
        <w:rPr>
          <w:spacing w:val="-8"/>
        </w:rPr>
        <w:t xml:space="preserve"> </w:t>
      </w:r>
      <w:r>
        <w:t>Victorian</w:t>
      </w:r>
      <w:r>
        <w:rPr>
          <w:spacing w:val="-11"/>
        </w:rPr>
        <w:t xml:space="preserve"> </w:t>
      </w:r>
      <w:r>
        <w:t>public</w:t>
      </w:r>
      <w:r>
        <w:rPr>
          <w:spacing w:val="-11"/>
        </w:rPr>
        <w:t xml:space="preserve"> </w:t>
      </w:r>
      <w:r>
        <w:t>sector.</w:t>
      </w:r>
      <w:r>
        <w:rPr>
          <w:spacing w:val="-11"/>
        </w:rPr>
        <w:t xml:space="preserve"> </w:t>
      </w:r>
      <w:r>
        <w:t>Over</w:t>
      </w:r>
      <w:r>
        <w:rPr>
          <w:spacing w:val="-8"/>
        </w:rPr>
        <w:t xml:space="preserve"> </w:t>
      </w:r>
      <w:r>
        <w:t>time,</w:t>
      </w:r>
      <w:r>
        <w:rPr>
          <w:spacing w:val="-11"/>
        </w:rPr>
        <w:t xml:space="preserve"> </w:t>
      </w:r>
      <w:r>
        <w:t>implementation</w:t>
      </w:r>
      <w:r>
        <w:rPr>
          <w:spacing w:val="-11"/>
        </w:rPr>
        <w:t xml:space="preserve"> </w:t>
      </w:r>
      <w:r>
        <w:t>of</w:t>
      </w:r>
      <w:r>
        <w:rPr>
          <w:spacing w:val="-8"/>
        </w:rPr>
        <w:t xml:space="preserve"> </w:t>
      </w:r>
      <w:r>
        <w:t>the Charter has helped to build a greater consideration of and adherence to human rights principles by the public sector, Parliament and the courts in key areas.</w:t>
      </w:r>
      <w:r>
        <w:rPr>
          <w:position w:val="7"/>
          <w:sz w:val="13"/>
        </w:rPr>
        <w:t>74</w:t>
      </w:r>
    </w:p>
    <w:p w14:paraId="7CB25D80" w14:textId="77777777" w:rsidR="008A4099" w:rsidRDefault="006A6EE2">
      <w:pPr>
        <w:pStyle w:val="ListParagraph"/>
        <w:numPr>
          <w:ilvl w:val="2"/>
          <w:numId w:val="9"/>
        </w:numPr>
        <w:tabs>
          <w:tab w:val="left" w:pos="879"/>
        </w:tabs>
        <w:spacing w:before="240" w:line="237" w:lineRule="auto"/>
        <w:ind w:right="679" w:firstLine="0"/>
        <w:jc w:val="both"/>
      </w:pPr>
      <w:r>
        <w:t>Submissions noted that there had been an increased awareness of human rights within government</w:t>
      </w:r>
      <w:r>
        <w:rPr>
          <w:spacing w:val="-11"/>
        </w:rPr>
        <w:t xml:space="preserve"> </w:t>
      </w:r>
      <w:r>
        <w:t>and</w:t>
      </w:r>
      <w:r>
        <w:rPr>
          <w:spacing w:val="-12"/>
        </w:rPr>
        <w:t xml:space="preserve"> </w:t>
      </w:r>
      <w:r>
        <w:t>public</w:t>
      </w:r>
      <w:r>
        <w:rPr>
          <w:spacing w:val="-12"/>
        </w:rPr>
        <w:t xml:space="preserve"> </w:t>
      </w:r>
      <w:r>
        <w:t>authorities,</w:t>
      </w:r>
      <w:r>
        <w:rPr>
          <w:spacing w:val="-10"/>
        </w:rPr>
        <w:t xml:space="preserve"> </w:t>
      </w:r>
      <w:r>
        <w:t>with</w:t>
      </w:r>
      <w:r>
        <w:rPr>
          <w:spacing w:val="-12"/>
        </w:rPr>
        <w:t xml:space="preserve"> </w:t>
      </w:r>
      <w:r>
        <w:t>the</w:t>
      </w:r>
      <w:r>
        <w:rPr>
          <w:spacing w:val="-9"/>
        </w:rPr>
        <w:t xml:space="preserve"> </w:t>
      </w:r>
      <w:r>
        <w:t>use</w:t>
      </w:r>
      <w:r>
        <w:rPr>
          <w:spacing w:val="-9"/>
        </w:rPr>
        <w:t xml:space="preserve"> </w:t>
      </w:r>
      <w:r>
        <w:t>of</w:t>
      </w:r>
      <w:r>
        <w:rPr>
          <w:spacing w:val="-9"/>
        </w:rPr>
        <w:t xml:space="preserve"> </w:t>
      </w:r>
      <w:r>
        <w:t>the</w:t>
      </w:r>
      <w:r>
        <w:rPr>
          <w:spacing w:val="-9"/>
        </w:rPr>
        <w:t xml:space="preserve"> </w:t>
      </w:r>
      <w:r>
        <w:t>Charter</w:t>
      </w:r>
      <w:r>
        <w:rPr>
          <w:spacing w:val="-11"/>
        </w:rPr>
        <w:t xml:space="preserve"> </w:t>
      </w:r>
      <w:r>
        <w:t>extending</w:t>
      </w:r>
      <w:r>
        <w:rPr>
          <w:spacing w:val="-10"/>
        </w:rPr>
        <w:t xml:space="preserve"> </w:t>
      </w:r>
      <w:r>
        <w:t>beyond</w:t>
      </w:r>
      <w:r>
        <w:rPr>
          <w:spacing w:val="-12"/>
        </w:rPr>
        <w:t xml:space="preserve"> </w:t>
      </w:r>
      <w:r>
        <w:t>simple</w:t>
      </w:r>
      <w:r>
        <w:rPr>
          <w:spacing w:val="-9"/>
        </w:rPr>
        <w:t xml:space="preserve"> </w:t>
      </w:r>
      <w:r>
        <w:t>compliance</w:t>
      </w:r>
      <w:r>
        <w:rPr>
          <w:spacing w:val="-12"/>
        </w:rPr>
        <w:t xml:space="preserve"> </w:t>
      </w:r>
      <w:r>
        <w:t>but also underpinning systemic initiatives.</w:t>
      </w:r>
      <w:r>
        <w:rPr>
          <w:position w:val="7"/>
          <w:sz w:val="13"/>
        </w:rPr>
        <w:t>75</w:t>
      </w:r>
      <w:r>
        <w:rPr>
          <w:spacing w:val="29"/>
          <w:position w:val="7"/>
          <w:sz w:val="13"/>
        </w:rPr>
        <w:t xml:space="preserve"> </w:t>
      </w:r>
      <w:r>
        <w:t>The 2015 Review noted, however, that the development of a</w:t>
      </w:r>
    </w:p>
    <w:p w14:paraId="7CB25D81" w14:textId="77777777" w:rsidR="008A4099" w:rsidRDefault="006A6EE2">
      <w:pPr>
        <w:pStyle w:val="BodyText"/>
        <w:spacing w:before="6"/>
        <w:rPr>
          <w:sz w:val="16"/>
        </w:rPr>
      </w:pPr>
      <w:r>
        <w:rPr>
          <w:noProof/>
        </w:rPr>
        <mc:AlternateContent>
          <mc:Choice Requires="wps">
            <w:drawing>
              <wp:anchor distT="0" distB="0" distL="0" distR="0" simplePos="0" relativeHeight="487595008" behindDoc="1" locked="0" layoutInCell="1" allowOverlap="1" wp14:anchorId="7CB265F5" wp14:editId="7CB265F6">
                <wp:simplePos x="0" y="0"/>
                <wp:positionH relativeFrom="page">
                  <wp:posOffset>914704</wp:posOffset>
                </wp:positionH>
                <wp:positionV relativeFrom="paragraph">
                  <wp:posOffset>136273</wp:posOffset>
                </wp:positionV>
                <wp:extent cx="1829435" cy="762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033A9A" id="Graphic 50" o:spid="_x0000_s1026" style="position:absolute;margin-left:1in;margin-top:10.75pt;width:144.05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" path="m1829054,l,,,7619r1829054,l1829054,xe" fillcolor="black" stroked="f">
                <v:path arrowok="t"/>
                <w10:wrap type="topAndBottom" anchorx="page"/>
              </v:shape>
            </w:pict>
          </mc:Fallback>
        </mc:AlternateContent>
      </w:r>
    </w:p>
    <w:p w14:paraId="7CB25D82" w14:textId="77777777" w:rsidR="008A4099" w:rsidRDefault="006A6EE2">
      <w:pPr>
        <w:spacing w:before="112"/>
        <w:ind w:left="160"/>
        <w:rPr>
          <w:sz w:val="18"/>
        </w:rPr>
      </w:pPr>
      <w:r>
        <w:rPr>
          <w:sz w:val="18"/>
          <w:vertAlign w:val="superscript"/>
        </w:rPr>
        <w:t>71</w:t>
      </w:r>
      <w:r>
        <w:rPr>
          <w:spacing w:val="-2"/>
          <w:sz w:val="18"/>
        </w:rPr>
        <w:t xml:space="preserve"> </w:t>
      </w:r>
      <w:r>
        <w:rPr>
          <w:sz w:val="18"/>
        </w:rPr>
        <w:t>Watchirs,</w:t>
      </w:r>
      <w:r>
        <w:rPr>
          <w:spacing w:val="-1"/>
          <w:sz w:val="18"/>
        </w:rPr>
        <w:t xml:space="preserve"> </w:t>
      </w:r>
      <w:r>
        <w:rPr>
          <w:sz w:val="18"/>
        </w:rPr>
        <w:t>Costello and Thilagaratnam,</w:t>
      </w:r>
      <w:r>
        <w:rPr>
          <w:spacing w:val="-1"/>
          <w:sz w:val="18"/>
        </w:rPr>
        <w:t xml:space="preserve"> </w:t>
      </w:r>
      <w:r>
        <w:rPr>
          <w:sz w:val="18"/>
        </w:rPr>
        <w:t>‘Human Rights</w:t>
      </w:r>
      <w:r>
        <w:rPr>
          <w:spacing w:val="-3"/>
          <w:sz w:val="18"/>
        </w:rPr>
        <w:t xml:space="preserve"> </w:t>
      </w:r>
      <w:r>
        <w:rPr>
          <w:sz w:val="18"/>
        </w:rPr>
        <w:t>Scrutiny</w:t>
      </w:r>
      <w:r>
        <w:rPr>
          <w:spacing w:val="-2"/>
          <w:sz w:val="18"/>
        </w:rPr>
        <w:t xml:space="preserve"> </w:t>
      </w:r>
      <w:r>
        <w:rPr>
          <w:sz w:val="18"/>
        </w:rPr>
        <w:t>under</w:t>
      </w:r>
      <w:r>
        <w:rPr>
          <w:spacing w:val="-1"/>
          <w:sz w:val="18"/>
        </w:rPr>
        <w:t xml:space="preserve"> </w:t>
      </w:r>
      <w:r>
        <w:rPr>
          <w:sz w:val="18"/>
        </w:rPr>
        <w:t>the</w:t>
      </w:r>
      <w:r>
        <w:rPr>
          <w:spacing w:val="3"/>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Act</w:t>
      </w:r>
      <w:r>
        <w:rPr>
          <w:i/>
          <w:spacing w:val="-3"/>
          <w:sz w:val="18"/>
        </w:rPr>
        <w:t xml:space="preserve"> </w:t>
      </w:r>
      <w:r>
        <w:rPr>
          <w:i/>
          <w:sz w:val="18"/>
        </w:rPr>
        <w:t xml:space="preserve">2004 </w:t>
      </w:r>
      <w:r>
        <w:rPr>
          <w:sz w:val="18"/>
        </w:rPr>
        <w:t>(ACT)’</w:t>
      </w:r>
      <w:r>
        <w:rPr>
          <w:spacing w:val="-1"/>
          <w:sz w:val="18"/>
        </w:rPr>
        <w:t xml:space="preserve"> </w:t>
      </w:r>
      <w:r>
        <w:rPr>
          <w:spacing w:val="-2"/>
          <w:sz w:val="18"/>
        </w:rPr>
        <w:t>[6.170].</w:t>
      </w:r>
    </w:p>
    <w:p w14:paraId="7CB25D83" w14:textId="77777777" w:rsidR="008A4099" w:rsidRDefault="006A6EE2">
      <w:pPr>
        <w:spacing w:before="24" w:line="244" w:lineRule="auto"/>
        <w:ind w:left="160" w:right="673"/>
        <w:rPr>
          <w:sz w:val="18"/>
        </w:rPr>
      </w:pPr>
      <w:r>
        <w:rPr>
          <w:sz w:val="18"/>
          <w:vertAlign w:val="superscript"/>
        </w:rPr>
        <w:t>72</w:t>
      </w:r>
      <w:r>
        <w:rPr>
          <w:spacing w:val="-4"/>
          <w:sz w:val="18"/>
        </w:rPr>
        <w:t xml:space="preserve"> </w:t>
      </w:r>
      <w:r>
        <w:rPr>
          <w:sz w:val="18"/>
        </w:rPr>
        <w:t>Chief</w:t>
      </w:r>
      <w:r>
        <w:rPr>
          <w:spacing w:val="-5"/>
          <w:sz w:val="18"/>
        </w:rPr>
        <w:t xml:space="preserve"> </w:t>
      </w:r>
      <w:r>
        <w:rPr>
          <w:sz w:val="18"/>
        </w:rPr>
        <w:t>Justice</w:t>
      </w:r>
      <w:r>
        <w:rPr>
          <w:spacing w:val="-5"/>
          <w:sz w:val="18"/>
        </w:rPr>
        <w:t xml:space="preserve"> </w:t>
      </w:r>
      <w:r>
        <w:rPr>
          <w:sz w:val="18"/>
        </w:rPr>
        <w:t>Helen</w:t>
      </w:r>
      <w:r>
        <w:rPr>
          <w:spacing w:val="-4"/>
          <w:sz w:val="18"/>
        </w:rPr>
        <w:t xml:space="preserve"> </w:t>
      </w:r>
      <w:r>
        <w:rPr>
          <w:sz w:val="18"/>
        </w:rPr>
        <w:t>Murrell,</w:t>
      </w:r>
      <w:r>
        <w:rPr>
          <w:spacing w:val="-4"/>
          <w:sz w:val="18"/>
        </w:rPr>
        <w:t xml:space="preserve"> </w:t>
      </w:r>
      <w:r>
        <w:rPr>
          <w:sz w:val="18"/>
        </w:rPr>
        <w:t>Act</w:t>
      </w:r>
      <w:r>
        <w:rPr>
          <w:spacing w:val="-6"/>
          <w:sz w:val="18"/>
        </w:rPr>
        <w:t xml:space="preserve"> </w:t>
      </w:r>
      <w:r>
        <w:rPr>
          <w:sz w:val="18"/>
        </w:rPr>
        <w:t>Supreme</w:t>
      </w:r>
      <w:r>
        <w:rPr>
          <w:spacing w:val="-5"/>
          <w:sz w:val="18"/>
        </w:rPr>
        <w:t xml:space="preserve"> </w:t>
      </w:r>
      <w:r>
        <w:rPr>
          <w:sz w:val="18"/>
        </w:rPr>
        <w:t>Court,</w:t>
      </w:r>
      <w:r>
        <w:rPr>
          <w:spacing w:val="-4"/>
          <w:sz w:val="18"/>
        </w:rPr>
        <w:t xml:space="preserve"> </w:t>
      </w:r>
      <w:r>
        <w:rPr>
          <w:sz w:val="18"/>
        </w:rPr>
        <w:t>‘ACT</w:t>
      </w:r>
      <w:r>
        <w:rPr>
          <w:spacing w:val="-4"/>
          <w:sz w:val="18"/>
        </w:rPr>
        <w:t xml:space="preserve"> </w:t>
      </w:r>
      <w:r>
        <w:rPr>
          <w:sz w:val="18"/>
        </w:rPr>
        <w:t>Human</w:t>
      </w:r>
      <w:r>
        <w:rPr>
          <w:spacing w:val="-3"/>
          <w:sz w:val="18"/>
        </w:rPr>
        <w:t xml:space="preserve"> </w:t>
      </w:r>
      <w:r>
        <w:rPr>
          <w:sz w:val="18"/>
        </w:rPr>
        <w:t>Rights</w:t>
      </w:r>
      <w:r>
        <w:rPr>
          <w:spacing w:val="-4"/>
          <w:sz w:val="18"/>
        </w:rPr>
        <w:t xml:space="preserve"> </w:t>
      </w:r>
      <w:r>
        <w:rPr>
          <w:sz w:val="18"/>
        </w:rPr>
        <w:t>Act:</w:t>
      </w:r>
      <w:r>
        <w:rPr>
          <w:spacing w:val="-4"/>
          <w:sz w:val="18"/>
        </w:rPr>
        <w:t xml:space="preserve"> </w:t>
      </w:r>
      <w:r>
        <w:rPr>
          <w:sz w:val="18"/>
        </w:rPr>
        <w:t>A</w:t>
      </w:r>
      <w:r>
        <w:rPr>
          <w:spacing w:val="-5"/>
          <w:sz w:val="18"/>
        </w:rPr>
        <w:t xml:space="preserve"> </w:t>
      </w:r>
      <w:r>
        <w:rPr>
          <w:sz w:val="18"/>
        </w:rPr>
        <w:t>Judicial</w:t>
      </w:r>
      <w:r>
        <w:rPr>
          <w:spacing w:val="-4"/>
          <w:sz w:val="18"/>
        </w:rPr>
        <w:t xml:space="preserve"> </w:t>
      </w:r>
      <w:r>
        <w:rPr>
          <w:sz w:val="18"/>
        </w:rPr>
        <w:t>Perspective’,</w:t>
      </w:r>
      <w:r>
        <w:rPr>
          <w:spacing w:val="-6"/>
          <w:sz w:val="18"/>
        </w:rPr>
        <w:t xml:space="preserve"> </w:t>
      </w:r>
      <w:r>
        <w:rPr>
          <w:sz w:val="18"/>
        </w:rPr>
        <w:t>Paper</w:t>
      </w:r>
      <w:r>
        <w:rPr>
          <w:spacing w:val="-4"/>
          <w:sz w:val="18"/>
        </w:rPr>
        <w:t xml:space="preserve"> </w:t>
      </w:r>
      <w:r>
        <w:rPr>
          <w:sz w:val="18"/>
        </w:rPr>
        <w:t>presented</w:t>
      </w:r>
      <w:r>
        <w:rPr>
          <w:spacing w:val="-4"/>
          <w:sz w:val="18"/>
        </w:rPr>
        <w:t xml:space="preserve"> </w:t>
      </w:r>
      <w:r>
        <w:rPr>
          <w:sz w:val="18"/>
        </w:rPr>
        <w:t xml:space="preserve">at </w:t>
      </w:r>
      <w:r>
        <w:rPr>
          <w:i/>
          <w:sz w:val="18"/>
        </w:rPr>
        <w:t>Ten Years</w:t>
      </w:r>
      <w:r>
        <w:rPr>
          <w:i/>
          <w:spacing w:val="21"/>
          <w:sz w:val="18"/>
        </w:rPr>
        <w:t xml:space="preserve"> </w:t>
      </w:r>
      <w:r>
        <w:rPr>
          <w:i/>
          <w:sz w:val="18"/>
        </w:rPr>
        <w:t>of</w:t>
      </w:r>
      <w:r>
        <w:rPr>
          <w:i/>
          <w:spacing w:val="21"/>
          <w:sz w:val="18"/>
        </w:rPr>
        <w:t xml:space="preserve"> </w:t>
      </w:r>
      <w:r>
        <w:rPr>
          <w:i/>
          <w:sz w:val="18"/>
        </w:rPr>
        <w:t>the</w:t>
      </w:r>
      <w:r>
        <w:rPr>
          <w:i/>
          <w:spacing w:val="21"/>
          <w:sz w:val="18"/>
        </w:rPr>
        <w:t xml:space="preserve"> </w:t>
      </w:r>
      <w:r>
        <w:rPr>
          <w:i/>
          <w:sz w:val="18"/>
        </w:rPr>
        <w:t>ACT</w:t>
      </w:r>
      <w:r>
        <w:rPr>
          <w:i/>
          <w:spacing w:val="22"/>
          <w:sz w:val="18"/>
        </w:rPr>
        <w:t xml:space="preserve"> </w:t>
      </w:r>
      <w:r>
        <w:rPr>
          <w:i/>
          <w:sz w:val="18"/>
        </w:rPr>
        <w:t>Human</w:t>
      </w:r>
      <w:r>
        <w:rPr>
          <w:i/>
          <w:spacing w:val="24"/>
          <w:sz w:val="18"/>
        </w:rPr>
        <w:t xml:space="preserve"> </w:t>
      </w:r>
      <w:r>
        <w:rPr>
          <w:i/>
          <w:sz w:val="18"/>
        </w:rPr>
        <w:t>Rights</w:t>
      </w:r>
      <w:r>
        <w:rPr>
          <w:i/>
          <w:spacing w:val="19"/>
          <w:sz w:val="18"/>
        </w:rPr>
        <w:t xml:space="preserve"> </w:t>
      </w:r>
      <w:r>
        <w:rPr>
          <w:i/>
          <w:sz w:val="18"/>
        </w:rPr>
        <w:t>Act:</w:t>
      </w:r>
      <w:r>
        <w:rPr>
          <w:i/>
          <w:spacing w:val="23"/>
          <w:sz w:val="18"/>
        </w:rPr>
        <w:t xml:space="preserve"> </w:t>
      </w:r>
      <w:r>
        <w:rPr>
          <w:i/>
          <w:sz w:val="18"/>
        </w:rPr>
        <w:t>Continuing</w:t>
      </w:r>
      <w:r>
        <w:rPr>
          <w:i/>
          <w:spacing w:val="24"/>
          <w:sz w:val="18"/>
        </w:rPr>
        <w:t xml:space="preserve"> </w:t>
      </w:r>
      <w:r>
        <w:rPr>
          <w:i/>
          <w:sz w:val="18"/>
        </w:rPr>
        <w:t>Dialogue</w:t>
      </w:r>
      <w:r>
        <w:rPr>
          <w:i/>
          <w:spacing w:val="21"/>
          <w:sz w:val="18"/>
        </w:rPr>
        <w:t xml:space="preserve"> </w:t>
      </w:r>
      <w:r>
        <w:rPr>
          <w:i/>
          <w:sz w:val="18"/>
        </w:rPr>
        <w:t>Conference</w:t>
      </w:r>
      <w:r>
        <w:rPr>
          <w:i/>
          <w:spacing w:val="27"/>
          <w:sz w:val="18"/>
        </w:rPr>
        <w:t xml:space="preserve"> </w:t>
      </w:r>
      <w:r>
        <w:rPr>
          <w:sz w:val="18"/>
        </w:rPr>
        <w:t>(Australian</w:t>
      </w:r>
      <w:r>
        <w:rPr>
          <w:spacing w:val="23"/>
          <w:sz w:val="18"/>
        </w:rPr>
        <w:t xml:space="preserve"> </w:t>
      </w:r>
      <w:r>
        <w:rPr>
          <w:sz w:val="18"/>
        </w:rPr>
        <w:t>National</w:t>
      </w:r>
      <w:r>
        <w:rPr>
          <w:spacing w:val="23"/>
          <w:sz w:val="18"/>
        </w:rPr>
        <w:t xml:space="preserve"> </w:t>
      </w:r>
      <w:r>
        <w:rPr>
          <w:sz w:val="18"/>
        </w:rPr>
        <w:t>University,</w:t>
      </w:r>
      <w:r>
        <w:rPr>
          <w:spacing w:val="21"/>
          <w:sz w:val="18"/>
        </w:rPr>
        <w:t xml:space="preserve"> </w:t>
      </w:r>
      <w:r>
        <w:rPr>
          <w:sz w:val="18"/>
        </w:rPr>
        <w:t>1</w:t>
      </w:r>
      <w:r>
        <w:rPr>
          <w:spacing w:val="23"/>
          <w:sz w:val="18"/>
        </w:rPr>
        <w:t xml:space="preserve"> </w:t>
      </w:r>
      <w:r>
        <w:rPr>
          <w:sz w:val="18"/>
        </w:rPr>
        <w:t>July</w:t>
      </w:r>
      <w:r>
        <w:rPr>
          <w:spacing w:val="22"/>
          <w:sz w:val="18"/>
        </w:rPr>
        <w:t xml:space="preserve"> </w:t>
      </w:r>
      <w:r>
        <w:rPr>
          <w:sz w:val="18"/>
        </w:rPr>
        <w:t>2014)</w:t>
      </w:r>
      <w:r>
        <w:rPr>
          <w:spacing w:val="21"/>
          <w:sz w:val="18"/>
        </w:rPr>
        <w:t xml:space="preserve"> </w:t>
      </w:r>
      <w:r>
        <w:rPr>
          <w:spacing w:val="-5"/>
          <w:sz w:val="18"/>
        </w:rPr>
        <w:t>22</w:t>
      </w:r>
    </w:p>
    <w:p w14:paraId="7CB25D84" w14:textId="77777777" w:rsidR="008A4099" w:rsidRDefault="006A6EE2">
      <w:pPr>
        <w:spacing w:line="202" w:lineRule="exact"/>
        <w:ind w:left="160"/>
        <w:rPr>
          <w:sz w:val="18"/>
        </w:rPr>
      </w:pPr>
      <w:r>
        <w:rPr>
          <w:spacing w:val="-2"/>
          <w:sz w:val="18"/>
        </w:rPr>
        <w:t>&lt;https://</w:t>
      </w:r>
      <w:hyperlink r:id="rId52" w:anchor="Murrell">
        <w:r>
          <w:rPr>
            <w:spacing w:val="-2"/>
            <w:sz w:val="18"/>
          </w:rPr>
          <w:t>www.courts.act.gov.au/supreme/about-the-courts/judiciary/speeches#Murrell</w:t>
        </w:r>
      </w:hyperlink>
      <w:r>
        <w:rPr>
          <w:spacing w:val="-2"/>
          <w:sz w:val="18"/>
        </w:rPr>
        <w:t>&gt;.</w:t>
      </w:r>
    </w:p>
    <w:p w14:paraId="7CB25D85" w14:textId="77777777" w:rsidR="008A4099" w:rsidRDefault="006A6EE2">
      <w:pPr>
        <w:spacing w:before="18"/>
        <w:ind w:left="160"/>
        <w:rPr>
          <w:sz w:val="18"/>
        </w:rPr>
      </w:pPr>
      <w:r>
        <w:rPr>
          <w:sz w:val="18"/>
          <w:vertAlign w:val="superscript"/>
        </w:rPr>
        <w:t>73</w:t>
      </w:r>
      <w:r>
        <w:rPr>
          <w:spacing w:val="-2"/>
          <w:sz w:val="18"/>
        </w:rPr>
        <w:t xml:space="preserve"> </w:t>
      </w:r>
      <w:r>
        <w:rPr>
          <w:sz w:val="18"/>
        </w:rPr>
        <w:t>Watchirs,</w:t>
      </w:r>
      <w:r>
        <w:rPr>
          <w:spacing w:val="-1"/>
          <w:sz w:val="18"/>
        </w:rPr>
        <w:t xml:space="preserve"> </w:t>
      </w:r>
      <w:r>
        <w:rPr>
          <w:sz w:val="18"/>
        </w:rPr>
        <w:t>Costello and Thilagaratnam,</w:t>
      </w:r>
      <w:r>
        <w:rPr>
          <w:spacing w:val="-1"/>
          <w:sz w:val="18"/>
        </w:rPr>
        <w:t xml:space="preserve"> </w:t>
      </w:r>
      <w:r>
        <w:rPr>
          <w:sz w:val="18"/>
        </w:rPr>
        <w:t>‘Human Rights</w:t>
      </w:r>
      <w:r>
        <w:rPr>
          <w:spacing w:val="-3"/>
          <w:sz w:val="18"/>
        </w:rPr>
        <w:t xml:space="preserve"> </w:t>
      </w:r>
      <w:r>
        <w:rPr>
          <w:sz w:val="18"/>
        </w:rPr>
        <w:t>Scrutiny</w:t>
      </w:r>
      <w:r>
        <w:rPr>
          <w:spacing w:val="-2"/>
          <w:sz w:val="18"/>
        </w:rPr>
        <w:t xml:space="preserve"> </w:t>
      </w:r>
      <w:r>
        <w:rPr>
          <w:sz w:val="18"/>
        </w:rPr>
        <w:t>under</w:t>
      </w:r>
      <w:r>
        <w:rPr>
          <w:spacing w:val="-1"/>
          <w:sz w:val="18"/>
        </w:rPr>
        <w:t xml:space="preserve"> </w:t>
      </w:r>
      <w:r>
        <w:rPr>
          <w:sz w:val="18"/>
        </w:rPr>
        <w:t>the</w:t>
      </w:r>
      <w:r>
        <w:rPr>
          <w:spacing w:val="3"/>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Act</w:t>
      </w:r>
      <w:r>
        <w:rPr>
          <w:i/>
          <w:spacing w:val="-3"/>
          <w:sz w:val="18"/>
        </w:rPr>
        <w:t xml:space="preserve"> </w:t>
      </w:r>
      <w:r>
        <w:rPr>
          <w:i/>
          <w:sz w:val="18"/>
        </w:rPr>
        <w:t xml:space="preserve">2004 </w:t>
      </w:r>
      <w:r>
        <w:rPr>
          <w:sz w:val="18"/>
        </w:rPr>
        <w:t>(ACT)’</w:t>
      </w:r>
      <w:r>
        <w:rPr>
          <w:spacing w:val="-1"/>
          <w:sz w:val="18"/>
        </w:rPr>
        <w:t xml:space="preserve"> </w:t>
      </w:r>
      <w:r>
        <w:rPr>
          <w:spacing w:val="-2"/>
          <w:sz w:val="18"/>
        </w:rPr>
        <w:t>[6.170].</w:t>
      </w:r>
    </w:p>
    <w:p w14:paraId="7CB25D86" w14:textId="77777777" w:rsidR="008A4099" w:rsidRDefault="006A6EE2">
      <w:pPr>
        <w:spacing w:before="24" w:line="242" w:lineRule="auto"/>
        <w:ind w:left="160" w:right="675"/>
        <w:jc w:val="both"/>
        <w:rPr>
          <w:sz w:val="18"/>
        </w:rPr>
      </w:pPr>
      <w:r>
        <w:rPr>
          <w:sz w:val="18"/>
          <w:vertAlign w:val="superscript"/>
        </w:rPr>
        <w:t>74</w:t>
      </w:r>
      <w:r>
        <w:rPr>
          <w:spacing w:val="-7"/>
          <w:sz w:val="18"/>
        </w:rPr>
        <w:t xml:space="preserve"> </w:t>
      </w:r>
      <w:r>
        <w:rPr>
          <w:sz w:val="18"/>
        </w:rPr>
        <w:t>Michael</w:t>
      </w:r>
      <w:r>
        <w:rPr>
          <w:spacing w:val="-6"/>
          <w:sz w:val="18"/>
        </w:rPr>
        <w:t xml:space="preserve"> </w:t>
      </w:r>
      <w:r>
        <w:rPr>
          <w:sz w:val="18"/>
        </w:rPr>
        <w:t>Brett</w:t>
      </w:r>
      <w:r>
        <w:rPr>
          <w:spacing w:val="-6"/>
          <w:sz w:val="18"/>
        </w:rPr>
        <w:t xml:space="preserve"> </w:t>
      </w:r>
      <w:r>
        <w:rPr>
          <w:sz w:val="18"/>
        </w:rPr>
        <w:t>Young,</w:t>
      </w:r>
      <w:r>
        <w:rPr>
          <w:spacing w:val="-8"/>
          <w:sz w:val="18"/>
        </w:rPr>
        <w:t xml:space="preserve"> </w:t>
      </w:r>
      <w:r>
        <w:rPr>
          <w:i/>
          <w:sz w:val="18"/>
        </w:rPr>
        <w:t>From</w:t>
      </w:r>
      <w:r>
        <w:rPr>
          <w:i/>
          <w:spacing w:val="-7"/>
          <w:sz w:val="18"/>
        </w:rPr>
        <w:t xml:space="preserve"> </w:t>
      </w:r>
      <w:r>
        <w:rPr>
          <w:i/>
          <w:sz w:val="18"/>
        </w:rPr>
        <w:t>Commitment</w:t>
      </w:r>
      <w:r>
        <w:rPr>
          <w:i/>
          <w:spacing w:val="-6"/>
          <w:sz w:val="18"/>
        </w:rPr>
        <w:t xml:space="preserve"> </w:t>
      </w:r>
      <w:r>
        <w:rPr>
          <w:i/>
          <w:sz w:val="18"/>
        </w:rPr>
        <w:t>to</w:t>
      </w:r>
      <w:r>
        <w:rPr>
          <w:i/>
          <w:spacing w:val="-8"/>
          <w:sz w:val="18"/>
        </w:rPr>
        <w:t xml:space="preserve"> </w:t>
      </w:r>
      <w:r>
        <w:rPr>
          <w:i/>
          <w:sz w:val="18"/>
        </w:rPr>
        <w:t>Culture:</w:t>
      </w:r>
      <w:r>
        <w:rPr>
          <w:i/>
          <w:spacing w:val="-7"/>
          <w:sz w:val="18"/>
        </w:rPr>
        <w:t xml:space="preserve"> </w:t>
      </w:r>
      <w:r>
        <w:rPr>
          <w:i/>
          <w:sz w:val="18"/>
        </w:rPr>
        <w:t>The</w:t>
      </w:r>
      <w:r>
        <w:rPr>
          <w:i/>
          <w:spacing w:val="-10"/>
          <w:sz w:val="18"/>
        </w:rPr>
        <w:t xml:space="preserve"> </w:t>
      </w:r>
      <w:r>
        <w:rPr>
          <w:i/>
          <w:sz w:val="18"/>
        </w:rPr>
        <w:t>2015</w:t>
      </w:r>
      <w:r>
        <w:rPr>
          <w:i/>
          <w:spacing w:val="-8"/>
          <w:sz w:val="18"/>
        </w:rPr>
        <w:t xml:space="preserve"> </w:t>
      </w:r>
      <w:r>
        <w:rPr>
          <w:i/>
          <w:sz w:val="18"/>
        </w:rPr>
        <w:t>Review</w:t>
      </w:r>
      <w:r>
        <w:rPr>
          <w:i/>
          <w:spacing w:val="-7"/>
          <w:sz w:val="18"/>
        </w:rPr>
        <w:t xml:space="preserve"> </w:t>
      </w:r>
      <w:r>
        <w:rPr>
          <w:i/>
          <w:sz w:val="18"/>
        </w:rPr>
        <w:t>of</w:t>
      </w:r>
      <w:r>
        <w:rPr>
          <w:i/>
          <w:spacing w:val="-6"/>
          <w:sz w:val="18"/>
        </w:rPr>
        <w:t xml:space="preserve"> </w:t>
      </w:r>
      <w:r>
        <w:rPr>
          <w:i/>
          <w:sz w:val="18"/>
        </w:rPr>
        <w:t>the</w:t>
      </w:r>
      <w:r>
        <w:rPr>
          <w:i/>
          <w:spacing w:val="-7"/>
          <w:sz w:val="18"/>
        </w:rPr>
        <w:t xml:space="preserve"> </w:t>
      </w:r>
      <w:r>
        <w:rPr>
          <w:i/>
          <w:sz w:val="18"/>
        </w:rPr>
        <w:t>Charter</w:t>
      </w:r>
      <w:r>
        <w:rPr>
          <w:i/>
          <w:spacing w:val="-7"/>
          <w:sz w:val="18"/>
        </w:rPr>
        <w:t xml:space="preserve"> </w:t>
      </w:r>
      <w:r>
        <w:rPr>
          <w:i/>
          <w:sz w:val="18"/>
        </w:rPr>
        <w:t>of</w:t>
      </w:r>
      <w:r>
        <w:rPr>
          <w:i/>
          <w:spacing w:val="-6"/>
          <w:sz w:val="18"/>
        </w:rPr>
        <w:t xml:space="preserve"> </w:t>
      </w:r>
      <w:r>
        <w:rPr>
          <w:i/>
          <w:sz w:val="18"/>
        </w:rPr>
        <w:t>Human</w:t>
      </w:r>
      <w:r>
        <w:rPr>
          <w:i/>
          <w:spacing w:val="-6"/>
          <w:sz w:val="18"/>
        </w:rPr>
        <w:t xml:space="preserve"> </w:t>
      </w:r>
      <w:r>
        <w:rPr>
          <w:i/>
          <w:sz w:val="18"/>
        </w:rPr>
        <w:t>Rights</w:t>
      </w:r>
      <w:r>
        <w:rPr>
          <w:i/>
          <w:spacing w:val="-7"/>
          <w:sz w:val="18"/>
        </w:rPr>
        <w:t xml:space="preserve"> </w:t>
      </w:r>
      <w:r>
        <w:rPr>
          <w:i/>
          <w:sz w:val="18"/>
        </w:rPr>
        <w:t>and</w:t>
      </w:r>
      <w:r>
        <w:rPr>
          <w:i/>
          <w:spacing w:val="-6"/>
          <w:sz w:val="18"/>
        </w:rPr>
        <w:t xml:space="preserve"> </w:t>
      </w:r>
      <w:r>
        <w:rPr>
          <w:i/>
          <w:sz w:val="18"/>
        </w:rPr>
        <w:t>Responsibilities Act</w:t>
      </w:r>
      <w:r>
        <w:rPr>
          <w:i/>
          <w:spacing w:val="-12"/>
          <w:sz w:val="18"/>
        </w:rPr>
        <w:t xml:space="preserve"> </w:t>
      </w:r>
      <w:r>
        <w:rPr>
          <w:i/>
          <w:sz w:val="18"/>
        </w:rPr>
        <w:t>2006</w:t>
      </w:r>
      <w:r>
        <w:rPr>
          <w:i/>
          <w:spacing w:val="-11"/>
          <w:sz w:val="18"/>
        </w:rPr>
        <w:t xml:space="preserve"> </w:t>
      </w:r>
      <w:r>
        <w:rPr>
          <w:sz w:val="18"/>
        </w:rPr>
        <w:t>(Report,</w:t>
      </w:r>
      <w:r>
        <w:rPr>
          <w:spacing w:val="-11"/>
          <w:sz w:val="18"/>
        </w:rPr>
        <w:t xml:space="preserve"> </w:t>
      </w:r>
      <w:r>
        <w:rPr>
          <w:sz w:val="18"/>
        </w:rPr>
        <w:t>2016)</w:t>
      </w:r>
      <w:r>
        <w:rPr>
          <w:spacing w:val="-11"/>
          <w:sz w:val="18"/>
        </w:rPr>
        <w:t xml:space="preserve"> </w:t>
      </w:r>
      <w:r>
        <w:rPr>
          <w:sz w:val="18"/>
        </w:rPr>
        <w:t>22</w:t>
      </w:r>
      <w:r>
        <w:rPr>
          <w:spacing w:val="-12"/>
          <w:sz w:val="18"/>
        </w:rPr>
        <w:t xml:space="preserve"> </w:t>
      </w:r>
      <w:r>
        <w:rPr>
          <w:sz w:val="18"/>
        </w:rPr>
        <w:t>&lt;https://files.justice.vic.gov.au/2021-06/report_final_charter_review_2015.pdf&gt;.</w:t>
      </w:r>
      <w:r>
        <w:rPr>
          <w:spacing w:val="-11"/>
          <w:sz w:val="18"/>
        </w:rPr>
        <w:t xml:space="preserve"> </w:t>
      </w:r>
      <w:r>
        <w:rPr>
          <w:sz w:val="18"/>
        </w:rPr>
        <w:t>Brett</w:t>
      </w:r>
      <w:r>
        <w:rPr>
          <w:spacing w:val="-11"/>
          <w:sz w:val="18"/>
        </w:rPr>
        <w:t xml:space="preserve"> </w:t>
      </w:r>
      <w:r>
        <w:rPr>
          <w:sz w:val="18"/>
        </w:rPr>
        <w:t>Young</w:t>
      </w:r>
      <w:r>
        <w:rPr>
          <w:spacing w:val="-11"/>
          <w:sz w:val="18"/>
        </w:rPr>
        <w:t xml:space="preserve"> </w:t>
      </w:r>
      <w:r>
        <w:rPr>
          <w:sz w:val="18"/>
        </w:rPr>
        <w:t xml:space="preserve">was appointed by the Attorney-General, the Hon Martin Pakula MP, in March 2015 as the independent reviewer to conduct the eight-year review of the Victorian </w:t>
      </w:r>
      <w:r>
        <w:rPr>
          <w:i/>
          <w:sz w:val="18"/>
        </w:rPr>
        <w:t>Charter of Human Rights and Responsibilities 2006</w:t>
      </w:r>
      <w:r>
        <w:rPr>
          <w:sz w:val="18"/>
        </w:rPr>
        <w:t>.</w:t>
      </w:r>
    </w:p>
    <w:p w14:paraId="7CB25D87" w14:textId="77777777" w:rsidR="008A4099" w:rsidRDefault="006A6EE2">
      <w:pPr>
        <w:spacing w:before="16"/>
        <w:ind w:left="160"/>
        <w:jc w:val="both"/>
        <w:rPr>
          <w:sz w:val="18"/>
        </w:rPr>
      </w:pPr>
      <w:r>
        <w:rPr>
          <w:w w:val="105"/>
          <w:sz w:val="18"/>
          <w:vertAlign w:val="superscript"/>
        </w:rPr>
        <w:t>75</w:t>
      </w:r>
      <w:r>
        <w:rPr>
          <w:w w:val="105"/>
          <w:sz w:val="18"/>
        </w:rPr>
        <w:t xml:space="preserve"> </w:t>
      </w:r>
      <w:r>
        <w:rPr>
          <w:spacing w:val="-2"/>
          <w:w w:val="105"/>
          <w:sz w:val="18"/>
        </w:rPr>
        <w:t>Ibid.</w:t>
      </w:r>
    </w:p>
    <w:p w14:paraId="7CB25D88"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D89" w14:textId="77777777" w:rsidR="008A4099" w:rsidRDefault="008A4099">
      <w:pPr>
        <w:pStyle w:val="BodyText"/>
        <w:spacing w:before="194"/>
      </w:pPr>
    </w:p>
    <w:p w14:paraId="7CB25D8A" w14:textId="77777777" w:rsidR="008A4099" w:rsidRDefault="006A6EE2">
      <w:pPr>
        <w:pStyle w:val="BodyText"/>
        <w:spacing w:line="242" w:lineRule="auto"/>
        <w:ind w:left="160" w:right="679"/>
        <w:jc w:val="both"/>
      </w:pPr>
      <w:r>
        <w:t>human rights culture had stalled over time and considered ways to enhance the effectiveness of the Victorian</w:t>
      </w:r>
      <w:r>
        <w:rPr>
          <w:spacing w:val="-4"/>
        </w:rPr>
        <w:t xml:space="preserve"> </w:t>
      </w:r>
      <w:r>
        <w:t>Charter</w:t>
      </w:r>
      <w:r>
        <w:rPr>
          <w:spacing w:val="-4"/>
        </w:rPr>
        <w:t xml:space="preserve"> </w:t>
      </w:r>
      <w:r>
        <w:t>in</w:t>
      </w:r>
      <w:r>
        <w:rPr>
          <w:spacing w:val="-5"/>
        </w:rPr>
        <w:t xml:space="preserve"> </w:t>
      </w:r>
      <w:r>
        <w:t>building</w:t>
      </w:r>
      <w:r>
        <w:rPr>
          <w:spacing w:val="-5"/>
        </w:rPr>
        <w:t xml:space="preserve"> </w:t>
      </w:r>
      <w:r>
        <w:t>a</w:t>
      </w:r>
      <w:r>
        <w:rPr>
          <w:spacing w:val="-4"/>
        </w:rPr>
        <w:t xml:space="preserve"> </w:t>
      </w:r>
      <w:r>
        <w:t>more</w:t>
      </w:r>
      <w:r>
        <w:rPr>
          <w:spacing w:val="-4"/>
        </w:rPr>
        <w:t xml:space="preserve"> </w:t>
      </w:r>
      <w:r>
        <w:t>effective</w:t>
      </w:r>
      <w:r>
        <w:rPr>
          <w:spacing w:val="-7"/>
        </w:rPr>
        <w:t xml:space="preserve"> </w:t>
      </w:r>
      <w:r>
        <w:t>human</w:t>
      </w:r>
      <w:r>
        <w:rPr>
          <w:spacing w:val="-4"/>
        </w:rPr>
        <w:t xml:space="preserve"> </w:t>
      </w:r>
      <w:r>
        <w:t>rights</w:t>
      </w:r>
      <w:r>
        <w:rPr>
          <w:spacing w:val="-4"/>
        </w:rPr>
        <w:t xml:space="preserve"> </w:t>
      </w:r>
      <w:r>
        <w:t>culture</w:t>
      </w:r>
      <w:r>
        <w:rPr>
          <w:spacing w:val="-4"/>
        </w:rPr>
        <w:t xml:space="preserve"> </w:t>
      </w:r>
      <w:r>
        <w:t>and</w:t>
      </w:r>
      <w:r>
        <w:rPr>
          <w:spacing w:val="-7"/>
        </w:rPr>
        <w:t xml:space="preserve"> </w:t>
      </w:r>
      <w:r>
        <w:t>to</w:t>
      </w:r>
      <w:r>
        <w:rPr>
          <w:spacing w:val="-5"/>
        </w:rPr>
        <w:t xml:space="preserve"> </w:t>
      </w:r>
      <w:r>
        <w:t>improve</w:t>
      </w:r>
      <w:r>
        <w:rPr>
          <w:spacing w:val="-7"/>
        </w:rPr>
        <w:t xml:space="preserve"> </w:t>
      </w:r>
      <w:r>
        <w:t>its</w:t>
      </w:r>
      <w:r>
        <w:rPr>
          <w:spacing w:val="-4"/>
        </w:rPr>
        <w:t xml:space="preserve"> </w:t>
      </w:r>
      <w:r>
        <w:t>operation.</w:t>
      </w:r>
      <w:r>
        <w:rPr>
          <w:spacing w:val="-5"/>
        </w:rPr>
        <w:t xml:space="preserve"> </w:t>
      </w:r>
      <w:r>
        <w:t>Its</w:t>
      </w:r>
      <w:r>
        <w:rPr>
          <w:spacing w:val="-4"/>
        </w:rPr>
        <w:t xml:space="preserve"> </w:t>
      </w:r>
      <w:r>
        <w:t>52 recommendations include:</w:t>
      </w:r>
    </w:p>
    <w:p w14:paraId="7CB25D8B" w14:textId="77777777" w:rsidR="008A4099" w:rsidRDefault="006A6EE2">
      <w:pPr>
        <w:pStyle w:val="ListParagraph"/>
        <w:numPr>
          <w:ilvl w:val="0"/>
          <w:numId w:val="8"/>
        </w:numPr>
        <w:tabs>
          <w:tab w:val="left" w:pos="1227"/>
        </w:tabs>
        <w:spacing w:before="214"/>
        <w:ind w:left="1227" w:hanging="359"/>
      </w:pPr>
      <w:r>
        <w:t>promoting</w:t>
      </w:r>
      <w:r>
        <w:rPr>
          <w:spacing w:val="-6"/>
        </w:rPr>
        <w:t xml:space="preserve"> </w:t>
      </w:r>
      <w:r>
        <w:t>a</w:t>
      </w:r>
      <w:r>
        <w:rPr>
          <w:spacing w:val="-4"/>
        </w:rPr>
        <w:t xml:space="preserve"> </w:t>
      </w:r>
      <w:r>
        <w:t>stronger,</w:t>
      </w:r>
      <w:r>
        <w:rPr>
          <w:spacing w:val="-6"/>
        </w:rPr>
        <w:t xml:space="preserve"> </w:t>
      </w:r>
      <w:r>
        <w:t>coherent</w:t>
      </w:r>
      <w:r>
        <w:rPr>
          <w:spacing w:val="-2"/>
        </w:rPr>
        <w:t xml:space="preserve"> </w:t>
      </w:r>
      <w:r>
        <w:t>human</w:t>
      </w:r>
      <w:r>
        <w:rPr>
          <w:spacing w:val="-4"/>
        </w:rPr>
        <w:t xml:space="preserve"> </w:t>
      </w:r>
      <w:r>
        <w:t>rights</w:t>
      </w:r>
      <w:r>
        <w:rPr>
          <w:spacing w:val="-3"/>
        </w:rPr>
        <w:t xml:space="preserve"> </w:t>
      </w:r>
      <w:r>
        <w:t>culture</w:t>
      </w:r>
      <w:r>
        <w:rPr>
          <w:spacing w:val="-5"/>
        </w:rPr>
        <w:t xml:space="preserve"> </w:t>
      </w:r>
      <w:r>
        <w:t>in</w:t>
      </w:r>
      <w:r>
        <w:rPr>
          <w:spacing w:val="-5"/>
        </w:rPr>
        <w:t xml:space="preserve"> </w:t>
      </w:r>
      <w:r>
        <w:t>the</w:t>
      </w:r>
      <w:r>
        <w:rPr>
          <w:spacing w:val="-3"/>
        </w:rPr>
        <w:t xml:space="preserve"> </w:t>
      </w:r>
      <w:r>
        <w:t>public</w:t>
      </w:r>
      <w:r>
        <w:rPr>
          <w:spacing w:val="-3"/>
        </w:rPr>
        <w:t xml:space="preserve"> </w:t>
      </w:r>
      <w:r>
        <w:rPr>
          <w:spacing w:val="-2"/>
        </w:rPr>
        <w:t>sector;</w:t>
      </w:r>
    </w:p>
    <w:p w14:paraId="7CB25D8C" w14:textId="77777777" w:rsidR="008A4099" w:rsidRDefault="006A6EE2">
      <w:pPr>
        <w:pStyle w:val="ListParagraph"/>
        <w:numPr>
          <w:ilvl w:val="0"/>
          <w:numId w:val="8"/>
        </w:numPr>
        <w:tabs>
          <w:tab w:val="left" w:pos="1228"/>
        </w:tabs>
        <w:spacing w:before="158" w:line="273" w:lineRule="auto"/>
        <w:ind w:right="682"/>
      </w:pPr>
      <w:r>
        <w:t>creating an avenue for dispute resolution through the Victorian Equal Opportunity and Human Rights Commission;</w:t>
      </w:r>
    </w:p>
    <w:p w14:paraId="7CB25D8D" w14:textId="77777777" w:rsidR="008A4099" w:rsidRDefault="006A6EE2">
      <w:pPr>
        <w:pStyle w:val="ListParagraph"/>
        <w:numPr>
          <w:ilvl w:val="0"/>
          <w:numId w:val="8"/>
        </w:numPr>
        <w:tabs>
          <w:tab w:val="left" w:pos="1228"/>
        </w:tabs>
        <w:spacing w:before="122" w:line="276" w:lineRule="auto"/>
        <w:ind w:right="677"/>
      </w:pPr>
      <w:r>
        <w:t>allowing</w:t>
      </w:r>
      <w:r>
        <w:rPr>
          <w:spacing w:val="-12"/>
        </w:rPr>
        <w:t xml:space="preserve"> </w:t>
      </w:r>
      <w:r>
        <w:t>a</w:t>
      </w:r>
      <w:r>
        <w:rPr>
          <w:spacing w:val="-9"/>
        </w:rPr>
        <w:t xml:space="preserve"> </w:t>
      </w:r>
      <w:r>
        <w:t>person</w:t>
      </w:r>
      <w:r>
        <w:rPr>
          <w:spacing w:val="-10"/>
        </w:rPr>
        <w:t xml:space="preserve"> </w:t>
      </w:r>
      <w:r>
        <w:t>who</w:t>
      </w:r>
      <w:r>
        <w:rPr>
          <w:spacing w:val="-12"/>
        </w:rPr>
        <w:t xml:space="preserve"> </w:t>
      </w:r>
      <w:r>
        <w:t>claims</w:t>
      </w:r>
      <w:r>
        <w:rPr>
          <w:spacing w:val="-11"/>
        </w:rPr>
        <w:t xml:space="preserve"> </w:t>
      </w:r>
      <w:r>
        <w:t>a</w:t>
      </w:r>
      <w:r>
        <w:rPr>
          <w:spacing w:val="-9"/>
        </w:rPr>
        <w:t xml:space="preserve"> </w:t>
      </w:r>
      <w:r>
        <w:t>public</w:t>
      </w:r>
      <w:r>
        <w:rPr>
          <w:spacing w:val="-12"/>
        </w:rPr>
        <w:t xml:space="preserve"> </w:t>
      </w:r>
      <w:r>
        <w:t>authority</w:t>
      </w:r>
      <w:r>
        <w:rPr>
          <w:spacing w:val="-12"/>
        </w:rPr>
        <w:t xml:space="preserve"> </w:t>
      </w:r>
      <w:r>
        <w:t>has</w:t>
      </w:r>
      <w:r>
        <w:rPr>
          <w:spacing w:val="-11"/>
        </w:rPr>
        <w:t xml:space="preserve"> </w:t>
      </w:r>
      <w:r>
        <w:t>acted</w:t>
      </w:r>
      <w:r>
        <w:rPr>
          <w:spacing w:val="-12"/>
        </w:rPr>
        <w:t xml:space="preserve"> </w:t>
      </w:r>
      <w:r>
        <w:t>incompatibility</w:t>
      </w:r>
      <w:r>
        <w:rPr>
          <w:spacing w:val="-12"/>
        </w:rPr>
        <w:t xml:space="preserve"> </w:t>
      </w:r>
      <w:r>
        <w:t>with</w:t>
      </w:r>
      <w:r>
        <w:rPr>
          <w:spacing w:val="-10"/>
        </w:rPr>
        <w:t xml:space="preserve"> </w:t>
      </w:r>
      <w:r>
        <w:t>their</w:t>
      </w:r>
      <w:r>
        <w:rPr>
          <w:spacing w:val="-11"/>
        </w:rPr>
        <w:t xml:space="preserve"> </w:t>
      </w:r>
      <w:r>
        <w:t>human rights to apply to the Victorian Civil and Administrative Tribunal for a remedy, or to rely solely on the Vic Human Rights Charter in any legal proceedings (rather than current requirements that human rights actions ‘piggy-back’ off other legal claims); and</w:t>
      </w:r>
    </w:p>
    <w:p w14:paraId="7CB25D8E" w14:textId="77777777" w:rsidR="008A4099" w:rsidRDefault="006A6EE2">
      <w:pPr>
        <w:pStyle w:val="ListParagraph"/>
        <w:numPr>
          <w:ilvl w:val="0"/>
          <w:numId w:val="8"/>
        </w:numPr>
        <w:tabs>
          <w:tab w:val="left" w:pos="1227"/>
        </w:tabs>
        <w:spacing w:before="116"/>
        <w:ind w:left="1227" w:hanging="359"/>
        <w:rPr>
          <w:sz w:val="13"/>
        </w:rPr>
      </w:pPr>
      <w:r>
        <w:t>allowing</w:t>
      </w:r>
      <w:r>
        <w:rPr>
          <w:spacing w:val="-9"/>
        </w:rPr>
        <w:t xml:space="preserve"> </w:t>
      </w:r>
      <w:r>
        <w:t>sufficient</w:t>
      </w:r>
      <w:r>
        <w:rPr>
          <w:spacing w:val="-5"/>
        </w:rPr>
        <w:t xml:space="preserve"> </w:t>
      </w:r>
      <w:r>
        <w:t>time</w:t>
      </w:r>
      <w:r>
        <w:rPr>
          <w:spacing w:val="-5"/>
        </w:rPr>
        <w:t xml:space="preserve"> </w:t>
      </w:r>
      <w:r>
        <w:t>for</w:t>
      </w:r>
      <w:r>
        <w:rPr>
          <w:spacing w:val="-5"/>
        </w:rPr>
        <w:t xml:space="preserve"> </w:t>
      </w:r>
      <w:r>
        <w:t>the</w:t>
      </w:r>
      <w:r>
        <w:rPr>
          <w:spacing w:val="-6"/>
        </w:rPr>
        <w:t xml:space="preserve"> </w:t>
      </w:r>
      <w:r>
        <w:t>relevant</w:t>
      </w:r>
      <w:r>
        <w:rPr>
          <w:spacing w:val="1"/>
        </w:rPr>
        <w:t xml:space="preserve"> </w:t>
      </w:r>
      <w:r>
        <w:t>Parliamentary</w:t>
      </w:r>
      <w:r>
        <w:rPr>
          <w:spacing w:val="-6"/>
        </w:rPr>
        <w:t xml:space="preserve"> </w:t>
      </w:r>
      <w:r>
        <w:t>committee</w:t>
      </w:r>
      <w:r>
        <w:rPr>
          <w:spacing w:val="-6"/>
        </w:rPr>
        <w:t xml:space="preserve"> </w:t>
      </w:r>
      <w:r>
        <w:t>to</w:t>
      </w:r>
      <w:r>
        <w:rPr>
          <w:spacing w:val="-3"/>
        </w:rPr>
        <w:t xml:space="preserve"> </w:t>
      </w:r>
      <w:r>
        <w:t>examine</w:t>
      </w:r>
      <w:r>
        <w:rPr>
          <w:spacing w:val="-5"/>
        </w:rPr>
        <w:t xml:space="preserve"> </w:t>
      </w:r>
      <w:r>
        <w:t>a</w:t>
      </w:r>
      <w:r>
        <w:rPr>
          <w:spacing w:val="-3"/>
        </w:rPr>
        <w:t xml:space="preserve"> </w:t>
      </w:r>
      <w:r>
        <w:rPr>
          <w:spacing w:val="-2"/>
        </w:rPr>
        <w:t>Bill.</w:t>
      </w:r>
      <w:r>
        <w:rPr>
          <w:spacing w:val="-2"/>
          <w:position w:val="7"/>
          <w:sz w:val="13"/>
        </w:rPr>
        <w:t>76</w:t>
      </w:r>
    </w:p>
    <w:p w14:paraId="7CB25D8F" w14:textId="77777777" w:rsidR="008A4099" w:rsidRDefault="008A4099">
      <w:pPr>
        <w:pStyle w:val="BodyText"/>
        <w:spacing w:before="7"/>
      </w:pPr>
    </w:p>
    <w:p w14:paraId="7CB25D90" w14:textId="77777777" w:rsidR="008A4099" w:rsidRDefault="006A6EE2">
      <w:pPr>
        <w:pStyle w:val="ListParagraph"/>
        <w:numPr>
          <w:ilvl w:val="2"/>
          <w:numId w:val="9"/>
        </w:numPr>
        <w:tabs>
          <w:tab w:val="left" w:pos="879"/>
        </w:tabs>
        <w:spacing w:before="0" w:line="237" w:lineRule="auto"/>
        <w:ind w:right="676" w:firstLine="0"/>
        <w:jc w:val="both"/>
      </w:pPr>
      <w:r>
        <w:t>The</w:t>
      </w:r>
      <w:r>
        <w:rPr>
          <w:spacing w:val="-3"/>
        </w:rPr>
        <w:t xml:space="preserve"> </w:t>
      </w:r>
      <w:r>
        <w:t>2015</w:t>
      </w:r>
      <w:r>
        <w:rPr>
          <w:spacing w:val="-3"/>
        </w:rPr>
        <w:t xml:space="preserve"> </w:t>
      </w:r>
      <w:r>
        <w:t>Review</w:t>
      </w:r>
      <w:r>
        <w:rPr>
          <w:spacing w:val="-6"/>
        </w:rPr>
        <w:t xml:space="preserve"> </w:t>
      </w:r>
      <w:r>
        <w:t>concluded</w:t>
      </w:r>
      <w:r>
        <w:rPr>
          <w:spacing w:val="-3"/>
        </w:rPr>
        <w:t xml:space="preserve"> </w:t>
      </w:r>
      <w:r>
        <w:t>that</w:t>
      </w:r>
      <w:r>
        <w:rPr>
          <w:spacing w:val="-4"/>
        </w:rPr>
        <w:t xml:space="preserve"> </w:t>
      </w:r>
      <w:r>
        <w:t>the</w:t>
      </w:r>
      <w:r>
        <w:rPr>
          <w:spacing w:val="-5"/>
        </w:rPr>
        <w:t xml:space="preserve"> </w:t>
      </w:r>
      <w:r>
        <w:t>current</w:t>
      </w:r>
      <w:r>
        <w:rPr>
          <w:spacing w:val="-2"/>
        </w:rPr>
        <w:t xml:space="preserve"> </w:t>
      </w:r>
      <w:r>
        <w:t>human</w:t>
      </w:r>
      <w:r>
        <w:rPr>
          <w:spacing w:val="-5"/>
        </w:rPr>
        <w:t xml:space="preserve"> </w:t>
      </w:r>
      <w:r>
        <w:t>rights</w:t>
      </w:r>
      <w:r>
        <w:rPr>
          <w:spacing w:val="-5"/>
        </w:rPr>
        <w:t xml:space="preserve"> </w:t>
      </w:r>
      <w:r>
        <w:t>framework</w:t>
      </w:r>
      <w:r>
        <w:rPr>
          <w:spacing w:val="-5"/>
        </w:rPr>
        <w:t xml:space="preserve"> </w:t>
      </w:r>
      <w:r>
        <w:t>in</w:t>
      </w:r>
      <w:r>
        <w:rPr>
          <w:spacing w:val="-3"/>
        </w:rPr>
        <w:t xml:space="preserve"> </w:t>
      </w:r>
      <w:r>
        <w:t>Victoria</w:t>
      </w:r>
      <w:r>
        <w:rPr>
          <w:spacing w:val="-5"/>
        </w:rPr>
        <w:t xml:space="preserve"> </w:t>
      </w:r>
      <w:r>
        <w:t>was</w:t>
      </w:r>
      <w:r>
        <w:rPr>
          <w:spacing w:val="-3"/>
        </w:rPr>
        <w:t xml:space="preserve"> </w:t>
      </w:r>
      <w:r>
        <w:t>beset</w:t>
      </w:r>
      <w:r>
        <w:rPr>
          <w:spacing w:val="-2"/>
        </w:rPr>
        <w:t xml:space="preserve"> </w:t>
      </w:r>
      <w:r>
        <w:t>by four key problems:</w:t>
      </w:r>
    </w:p>
    <w:p w14:paraId="7CB25D91" w14:textId="77777777" w:rsidR="008A4099" w:rsidRDefault="006A6EE2">
      <w:pPr>
        <w:pStyle w:val="ListParagraph"/>
        <w:numPr>
          <w:ilvl w:val="0"/>
          <w:numId w:val="7"/>
        </w:numPr>
        <w:tabs>
          <w:tab w:val="left" w:pos="1238"/>
        </w:tabs>
        <w:ind w:left="1238" w:hanging="358"/>
      </w:pPr>
      <w:r>
        <w:t>lack</w:t>
      </w:r>
      <w:r>
        <w:rPr>
          <w:spacing w:val="-5"/>
        </w:rPr>
        <w:t xml:space="preserve"> </w:t>
      </w:r>
      <w:r>
        <w:t>of</w:t>
      </w:r>
      <w:r>
        <w:rPr>
          <w:spacing w:val="-2"/>
        </w:rPr>
        <w:t xml:space="preserve"> </w:t>
      </w:r>
      <w:r>
        <w:t>consequences</w:t>
      </w:r>
      <w:r>
        <w:rPr>
          <w:spacing w:val="-3"/>
        </w:rPr>
        <w:t xml:space="preserve"> </w:t>
      </w:r>
      <w:r>
        <w:t>for</w:t>
      </w:r>
      <w:r>
        <w:rPr>
          <w:spacing w:val="-4"/>
        </w:rPr>
        <w:t xml:space="preserve"> </w:t>
      </w:r>
      <w:r>
        <w:t>breaches</w:t>
      </w:r>
      <w:r>
        <w:rPr>
          <w:spacing w:val="-2"/>
        </w:rPr>
        <w:t xml:space="preserve"> </w:t>
      </w:r>
      <w:r>
        <w:t>of</w:t>
      </w:r>
      <w:r>
        <w:rPr>
          <w:spacing w:val="-2"/>
        </w:rPr>
        <w:t xml:space="preserve"> rights;</w:t>
      </w:r>
    </w:p>
    <w:p w14:paraId="7CB25D92" w14:textId="77777777" w:rsidR="008A4099" w:rsidRDefault="006A6EE2">
      <w:pPr>
        <w:pStyle w:val="ListParagraph"/>
        <w:numPr>
          <w:ilvl w:val="0"/>
          <w:numId w:val="7"/>
        </w:numPr>
        <w:tabs>
          <w:tab w:val="left" w:pos="1238"/>
        </w:tabs>
        <w:spacing w:before="119"/>
        <w:ind w:left="1238" w:hanging="358"/>
      </w:pPr>
      <w:r>
        <w:t>a</w:t>
      </w:r>
      <w:r>
        <w:rPr>
          <w:spacing w:val="-6"/>
        </w:rPr>
        <w:t xml:space="preserve"> </w:t>
      </w:r>
      <w:r>
        <w:t>focus</w:t>
      </w:r>
      <w:r>
        <w:rPr>
          <w:spacing w:val="-4"/>
        </w:rPr>
        <w:t xml:space="preserve"> </w:t>
      </w:r>
      <w:r>
        <w:t>on</w:t>
      </w:r>
      <w:r>
        <w:rPr>
          <w:spacing w:val="-3"/>
        </w:rPr>
        <w:t xml:space="preserve"> </w:t>
      </w:r>
      <w:r>
        <w:t>government</w:t>
      </w:r>
      <w:r>
        <w:rPr>
          <w:spacing w:val="-5"/>
        </w:rPr>
        <w:t xml:space="preserve"> </w:t>
      </w:r>
      <w:r>
        <w:t>administration,</w:t>
      </w:r>
      <w:r>
        <w:rPr>
          <w:spacing w:val="-6"/>
        </w:rPr>
        <w:t xml:space="preserve"> </w:t>
      </w:r>
      <w:r>
        <w:t>rather</w:t>
      </w:r>
      <w:r>
        <w:rPr>
          <w:spacing w:val="-4"/>
        </w:rPr>
        <w:t xml:space="preserve"> </w:t>
      </w:r>
      <w:r>
        <w:t>than</w:t>
      </w:r>
      <w:r>
        <w:rPr>
          <w:spacing w:val="-3"/>
        </w:rPr>
        <w:t xml:space="preserve"> </w:t>
      </w:r>
      <w:r>
        <w:t>remedies</w:t>
      </w:r>
      <w:r>
        <w:rPr>
          <w:spacing w:val="-6"/>
        </w:rPr>
        <w:t xml:space="preserve"> </w:t>
      </w:r>
      <w:r>
        <w:t>for</w:t>
      </w:r>
      <w:r>
        <w:rPr>
          <w:spacing w:val="-3"/>
        </w:rPr>
        <w:t xml:space="preserve"> </w:t>
      </w:r>
      <w:r>
        <w:rPr>
          <w:spacing w:val="-2"/>
        </w:rPr>
        <w:t>individuals;</w:t>
      </w:r>
    </w:p>
    <w:p w14:paraId="7CB25D93" w14:textId="77777777" w:rsidR="008A4099" w:rsidRDefault="006A6EE2">
      <w:pPr>
        <w:pStyle w:val="ListParagraph"/>
        <w:numPr>
          <w:ilvl w:val="0"/>
          <w:numId w:val="7"/>
        </w:numPr>
        <w:tabs>
          <w:tab w:val="left" w:pos="1238"/>
        </w:tabs>
        <w:spacing w:before="122"/>
        <w:ind w:left="1238" w:hanging="358"/>
      </w:pPr>
      <w:r>
        <w:t>lack</w:t>
      </w:r>
      <w:r>
        <w:rPr>
          <w:spacing w:val="-6"/>
        </w:rPr>
        <w:t xml:space="preserve"> </w:t>
      </w:r>
      <w:r>
        <w:t>of</w:t>
      </w:r>
      <w:r>
        <w:rPr>
          <w:spacing w:val="-4"/>
        </w:rPr>
        <w:t xml:space="preserve"> </w:t>
      </w:r>
      <w:r>
        <w:t>accessibility</w:t>
      </w:r>
      <w:r>
        <w:rPr>
          <w:spacing w:val="-6"/>
        </w:rPr>
        <w:t xml:space="preserve"> </w:t>
      </w:r>
      <w:r>
        <w:t>to</w:t>
      </w:r>
      <w:r>
        <w:rPr>
          <w:spacing w:val="-3"/>
        </w:rPr>
        <w:t xml:space="preserve"> </w:t>
      </w:r>
      <w:r>
        <w:t>justice</w:t>
      </w:r>
      <w:r>
        <w:rPr>
          <w:spacing w:val="-3"/>
        </w:rPr>
        <w:t xml:space="preserve"> </w:t>
      </w:r>
      <w:r>
        <w:t>for</w:t>
      </w:r>
      <w:r>
        <w:rPr>
          <w:spacing w:val="-3"/>
        </w:rPr>
        <w:t xml:space="preserve"> </w:t>
      </w:r>
      <w:r>
        <w:t>breaches</w:t>
      </w:r>
      <w:r>
        <w:rPr>
          <w:spacing w:val="-5"/>
        </w:rPr>
        <w:t xml:space="preserve"> </w:t>
      </w:r>
      <w:r>
        <w:t>of</w:t>
      </w:r>
      <w:r>
        <w:rPr>
          <w:spacing w:val="-5"/>
        </w:rPr>
        <w:t xml:space="preserve"> </w:t>
      </w:r>
      <w:r>
        <w:t>rights;</w:t>
      </w:r>
      <w:r>
        <w:rPr>
          <w:spacing w:val="-2"/>
        </w:rPr>
        <w:t xml:space="preserve"> </w:t>
      </w:r>
      <w:r>
        <w:rPr>
          <w:spacing w:val="-5"/>
        </w:rPr>
        <w:t>and</w:t>
      </w:r>
    </w:p>
    <w:p w14:paraId="7CB25D94" w14:textId="77777777" w:rsidR="008A4099" w:rsidRDefault="006A6EE2">
      <w:pPr>
        <w:pStyle w:val="ListParagraph"/>
        <w:numPr>
          <w:ilvl w:val="0"/>
          <w:numId w:val="7"/>
        </w:numPr>
        <w:tabs>
          <w:tab w:val="left" w:pos="1238"/>
          <w:tab w:val="left" w:pos="1240"/>
        </w:tabs>
        <w:spacing w:before="116" w:line="244" w:lineRule="auto"/>
        <w:ind w:right="789"/>
        <w:rPr>
          <w:sz w:val="13"/>
        </w:rPr>
      </w:pPr>
      <w:r>
        <w:t>convoluted</w:t>
      </w:r>
      <w:r>
        <w:rPr>
          <w:spacing w:val="-3"/>
        </w:rPr>
        <w:t xml:space="preserve"> </w:t>
      </w:r>
      <w:r>
        <w:t>litigation</w:t>
      </w:r>
      <w:r>
        <w:rPr>
          <w:spacing w:val="-3"/>
        </w:rPr>
        <w:t xml:space="preserve"> </w:t>
      </w:r>
      <w:r>
        <w:t>resulting</w:t>
      </w:r>
      <w:r>
        <w:rPr>
          <w:spacing w:val="-3"/>
        </w:rPr>
        <w:t xml:space="preserve"> </w:t>
      </w:r>
      <w:r>
        <w:t>from</w:t>
      </w:r>
      <w:r>
        <w:rPr>
          <w:spacing w:val="-5"/>
        </w:rPr>
        <w:t xml:space="preserve"> </w:t>
      </w:r>
      <w:r>
        <w:t>the</w:t>
      </w:r>
      <w:r>
        <w:rPr>
          <w:spacing w:val="-5"/>
        </w:rPr>
        <w:t xml:space="preserve"> </w:t>
      </w:r>
      <w:r>
        <w:t>‘piggy-back’</w:t>
      </w:r>
      <w:r>
        <w:rPr>
          <w:spacing w:val="-3"/>
        </w:rPr>
        <w:t xml:space="preserve"> </w:t>
      </w:r>
      <w:r>
        <w:t>approach</w:t>
      </w:r>
      <w:r>
        <w:rPr>
          <w:spacing w:val="-3"/>
        </w:rPr>
        <w:t xml:space="preserve"> </w:t>
      </w:r>
      <w:r>
        <w:t>to</w:t>
      </w:r>
      <w:r>
        <w:rPr>
          <w:spacing w:val="-3"/>
        </w:rPr>
        <w:t xml:space="preserve"> </w:t>
      </w:r>
      <w:r>
        <w:t>bringing</w:t>
      </w:r>
      <w:r>
        <w:rPr>
          <w:spacing w:val="-3"/>
        </w:rPr>
        <w:t xml:space="preserve"> </w:t>
      </w:r>
      <w:r>
        <w:t>Charter</w:t>
      </w:r>
      <w:r>
        <w:rPr>
          <w:spacing w:val="-4"/>
        </w:rPr>
        <w:t xml:space="preserve"> </w:t>
      </w:r>
      <w:r>
        <w:t>issues before the courts.</w:t>
      </w:r>
      <w:r>
        <w:rPr>
          <w:position w:val="7"/>
          <w:sz w:val="13"/>
        </w:rPr>
        <w:t>77</w:t>
      </w:r>
    </w:p>
    <w:p w14:paraId="7CB25D95" w14:textId="77777777" w:rsidR="008A4099" w:rsidRDefault="006A6EE2">
      <w:pPr>
        <w:pStyle w:val="ListParagraph"/>
        <w:numPr>
          <w:ilvl w:val="2"/>
          <w:numId w:val="9"/>
        </w:numPr>
        <w:tabs>
          <w:tab w:val="left" w:pos="879"/>
        </w:tabs>
        <w:spacing w:before="214" w:line="237" w:lineRule="auto"/>
        <w:ind w:right="678" w:firstLine="0"/>
        <w:jc w:val="both"/>
      </w:pPr>
      <w:r>
        <w:t>The Victorian Government’s response to the 2015 Review supported most of its recommendations;</w:t>
      </w:r>
      <w:r>
        <w:rPr>
          <w:position w:val="7"/>
          <w:sz w:val="13"/>
        </w:rPr>
        <w:t xml:space="preserve">78 </w:t>
      </w:r>
      <w:r>
        <w:t>however, no legislative reform has yet occurred.</w:t>
      </w:r>
    </w:p>
    <w:p w14:paraId="7CB25D96" w14:textId="77777777" w:rsidR="008A4099" w:rsidRDefault="006A6EE2">
      <w:pPr>
        <w:pStyle w:val="ListParagraph"/>
        <w:numPr>
          <w:ilvl w:val="2"/>
          <w:numId w:val="9"/>
        </w:numPr>
        <w:tabs>
          <w:tab w:val="left" w:pos="879"/>
        </w:tabs>
        <w:spacing w:before="221" w:line="237" w:lineRule="auto"/>
        <w:ind w:right="685" w:firstLine="0"/>
        <w:jc w:val="both"/>
      </w:pPr>
      <w:r>
        <w:t>The implications of the Victorian experience for the model recommended by the TLRI are discussed in Parts 3 and 4.</w:t>
      </w:r>
    </w:p>
    <w:p w14:paraId="7CB25D97" w14:textId="77777777" w:rsidR="008A4099" w:rsidRDefault="008A4099">
      <w:pPr>
        <w:pStyle w:val="BodyText"/>
      </w:pPr>
    </w:p>
    <w:p w14:paraId="7CB25D98" w14:textId="77777777" w:rsidR="008A4099" w:rsidRDefault="008A4099">
      <w:pPr>
        <w:pStyle w:val="BodyText"/>
        <w:spacing w:before="132"/>
      </w:pPr>
    </w:p>
    <w:p w14:paraId="7CB25D99" w14:textId="77777777" w:rsidR="008A4099" w:rsidRDefault="006A6EE2">
      <w:pPr>
        <w:pStyle w:val="Heading2"/>
        <w:numPr>
          <w:ilvl w:val="1"/>
          <w:numId w:val="9"/>
        </w:numPr>
        <w:tabs>
          <w:tab w:val="left" w:pos="878"/>
        </w:tabs>
        <w:ind w:left="878" w:hanging="718"/>
        <w:jc w:val="both"/>
      </w:pPr>
      <w:bookmarkStart w:id="13" w:name="_TOC_250047"/>
      <w:r>
        <w:t>Updates</w:t>
      </w:r>
      <w:r>
        <w:rPr>
          <w:spacing w:val="-9"/>
        </w:rPr>
        <w:t xml:space="preserve"> </w:t>
      </w:r>
      <w:r>
        <w:t>from</w:t>
      </w:r>
      <w:r>
        <w:rPr>
          <w:spacing w:val="-9"/>
        </w:rPr>
        <w:t xml:space="preserve"> </w:t>
      </w:r>
      <w:bookmarkEnd w:id="13"/>
      <w:r>
        <w:rPr>
          <w:spacing w:val="-2"/>
        </w:rPr>
        <w:t>Queensland</w:t>
      </w:r>
    </w:p>
    <w:p w14:paraId="7CB25D9A" w14:textId="77777777" w:rsidR="008A4099" w:rsidRDefault="006A6EE2">
      <w:pPr>
        <w:pStyle w:val="ListParagraph"/>
        <w:numPr>
          <w:ilvl w:val="2"/>
          <w:numId w:val="9"/>
        </w:numPr>
        <w:tabs>
          <w:tab w:val="left" w:pos="879"/>
        </w:tabs>
        <w:ind w:right="674" w:firstLine="0"/>
        <w:jc w:val="both"/>
        <w:rPr>
          <w:sz w:val="13"/>
        </w:rPr>
      </w:pPr>
      <w:r>
        <w:t>Since</w:t>
      </w:r>
      <w:r>
        <w:rPr>
          <w:spacing w:val="-14"/>
        </w:rPr>
        <w:t xml:space="preserve"> </w:t>
      </w:r>
      <w:r>
        <w:t>the</w:t>
      </w:r>
      <w:r>
        <w:rPr>
          <w:spacing w:val="-14"/>
        </w:rPr>
        <w:t xml:space="preserve"> </w:t>
      </w:r>
      <w:r>
        <w:t>TLRI</w:t>
      </w:r>
      <w:r>
        <w:rPr>
          <w:spacing w:val="-14"/>
        </w:rPr>
        <w:t xml:space="preserve"> </w:t>
      </w:r>
      <w:r>
        <w:t>2007</w:t>
      </w:r>
      <w:r>
        <w:rPr>
          <w:spacing w:val="-13"/>
        </w:rPr>
        <w:t xml:space="preserve"> </w:t>
      </w:r>
      <w:r>
        <w:t>Final</w:t>
      </w:r>
      <w:r>
        <w:rPr>
          <w:spacing w:val="-14"/>
        </w:rPr>
        <w:t xml:space="preserve"> </w:t>
      </w:r>
      <w:r>
        <w:t>Report</w:t>
      </w:r>
      <w:r>
        <w:rPr>
          <w:spacing w:val="-14"/>
        </w:rPr>
        <w:t xml:space="preserve"> </w:t>
      </w:r>
      <w:r>
        <w:t>was</w:t>
      </w:r>
      <w:r>
        <w:rPr>
          <w:spacing w:val="-14"/>
        </w:rPr>
        <w:t xml:space="preserve"> </w:t>
      </w:r>
      <w:r>
        <w:t>released,</w:t>
      </w:r>
      <w:r>
        <w:rPr>
          <w:spacing w:val="-13"/>
        </w:rPr>
        <w:t xml:space="preserve"> </w:t>
      </w:r>
      <w:r>
        <w:t>the</w:t>
      </w:r>
      <w:r>
        <w:rPr>
          <w:spacing w:val="-14"/>
        </w:rPr>
        <w:t xml:space="preserve"> </w:t>
      </w:r>
      <w:r>
        <w:rPr>
          <w:i/>
        </w:rPr>
        <w:t>Human</w:t>
      </w:r>
      <w:r>
        <w:rPr>
          <w:i/>
          <w:spacing w:val="-14"/>
        </w:rPr>
        <w:t xml:space="preserve"> </w:t>
      </w:r>
      <w:r>
        <w:rPr>
          <w:i/>
        </w:rPr>
        <w:t>Rights</w:t>
      </w:r>
      <w:r>
        <w:rPr>
          <w:i/>
          <w:spacing w:val="-14"/>
        </w:rPr>
        <w:t xml:space="preserve"> </w:t>
      </w:r>
      <w:r>
        <w:rPr>
          <w:i/>
        </w:rPr>
        <w:t>Act</w:t>
      </w:r>
      <w:r>
        <w:rPr>
          <w:i/>
          <w:spacing w:val="-13"/>
        </w:rPr>
        <w:t xml:space="preserve"> </w:t>
      </w:r>
      <w:r>
        <w:rPr>
          <w:i/>
        </w:rPr>
        <w:t>2019</w:t>
      </w:r>
      <w:r>
        <w:rPr>
          <w:i/>
          <w:spacing w:val="-14"/>
        </w:rPr>
        <w:t xml:space="preserve"> </w:t>
      </w:r>
      <w:r>
        <w:t>(Qld)</w:t>
      </w:r>
      <w:r>
        <w:rPr>
          <w:spacing w:val="-14"/>
        </w:rPr>
        <w:t xml:space="preserve"> </w:t>
      </w:r>
      <w:r>
        <w:t>(‘Qld</w:t>
      </w:r>
      <w:r>
        <w:rPr>
          <w:spacing w:val="-14"/>
        </w:rPr>
        <w:t xml:space="preserve"> </w:t>
      </w:r>
      <w:r>
        <w:t>Human Rights</w:t>
      </w:r>
      <w:r>
        <w:rPr>
          <w:spacing w:val="-11"/>
        </w:rPr>
        <w:t xml:space="preserve"> </w:t>
      </w:r>
      <w:r>
        <w:t>Act’)</w:t>
      </w:r>
      <w:r>
        <w:rPr>
          <w:spacing w:val="-14"/>
        </w:rPr>
        <w:t xml:space="preserve"> </w:t>
      </w:r>
      <w:r>
        <w:t>took</w:t>
      </w:r>
      <w:r>
        <w:rPr>
          <w:spacing w:val="-14"/>
        </w:rPr>
        <w:t xml:space="preserve"> </w:t>
      </w:r>
      <w:r>
        <w:t>effect</w:t>
      </w:r>
      <w:r>
        <w:rPr>
          <w:spacing w:val="-13"/>
        </w:rPr>
        <w:t xml:space="preserve"> </w:t>
      </w:r>
      <w:r>
        <w:t>on</w:t>
      </w:r>
      <w:r>
        <w:rPr>
          <w:spacing w:val="-14"/>
        </w:rPr>
        <w:t xml:space="preserve"> </w:t>
      </w:r>
      <w:r>
        <w:t>1</w:t>
      </w:r>
      <w:r>
        <w:rPr>
          <w:spacing w:val="-12"/>
        </w:rPr>
        <w:t xml:space="preserve"> </w:t>
      </w:r>
      <w:r>
        <w:t>January</w:t>
      </w:r>
      <w:r>
        <w:rPr>
          <w:spacing w:val="-12"/>
        </w:rPr>
        <w:t xml:space="preserve"> </w:t>
      </w:r>
      <w:r>
        <w:t>2020.</w:t>
      </w:r>
      <w:r>
        <w:rPr>
          <w:spacing w:val="-12"/>
        </w:rPr>
        <w:t xml:space="preserve"> </w:t>
      </w:r>
      <w:r>
        <w:t>The</w:t>
      </w:r>
      <w:r>
        <w:rPr>
          <w:spacing w:val="-11"/>
        </w:rPr>
        <w:t xml:space="preserve"> </w:t>
      </w:r>
      <w:r>
        <w:t>Qld</w:t>
      </w:r>
      <w:r>
        <w:rPr>
          <w:spacing w:val="-12"/>
        </w:rPr>
        <w:t xml:space="preserve"> </w:t>
      </w:r>
      <w:r>
        <w:t>Human</w:t>
      </w:r>
      <w:r>
        <w:rPr>
          <w:spacing w:val="-14"/>
        </w:rPr>
        <w:t xml:space="preserve"> </w:t>
      </w:r>
      <w:r>
        <w:t>Rights</w:t>
      </w:r>
      <w:r>
        <w:rPr>
          <w:spacing w:val="-13"/>
        </w:rPr>
        <w:t xml:space="preserve"> </w:t>
      </w:r>
      <w:r>
        <w:t>Act</w:t>
      </w:r>
      <w:r>
        <w:rPr>
          <w:spacing w:val="-13"/>
        </w:rPr>
        <w:t xml:space="preserve"> </w:t>
      </w:r>
      <w:r>
        <w:t>explicitly</w:t>
      </w:r>
      <w:r>
        <w:rPr>
          <w:spacing w:val="-14"/>
        </w:rPr>
        <w:t xml:space="preserve"> </w:t>
      </w:r>
      <w:r>
        <w:t>identifies</w:t>
      </w:r>
      <w:r>
        <w:rPr>
          <w:spacing w:val="-13"/>
        </w:rPr>
        <w:t xml:space="preserve"> </w:t>
      </w:r>
      <w:r>
        <w:t>and</w:t>
      </w:r>
      <w:r>
        <w:rPr>
          <w:spacing w:val="-14"/>
        </w:rPr>
        <w:t xml:space="preserve"> </w:t>
      </w:r>
      <w:r>
        <w:t>protects 23</w:t>
      </w:r>
      <w:r>
        <w:rPr>
          <w:spacing w:val="-3"/>
        </w:rPr>
        <w:t xml:space="preserve"> </w:t>
      </w:r>
      <w:r>
        <w:t>human</w:t>
      </w:r>
      <w:r>
        <w:rPr>
          <w:spacing w:val="-5"/>
        </w:rPr>
        <w:t xml:space="preserve"> </w:t>
      </w:r>
      <w:r>
        <w:t>rights</w:t>
      </w:r>
      <w:r>
        <w:rPr>
          <w:spacing w:val="-3"/>
        </w:rPr>
        <w:t xml:space="preserve"> </w:t>
      </w:r>
      <w:r>
        <w:t>(see</w:t>
      </w:r>
      <w:r>
        <w:rPr>
          <w:spacing w:val="-5"/>
        </w:rPr>
        <w:t xml:space="preserve"> </w:t>
      </w:r>
      <w:r>
        <w:t>Appendix</w:t>
      </w:r>
      <w:r>
        <w:rPr>
          <w:spacing w:val="-2"/>
        </w:rPr>
        <w:t xml:space="preserve"> </w:t>
      </w:r>
      <w:r>
        <w:t>B)</w:t>
      </w:r>
      <w:r>
        <w:rPr>
          <w:spacing w:val="-3"/>
        </w:rPr>
        <w:t xml:space="preserve"> </w:t>
      </w:r>
      <w:r>
        <w:t>drawn</w:t>
      </w:r>
      <w:r>
        <w:rPr>
          <w:spacing w:val="-5"/>
        </w:rPr>
        <w:t xml:space="preserve"> </w:t>
      </w:r>
      <w:r>
        <w:t>from</w:t>
      </w:r>
      <w:r>
        <w:rPr>
          <w:spacing w:val="-5"/>
        </w:rPr>
        <w:t xml:space="preserve"> </w:t>
      </w:r>
      <w:r>
        <w:t>the</w:t>
      </w:r>
      <w:r>
        <w:rPr>
          <w:spacing w:val="-3"/>
        </w:rPr>
        <w:t xml:space="preserve"> </w:t>
      </w:r>
      <w:r>
        <w:t>ICCPR,</w:t>
      </w:r>
      <w:r>
        <w:rPr>
          <w:spacing w:val="-3"/>
        </w:rPr>
        <w:t xml:space="preserve"> </w:t>
      </w:r>
      <w:r>
        <w:t>ICESCR,</w:t>
      </w:r>
      <w:r>
        <w:rPr>
          <w:spacing w:val="-3"/>
        </w:rPr>
        <w:t xml:space="preserve"> </w:t>
      </w:r>
      <w:r>
        <w:t>and</w:t>
      </w:r>
      <w:r>
        <w:rPr>
          <w:spacing w:val="-3"/>
        </w:rPr>
        <w:t xml:space="preserve"> </w:t>
      </w:r>
      <w:r>
        <w:t>the</w:t>
      </w:r>
      <w:r>
        <w:rPr>
          <w:spacing w:val="-3"/>
        </w:rPr>
        <w:t xml:space="preserve"> </w:t>
      </w:r>
      <w:r>
        <w:rPr>
          <w:i/>
        </w:rPr>
        <w:t>Universal</w:t>
      </w:r>
      <w:r>
        <w:rPr>
          <w:i/>
          <w:spacing w:val="-2"/>
        </w:rPr>
        <w:t xml:space="preserve"> </w:t>
      </w:r>
      <w:r>
        <w:rPr>
          <w:i/>
        </w:rPr>
        <w:t>Declaration</w:t>
      </w:r>
      <w:r>
        <w:rPr>
          <w:i/>
          <w:spacing w:val="-5"/>
        </w:rPr>
        <w:t xml:space="preserve"> </w:t>
      </w:r>
      <w:r>
        <w:rPr>
          <w:i/>
        </w:rPr>
        <w:t>of Human</w:t>
      </w:r>
      <w:r>
        <w:rPr>
          <w:i/>
          <w:spacing w:val="-9"/>
        </w:rPr>
        <w:t xml:space="preserve"> </w:t>
      </w:r>
      <w:r>
        <w:rPr>
          <w:i/>
        </w:rPr>
        <w:t>Rights</w:t>
      </w:r>
      <w:r>
        <w:t>.</w:t>
      </w:r>
      <w:r>
        <w:rPr>
          <w:spacing w:val="-8"/>
        </w:rPr>
        <w:t xml:space="preserve"> </w:t>
      </w:r>
      <w:r>
        <w:t>Significantly,</w:t>
      </w:r>
      <w:r>
        <w:rPr>
          <w:spacing w:val="-9"/>
        </w:rPr>
        <w:t xml:space="preserve"> </w:t>
      </w:r>
      <w:r>
        <w:t>the</w:t>
      </w:r>
      <w:r>
        <w:rPr>
          <w:spacing w:val="-11"/>
        </w:rPr>
        <w:t xml:space="preserve"> </w:t>
      </w:r>
      <w:r>
        <w:t>Act</w:t>
      </w:r>
      <w:r>
        <w:rPr>
          <w:spacing w:val="-10"/>
        </w:rPr>
        <w:t xml:space="preserve"> </w:t>
      </w:r>
      <w:r>
        <w:t>protects</w:t>
      </w:r>
      <w:r>
        <w:rPr>
          <w:spacing w:val="-11"/>
        </w:rPr>
        <w:t xml:space="preserve"> </w:t>
      </w:r>
      <w:r>
        <w:t>a</w:t>
      </w:r>
      <w:r>
        <w:rPr>
          <w:spacing w:val="-11"/>
        </w:rPr>
        <w:t xml:space="preserve"> </w:t>
      </w:r>
      <w:r>
        <w:t>right</w:t>
      </w:r>
      <w:r>
        <w:rPr>
          <w:spacing w:val="-10"/>
        </w:rPr>
        <w:t xml:space="preserve"> </w:t>
      </w:r>
      <w:r>
        <w:t>to</w:t>
      </w:r>
      <w:r>
        <w:rPr>
          <w:spacing w:val="-11"/>
        </w:rPr>
        <w:t xml:space="preserve"> </w:t>
      </w:r>
      <w:r>
        <w:t>education</w:t>
      </w:r>
      <w:r>
        <w:rPr>
          <w:position w:val="7"/>
          <w:sz w:val="13"/>
        </w:rPr>
        <w:t>79</w:t>
      </w:r>
      <w:r>
        <w:rPr>
          <w:spacing w:val="-5"/>
          <w:position w:val="7"/>
          <w:sz w:val="13"/>
        </w:rPr>
        <w:t xml:space="preserve"> </w:t>
      </w:r>
      <w:r>
        <w:t>and</w:t>
      </w:r>
      <w:r>
        <w:rPr>
          <w:spacing w:val="-11"/>
        </w:rPr>
        <w:t xml:space="preserve"> </w:t>
      </w:r>
      <w:r>
        <w:t>right</w:t>
      </w:r>
      <w:r>
        <w:rPr>
          <w:spacing w:val="-10"/>
        </w:rPr>
        <w:t xml:space="preserve"> </w:t>
      </w:r>
      <w:r>
        <w:t>to</w:t>
      </w:r>
      <w:r>
        <w:rPr>
          <w:spacing w:val="-9"/>
        </w:rPr>
        <w:t xml:space="preserve"> </w:t>
      </w:r>
      <w:r>
        <w:t>health</w:t>
      </w:r>
      <w:r>
        <w:rPr>
          <w:spacing w:val="-9"/>
        </w:rPr>
        <w:t xml:space="preserve"> </w:t>
      </w:r>
      <w:r>
        <w:t>services,</w:t>
      </w:r>
      <w:r>
        <w:rPr>
          <w:position w:val="7"/>
          <w:sz w:val="13"/>
        </w:rPr>
        <w:t>80</w:t>
      </w:r>
      <w:r>
        <w:rPr>
          <w:spacing w:val="-5"/>
          <w:position w:val="7"/>
          <w:sz w:val="13"/>
        </w:rPr>
        <w:t xml:space="preserve"> </w:t>
      </w:r>
      <w:r>
        <w:t>as</w:t>
      </w:r>
      <w:r>
        <w:rPr>
          <w:spacing w:val="-8"/>
        </w:rPr>
        <w:t xml:space="preserve"> </w:t>
      </w:r>
      <w:r>
        <w:t>well as explicitly protecting the cultural rights of Aboriginal and Torres Strait Islander peoples.</w:t>
      </w:r>
      <w:r>
        <w:rPr>
          <w:position w:val="7"/>
          <w:sz w:val="13"/>
        </w:rPr>
        <w:t>81</w:t>
      </w:r>
    </w:p>
    <w:p w14:paraId="7CB25D9B" w14:textId="77777777" w:rsidR="008A4099" w:rsidRDefault="006A6EE2">
      <w:pPr>
        <w:pStyle w:val="ListParagraph"/>
        <w:numPr>
          <w:ilvl w:val="2"/>
          <w:numId w:val="9"/>
        </w:numPr>
        <w:tabs>
          <w:tab w:val="left" w:pos="879"/>
        </w:tabs>
        <w:spacing w:before="219" w:line="237" w:lineRule="auto"/>
        <w:ind w:right="674" w:firstLine="0"/>
        <w:jc w:val="both"/>
      </w:pPr>
      <w:r>
        <w:t xml:space="preserve">The Queensland Human Rights Commission, initially established under the </w:t>
      </w:r>
      <w:r>
        <w:rPr>
          <w:i/>
        </w:rPr>
        <w:t xml:space="preserve">Anti- Discrimination Act 1991 </w:t>
      </w:r>
      <w:r>
        <w:t>(Qld), was given an expanded function to provide advice on human rights issues,</w:t>
      </w:r>
      <w:r>
        <w:rPr>
          <w:spacing w:val="40"/>
        </w:rPr>
        <w:t xml:space="preserve"> </w:t>
      </w:r>
      <w:r>
        <w:t>review</w:t>
      </w:r>
      <w:r>
        <w:rPr>
          <w:spacing w:val="40"/>
        </w:rPr>
        <w:t xml:space="preserve"> </w:t>
      </w:r>
      <w:r>
        <w:t>public</w:t>
      </w:r>
      <w:r>
        <w:rPr>
          <w:spacing w:val="40"/>
        </w:rPr>
        <w:t xml:space="preserve"> </w:t>
      </w:r>
      <w:r>
        <w:t>entities’</w:t>
      </w:r>
      <w:r>
        <w:rPr>
          <w:spacing w:val="40"/>
        </w:rPr>
        <w:t xml:space="preserve"> </w:t>
      </w:r>
      <w:r>
        <w:t>policies</w:t>
      </w:r>
      <w:r>
        <w:rPr>
          <w:spacing w:val="40"/>
        </w:rPr>
        <w:t xml:space="preserve"> </w:t>
      </w:r>
      <w:r>
        <w:t>and</w:t>
      </w:r>
      <w:r>
        <w:rPr>
          <w:spacing w:val="40"/>
        </w:rPr>
        <w:t xml:space="preserve"> </w:t>
      </w:r>
      <w:r>
        <w:t>procedures,</w:t>
      </w:r>
      <w:r>
        <w:rPr>
          <w:spacing w:val="40"/>
        </w:rPr>
        <w:t xml:space="preserve"> </w:t>
      </w:r>
      <w:r>
        <w:t>develop</w:t>
      </w:r>
      <w:r>
        <w:rPr>
          <w:spacing w:val="40"/>
        </w:rPr>
        <w:t xml:space="preserve"> </w:t>
      </w:r>
      <w:r>
        <w:t>education</w:t>
      </w:r>
      <w:r>
        <w:rPr>
          <w:spacing w:val="40"/>
        </w:rPr>
        <w:t xml:space="preserve"> </w:t>
      </w:r>
      <w:r>
        <w:t>resources,</w:t>
      </w:r>
      <w:r>
        <w:rPr>
          <w:spacing w:val="40"/>
        </w:rPr>
        <w:t xml:space="preserve"> </w:t>
      </w:r>
      <w:r>
        <w:t>assist</w:t>
      </w:r>
      <w:r>
        <w:rPr>
          <w:spacing w:val="40"/>
        </w:rPr>
        <w:t xml:space="preserve"> </w:t>
      </w:r>
      <w:r>
        <w:t>with</w:t>
      </w:r>
    </w:p>
    <w:p w14:paraId="7CB25D9C" w14:textId="77777777" w:rsidR="008A4099" w:rsidRDefault="006A6EE2">
      <w:pPr>
        <w:pStyle w:val="BodyText"/>
        <w:spacing w:before="97"/>
        <w:rPr>
          <w:sz w:val="20"/>
        </w:rPr>
      </w:pPr>
      <w:r>
        <w:rPr>
          <w:noProof/>
        </w:rPr>
        <mc:AlternateContent>
          <mc:Choice Requires="wps">
            <w:drawing>
              <wp:anchor distT="0" distB="0" distL="0" distR="0" simplePos="0" relativeHeight="487595520" behindDoc="1" locked="0" layoutInCell="1" allowOverlap="1" wp14:anchorId="7CB265F7" wp14:editId="7CB265F8">
                <wp:simplePos x="0" y="0"/>
                <wp:positionH relativeFrom="page">
                  <wp:posOffset>914704</wp:posOffset>
                </wp:positionH>
                <wp:positionV relativeFrom="paragraph">
                  <wp:posOffset>223114</wp:posOffset>
                </wp:positionV>
                <wp:extent cx="182943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E86036" id="Graphic 51" o:spid="_x0000_s1026" style="position:absolute;margin-left:1in;margin-top:17.55pt;width:144.0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" path="m1829054,l,,,7619r1829054,l1829054,xe" fillcolor="black" stroked="f">
                <v:path arrowok="t"/>
                <w10:wrap type="topAndBottom" anchorx="page"/>
              </v:shape>
            </w:pict>
          </mc:Fallback>
        </mc:AlternateContent>
      </w:r>
    </w:p>
    <w:p w14:paraId="7CB25D9D" w14:textId="77777777" w:rsidR="008A4099" w:rsidRDefault="006A6EE2">
      <w:pPr>
        <w:spacing w:before="112"/>
        <w:ind w:left="160"/>
        <w:rPr>
          <w:sz w:val="18"/>
        </w:rPr>
      </w:pPr>
      <w:r>
        <w:rPr>
          <w:sz w:val="18"/>
          <w:vertAlign w:val="superscript"/>
        </w:rPr>
        <w:t>76</w:t>
      </w:r>
      <w:r>
        <w:rPr>
          <w:spacing w:val="-1"/>
          <w:sz w:val="18"/>
        </w:rPr>
        <w:t xml:space="preserve"> </w:t>
      </w:r>
      <w:r>
        <w:rPr>
          <w:sz w:val="18"/>
        </w:rPr>
        <w:t>Ibid</w:t>
      </w:r>
      <w:r>
        <w:rPr>
          <w:spacing w:val="-1"/>
          <w:sz w:val="18"/>
        </w:rPr>
        <w:t xml:space="preserve"> </w:t>
      </w:r>
      <w:r>
        <w:rPr>
          <w:sz w:val="18"/>
        </w:rPr>
        <w:t>v–xi.</w:t>
      </w:r>
      <w:r>
        <w:rPr>
          <w:spacing w:val="46"/>
          <w:sz w:val="18"/>
        </w:rPr>
        <w:t xml:space="preserve"> </w:t>
      </w:r>
      <w:r>
        <w:rPr>
          <w:sz w:val="18"/>
        </w:rPr>
        <w:t>The</w:t>
      </w:r>
      <w:r>
        <w:rPr>
          <w:spacing w:val="-1"/>
          <w:sz w:val="18"/>
        </w:rPr>
        <w:t xml:space="preserve"> </w:t>
      </w:r>
      <w:r>
        <w:rPr>
          <w:sz w:val="18"/>
        </w:rPr>
        <w:t>implications</w:t>
      </w:r>
      <w:r>
        <w:rPr>
          <w:spacing w:val="-3"/>
          <w:sz w:val="18"/>
        </w:rPr>
        <w:t xml:space="preserve"> </w:t>
      </w:r>
      <w:r>
        <w:rPr>
          <w:sz w:val="18"/>
        </w:rPr>
        <w:t>of</w:t>
      </w:r>
      <w:r>
        <w:rPr>
          <w:spacing w:val="-1"/>
          <w:sz w:val="18"/>
        </w:rPr>
        <w:t xml:space="preserve"> </w:t>
      </w:r>
      <w:r>
        <w:rPr>
          <w:sz w:val="18"/>
        </w:rPr>
        <w:t>these</w:t>
      </w:r>
      <w:r>
        <w:rPr>
          <w:spacing w:val="-1"/>
          <w:sz w:val="18"/>
        </w:rPr>
        <w:t xml:space="preserve"> </w:t>
      </w:r>
      <w:r>
        <w:rPr>
          <w:sz w:val="18"/>
        </w:rPr>
        <w:t>recommendations</w:t>
      </w:r>
      <w:r>
        <w:rPr>
          <w:spacing w:val="-3"/>
          <w:sz w:val="18"/>
        </w:rPr>
        <w:t xml:space="preserve"> </w:t>
      </w:r>
      <w:r>
        <w:rPr>
          <w:sz w:val="18"/>
        </w:rPr>
        <w:t>for the</w:t>
      </w:r>
      <w:r>
        <w:rPr>
          <w:spacing w:val="-1"/>
          <w:sz w:val="18"/>
        </w:rPr>
        <w:t xml:space="preserve"> </w:t>
      </w:r>
      <w:r>
        <w:rPr>
          <w:sz w:val="18"/>
        </w:rPr>
        <w:t>TLRI model are</w:t>
      </w:r>
      <w:r>
        <w:rPr>
          <w:spacing w:val="-2"/>
          <w:sz w:val="18"/>
        </w:rPr>
        <w:t xml:space="preserve"> </w:t>
      </w:r>
      <w:r>
        <w:rPr>
          <w:sz w:val="18"/>
        </w:rPr>
        <w:t>discussed</w:t>
      </w:r>
      <w:r>
        <w:rPr>
          <w:spacing w:val="-1"/>
          <w:sz w:val="18"/>
        </w:rPr>
        <w:t xml:space="preserve"> </w:t>
      </w:r>
      <w:r>
        <w:rPr>
          <w:sz w:val="18"/>
        </w:rPr>
        <w:t>in</w:t>
      </w:r>
      <w:r>
        <w:rPr>
          <w:spacing w:val="-1"/>
          <w:sz w:val="18"/>
        </w:rPr>
        <w:t xml:space="preserve"> </w:t>
      </w:r>
      <w:r>
        <w:rPr>
          <w:sz w:val="18"/>
        </w:rPr>
        <w:t xml:space="preserve">Part </w:t>
      </w:r>
      <w:r>
        <w:rPr>
          <w:spacing w:val="-5"/>
          <w:sz w:val="18"/>
        </w:rPr>
        <w:t>4.</w:t>
      </w:r>
    </w:p>
    <w:p w14:paraId="7CB25D9E" w14:textId="77777777" w:rsidR="008A4099" w:rsidRDefault="006A6EE2">
      <w:pPr>
        <w:spacing w:before="24"/>
        <w:ind w:left="160"/>
        <w:rPr>
          <w:sz w:val="18"/>
        </w:rPr>
      </w:pPr>
      <w:r>
        <w:rPr>
          <w:sz w:val="18"/>
          <w:vertAlign w:val="superscript"/>
        </w:rPr>
        <w:t>77</w:t>
      </w:r>
      <w:r>
        <w:rPr>
          <w:spacing w:val="4"/>
          <w:sz w:val="18"/>
        </w:rPr>
        <w:t xml:space="preserve"> </w:t>
      </w:r>
      <w:r>
        <w:rPr>
          <w:sz w:val="18"/>
        </w:rPr>
        <w:t>Ibid</w:t>
      </w:r>
      <w:r>
        <w:rPr>
          <w:spacing w:val="4"/>
          <w:sz w:val="18"/>
        </w:rPr>
        <w:t xml:space="preserve"> </w:t>
      </w:r>
      <w:r>
        <w:rPr>
          <w:spacing w:val="-5"/>
          <w:sz w:val="18"/>
        </w:rPr>
        <w:t>12.</w:t>
      </w:r>
    </w:p>
    <w:p w14:paraId="7CB25D9F" w14:textId="77777777" w:rsidR="008A4099" w:rsidRDefault="006A6EE2">
      <w:pPr>
        <w:ind w:left="160" w:right="680"/>
        <w:rPr>
          <w:sz w:val="18"/>
        </w:rPr>
      </w:pPr>
      <w:r>
        <w:rPr>
          <w:position w:val="6"/>
          <w:sz w:val="12"/>
        </w:rPr>
        <w:t>78</w:t>
      </w:r>
      <w:r>
        <w:rPr>
          <w:spacing w:val="11"/>
          <w:position w:val="6"/>
          <w:sz w:val="12"/>
        </w:rPr>
        <w:t xml:space="preserve"> </w:t>
      </w:r>
      <w:r>
        <w:rPr>
          <w:sz w:val="18"/>
        </w:rPr>
        <w:t>See</w:t>
      </w:r>
      <w:r>
        <w:rPr>
          <w:spacing w:val="-5"/>
          <w:sz w:val="18"/>
        </w:rPr>
        <w:t xml:space="preserve"> </w:t>
      </w:r>
      <w:r>
        <w:rPr>
          <w:sz w:val="18"/>
        </w:rPr>
        <w:t>Victorian</w:t>
      </w:r>
      <w:r>
        <w:rPr>
          <w:spacing w:val="-4"/>
          <w:sz w:val="18"/>
        </w:rPr>
        <w:t xml:space="preserve"> </w:t>
      </w:r>
      <w:r>
        <w:rPr>
          <w:sz w:val="18"/>
        </w:rPr>
        <w:t>Government,</w:t>
      </w:r>
      <w:r>
        <w:rPr>
          <w:spacing w:val="-2"/>
          <w:sz w:val="18"/>
        </w:rPr>
        <w:t xml:space="preserve"> </w:t>
      </w:r>
      <w:r>
        <w:rPr>
          <w:i/>
          <w:sz w:val="18"/>
        </w:rPr>
        <w:t>Government</w:t>
      </w:r>
      <w:r>
        <w:rPr>
          <w:i/>
          <w:spacing w:val="-3"/>
          <w:sz w:val="18"/>
        </w:rPr>
        <w:t xml:space="preserve"> </w:t>
      </w:r>
      <w:r>
        <w:rPr>
          <w:i/>
          <w:sz w:val="18"/>
        </w:rPr>
        <w:t>Response</w:t>
      </w:r>
      <w:r>
        <w:rPr>
          <w:i/>
          <w:spacing w:val="-5"/>
          <w:sz w:val="18"/>
        </w:rPr>
        <w:t xml:space="preserve"> </w:t>
      </w:r>
      <w:r>
        <w:rPr>
          <w:i/>
          <w:sz w:val="18"/>
        </w:rPr>
        <w:t>to</w:t>
      </w:r>
      <w:r>
        <w:rPr>
          <w:i/>
          <w:spacing w:val="-3"/>
          <w:sz w:val="18"/>
        </w:rPr>
        <w:t xml:space="preserve"> </w:t>
      </w:r>
      <w:r>
        <w:rPr>
          <w:i/>
          <w:sz w:val="18"/>
        </w:rPr>
        <w:t>the</w:t>
      </w:r>
      <w:r>
        <w:rPr>
          <w:i/>
          <w:spacing w:val="-5"/>
          <w:sz w:val="18"/>
        </w:rPr>
        <w:t xml:space="preserve"> </w:t>
      </w:r>
      <w:r>
        <w:rPr>
          <w:i/>
          <w:sz w:val="18"/>
        </w:rPr>
        <w:t>2015</w:t>
      </w:r>
      <w:r>
        <w:rPr>
          <w:i/>
          <w:spacing w:val="-2"/>
          <w:sz w:val="18"/>
        </w:rPr>
        <w:t xml:space="preserve"> </w:t>
      </w:r>
      <w:r>
        <w:rPr>
          <w:i/>
          <w:sz w:val="18"/>
        </w:rPr>
        <w:t>Review</w:t>
      </w:r>
      <w:r>
        <w:rPr>
          <w:i/>
          <w:spacing w:val="-4"/>
          <w:sz w:val="18"/>
        </w:rPr>
        <w:t xml:space="preserve"> </w:t>
      </w:r>
      <w:r>
        <w:rPr>
          <w:i/>
          <w:sz w:val="18"/>
        </w:rPr>
        <w:t>of</w:t>
      </w:r>
      <w:r>
        <w:rPr>
          <w:i/>
          <w:spacing w:val="-4"/>
          <w:sz w:val="18"/>
        </w:rPr>
        <w:t xml:space="preserve"> </w:t>
      </w:r>
      <w:r>
        <w:rPr>
          <w:i/>
          <w:sz w:val="18"/>
        </w:rPr>
        <w:t>the</w:t>
      </w:r>
      <w:r>
        <w:rPr>
          <w:i/>
          <w:spacing w:val="-5"/>
          <w:sz w:val="18"/>
        </w:rPr>
        <w:t xml:space="preserve"> </w:t>
      </w:r>
      <w:r>
        <w:rPr>
          <w:i/>
          <w:sz w:val="18"/>
        </w:rPr>
        <w:t>Charter</w:t>
      </w:r>
      <w:r>
        <w:rPr>
          <w:i/>
          <w:spacing w:val="-5"/>
          <w:sz w:val="18"/>
        </w:rPr>
        <w:t xml:space="preserve"> </w:t>
      </w:r>
      <w:r>
        <w:rPr>
          <w:i/>
          <w:sz w:val="18"/>
        </w:rPr>
        <w:t>of</w:t>
      </w:r>
      <w:r>
        <w:rPr>
          <w:i/>
          <w:spacing w:val="-4"/>
          <w:sz w:val="18"/>
        </w:rPr>
        <w:t xml:space="preserve"> </w:t>
      </w:r>
      <w:r>
        <w:rPr>
          <w:i/>
          <w:sz w:val="18"/>
        </w:rPr>
        <w:t>Human</w:t>
      </w:r>
      <w:r>
        <w:rPr>
          <w:i/>
          <w:spacing w:val="-3"/>
          <w:sz w:val="18"/>
        </w:rPr>
        <w:t xml:space="preserve"> </w:t>
      </w:r>
      <w:r>
        <w:rPr>
          <w:i/>
          <w:sz w:val="18"/>
        </w:rPr>
        <w:t>Rights</w:t>
      </w:r>
      <w:r>
        <w:rPr>
          <w:i/>
          <w:spacing w:val="-5"/>
          <w:sz w:val="18"/>
        </w:rPr>
        <w:t xml:space="preserve"> </w:t>
      </w:r>
      <w:r>
        <w:rPr>
          <w:i/>
          <w:sz w:val="18"/>
        </w:rPr>
        <w:t>and</w:t>
      </w:r>
      <w:r>
        <w:rPr>
          <w:i/>
          <w:spacing w:val="-3"/>
          <w:sz w:val="18"/>
        </w:rPr>
        <w:t xml:space="preserve"> </w:t>
      </w:r>
      <w:r>
        <w:rPr>
          <w:i/>
          <w:sz w:val="18"/>
        </w:rPr>
        <w:t xml:space="preserve">Responsibilities Act </w:t>
      </w:r>
      <w:r>
        <w:rPr>
          <w:sz w:val="18"/>
        </w:rPr>
        <w:t>(2016)</w:t>
      </w:r>
    </w:p>
    <w:p w14:paraId="7CB25DA0" w14:textId="77777777" w:rsidR="008A4099" w:rsidRDefault="006A6EE2">
      <w:pPr>
        <w:spacing w:before="1"/>
        <w:ind w:left="160"/>
        <w:rPr>
          <w:sz w:val="18"/>
        </w:rPr>
      </w:pPr>
      <w:r>
        <w:rPr>
          <w:spacing w:val="-2"/>
          <w:sz w:val="18"/>
        </w:rPr>
        <w:t>&lt;https://static1.squarespace.com/static/5b7e1a0be2ccd10a603592f6/t/62eb12f8b0c0ae524d1867d2/1659572985972/Govern ment+response+to+the+2015+review+of+the+Charter+of+Human+Rights+and+Responsibilities+Act+_+Department+of+Ju stice+and+Community+Safety+Victoria.pdf&gt;.</w:t>
      </w:r>
    </w:p>
    <w:p w14:paraId="7CB25DA1" w14:textId="77777777" w:rsidR="008A4099" w:rsidRDefault="006A6EE2">
      <w:pPr>
        <w:spacing w:before="18"/>
        <w:ind w:left="160"/>
        <w:rPr>
          <w:sz w:val="18"/>
        </w:rPr>
      </w:pPr>
      <w:r>
        <w:rPr>
          <w:sz w:val="18"/>
          <w:vertAlign w:val="superscript"/>
        </w:rPr>
        <w:t>79</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36.</w:t>
      </w:r>
    </w:p>
    <w:p w14:paraId="7CB25DA2" w14:textId="77777777" w:rsidR="008A4099" w:rsidRDefault="006A6EE2">
      <w:pPr>
        <w:spacing w:before="23"/>
        <w:ind w:left="160"/>
        <w:rPr>
          <w:sz w:val="18"/>
        </w:rPr>
      </w:pPr>
      <w:r>
        <w:rPr>
          <w:sz w:val="18"/>
          <w:vertAlign w:val="superscript"/>
        </w:rPr>
        <w:t>80</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37.</w:t>
      </w:r>
    </w:p>
    <w:p w14:paraId="7CB25DA3" w14:textId="77777777" w:rsidR="008A4099" w:rsidRDefault="006A6EE2">
      <w:pPr>
        <w:spacing w:before="24"/>
        <w:ind w:left="160"/>
        <w:rPr>
          <w:sz w:val="18"/>
        </w:rPr>
      </w:pPr>
      <w:r>
        <w:rPr>
          <w:sz w:val="18"/>
          <w:vertAlign w:val="superscript"/>
        </w:rPr>
        <w:t>81</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28.</w:t>
      </w:r>
    </w:p>
    <w:p w14:paraId="7CB25DA4" w14:textId="77777777" w:rsidR="008A4099" w:rsidRDefault="008A4099">
      <w:pPr>
        <w:rPr>
          <w:sz w:val="18"/>
        </w:rPr>
        <w:sectPr w:rsidR="008A4099" w:rsidSect="00D43B2D">
          <w:pgSz w:w="11910" w:h="16840"/>
          <w:pgMar w:top="980" w:right="760" w:bottom="940" w:left="1280" w:header="718" w:footer="753" w:gutter="0"/>
          <w:cols w:space="720"/>
        </w:sectPr>
      </w:pPr>
    </w:p>
    <w:p w14:paraId="7CB25DA5" w14:textId="77777777" w:rsidR="008A4099" w:rsidRDefault="008A4099">
      <w:pPr>
        <w:pStyle w:val="BodyText"/>
        <w:spacing w:before="194"/>
      </w:pPr>
    </w:p>
    <w:p w14:paraId="7CB25DA6" w14:textId="77777777" w:rsidR="008A4099" w:rsidRDefault="006A6EE2">
      <w:pPr>
        <w:pStyle w:val="BodyText"/>
        <w:ind w:left="160" w:right="680"/>
        <w:jc w:val="both"/>
        <w:rPr>
          <w:sz w:val="13"/>
        </w:rPr>
      </w:pPr>
      <w:r>
        <w:t>statutory</w:t>
      </w:r>
      <w:r>
        <w:rPr>
          <w:spacing w:val="-2"/>
        </w:rPr>
        <w:t xml:space="preserve"> </w:t>
      </w:r>
      <w:r>
        <w:t>reviews</w:t>
      </w:r>
      <w:r>
        <w:rPr>
          <w:spacing w:val="-2"/>
        </w:rPr>
        <w:t xml:space="preserve"> </w:t>
      </w:r>
      <w:r>
        <w:t>of</w:t>
      </w:r>
      <w:r>
        <w:rPr>
          <w:spacing w:val="-2"/>
        </w:rPr>
        <w:t xml:space="preserve"> </w:t>
      </w:r>
      <w:r>
        <w:t>the</w:t>
      </w:r>
      <w:r>
        <w:rPr>
          <w:spacing w:val="-2"/>
        </w:rPr>
        <w:t xml:space="preserve"> </w:t>
      </w:r>
      <w:r>
        <w:t>operation</w:t>
      </w:r>
      <w:r>
        <w:rPr>
          <w:spacing w:val="-2"/>
        </w:rPr>
        <w:t xml:space="preserve"> </w:t>
      </w:r>
      <w:r>
        <w:t>of</w:t>
      </w:r>
      <w:r>
        <w:rPr>
          <w:spacing w:val="-2"/>
        </w:rPr>
        <w:t xml:space="preserve"> </w:t>
      </w:r>
      <w:r>
        <w:t>the</w:t>
      </w:r>
      <w:r>
        <w:rPr>
          <w:spacing w:val="-2"/>
        </w:rPr>
        <w:t xml:space="preserve"> </w:t>
      </w:r>
      <w:r>
        <w:t>Qld</w:t>
      </w:r>
      <w:r>
        <w:rPr>
          <w:spacing w:val="-2"/>
        </w:rPr>
        <w:t xml:space="preserve"> </w:t>
      </w:r>
      <w:r>
        <w:t>Human</w:t>
      </w:r>
      <w:r>
        <w:rPr>
          <w:spacing w:val="-2"/>
        </w:rPr>
        <w:t xml:space="preserve"> </w:t>
      </w:r>
      <w:r>
        <w:t>Rights</w:t>
      </w:r>
      <w:r>
        <w:rPr>
          <w:spacing w:val="-2"/>
        </w:rPr>
        <w:t xml:space="preserve"> </w:t>
      </w:r>
      <w:r>
        <w:t>Act,</w:t>
      </w:r>
      <w:r>
        <w:rPr>
          <w:spacing w:val="-2"/>
        </w:rPr>
        <w:t xml:space="preserve"> </w:t>
      </w:r>
      <w:r>
        <w:t>and</w:t>
      </w:r>
      <w:r>
        <w:rPr>
          <w:spacing w:val="-2"/>
        </w:rPr>
        <w:t xml:space="preserve"> </w:t>
      </w:r>
      <w:r>
        <w:t>deal</w:t>
      </w:r>
      <w:r>
        <w:rPr>
          <w:spacing w:val="-1"/>
        </w:rPr>
        <w:t xml:space="preserve"> </w:t>
      </w:r>
      <w:r>
        <w:t>with</w:t>
      </w:r>
      <w:r>
        <w:rPr>
          <w:spacing w:val="-2"/>
        </w:rPr>
        <w:t xml:space="preserve"> </w:t>
      </w:r>
      <w:r>
        <w:t>complaints</w:t>
      </w:r>
      <w:r>
        <w:rPr>
          <w:spacing w:val="-4"/>
        </w:rPr>
        <w:t xml:space="preserve"> </w:t>
      </w:r>
      <w:r>
        <w:t>made</w:t>
      </w:r>
      <w:r>
        <w:rPr>
          <w:spacing w:val="-2"/>
        </w:rPr>
        <w:t xml:space="preserve"> </w:t>
      </w:r>
      <w:r>
        <w:t>under the Act.</w:t>
      </w:r>
      <w:r>
        <w:rPr>
          <w:position w:val="7"/>
          <w:sz w:val="13"/>
        </w:rPr>
        <w:t xml:space="preserve">82 </w:t>
      </w:r>
      <w:r>
        <w:t>The availability of an accessible dispute resolution mechanism for alleged contraventions of human rights by public entities is a key difference between the Queensland regime and its Victorian and ACT counterparts.</w:t>
      </w:r>
      <w:r>
        <w:rPr>
          <w:position w:val="7"/>
          <w:sz w:val="13"/>
        </w:rPr>
        <w:t>83</w:t>
      </w:r>
    </w:p>
    <w:p w14:paraId="7CB25DA7" w14:textId="77777777" w:rsidR="008A4099" w:rsidRDefault="006A6EE2">
      <w:pPr>
        <w:pStyle w:val="ListParagraph"/>
        <w:numPr>
          <w:ilvl w:val="2"/>
          <w:numId w:val="9"/>
        </w:numPr>
        <w:tabs>
          <w:tab w:val="left" w:pos="879"/>
        </w:tabs>
        <w:ind w:right="673" w:firstLine="0"/>
        <w:jc w:val="both"/>
        <w:rPr>
          <w:sz w:val="13"/>
        </w:rPr>
      </w:pPr>
      <w:r>
        <w:t>The</w:t>
      </w:r>
      <w:r>
        <w:rPr>
          <w:spacing w:val="-14"/>
        </w:rPr>
        <w:t xml:space="preserve"> </w:t>
      </w:r>
      <w:r>
        <w:t>Qld</w:t>
      </w:r>
      <w:r>
        <w:rPr>
          <w:spacing w:val="-14"/>
        </w:rPr>
        <w:t xml:space="preserve"> </w:t>
      </w:r>
      <w:r>
        <w:t>Human</w:t>
      </w:r>
      <w:r>
        <w:rPr>
          <w:spacing w:val="-13"/>
        </w:rPr>
        <w:t xml:space="preserve"> </w:t>
      </w:r>
      <w:r>
        <w:t>Rights</w:t>
      </w:r>
      <w:r>
        <w:rPr>
          <w:spacing w:val="-14"/>
        </w:rPr>
        <w:t xml:space="preserve"> </w:t>
      </w:r>
      <w:r>
        <w:t>Act</w:t>
      </w:r>
      <w:r>
        <w:rPr>
          <w:spacing w:val="-13"/>
        </w:rPr>
        <w:t xml:space="preserve"> </w:t>
      </w:r>
      <w:r>
        <w:t>applies</w:t>
      </w:r>
      <w:r>
        <w:rPr>
          <w:spacing w:val="-14"/>
        </w:rPr>
        <w:t xml:space="preserve"> </w:t>
      </w:r>
      <w:r>
        <w:t>to</w:t>
      </w:r>
      <w:r>
        <w:rPr>
          <w:spacing w:val="-13"/>
        </w:rPr>
        <w:t xml:space="preserve"> </w:t>
      </w:r>
      <w:r>
        <w:t>Queensland</w:t>
      </w:r>
      <w:r>
        <w:rPr>
          <w:spacing w:val="-14"/>
        </w:rPr>
        <w:t xml:space="preserve"> </w:t>
      </w:r>
      <w:r>
        <w:t>Government</w:t>
      </w:r>
      <w:r>
        <w:rPr>
          <w:spacing w:val="-13"/>
        </w:rPr>
        <w:t xml:space="preserve"> </w:t>
      </w:r>
      <w:r>
        <w:t>departments</w:t>
      </w:r>
      <w:r>
        <w:rPr>
          <w:spacing w:val="-14"/>
        </w:rPr>
        <w:t xml:space="preserve"> </w:t>
      </w:r>
      <w:r>
        <w:t>and</w:t>
      </w:r>
      <w:r>
        <w:rPr>
          <w:spacing w:val="-13"/>
        </w:rPr>
        <w:t xml:space="preserve"> </w:t>
      </w:r>
      <w:r>
        <w:t>agencies,</w:t>
      </w:r>
      <w:r>
        <w:rPr>
          <w:spacing w:val="-14"/>
        </w:rPr>
        <w:t xml:space="preserve"> </w:t>
      </w:r>
      <w:r>
        <w:t>local councils, courts (when acting in an administrative capacity) and ‘functional public entities’— organisations</w:t>
      </w:r>
      <w:r>
        <w:rPr>
          <w:spacing w:val="-9"/>
        </w:rPr>
        <w:t xml:space="preserve"> </w:t>
      </w:r>
      <w:r>
        <w:t>providing</w:t>
      </w:r>
      <w:r>
        <w:rPr>
          <w:spacing w:val="-7"/>
        </w:rPr>
        <w:t xml:space="preserve"> </w:t>
      </w:r>
      <w:r>
        <w:t>services</w:t>
      </w:r>
      <w:r>
        <w:rPr>
          <w:spacing w:val="-6"/>
        </w:rPr>
        <w:t xml:space="preserve"> </w:t>
      </w:r>
      <w:r>
        <w:t>to</w:t>
      </w:r>
      <w:r>
        <w:rPr>
          <w:spacing w:val="-7"/>
        </w:rPr>
        <w:t xml:space="preserve"> </w:t>
      </w:r>
      <w:r>
        <w:t>the</w:t>
      </w:r>
      <w:r>
        <w:rPr>
          <w:spacing w:val="-7"/>
        </w:rPr>
        <w:t xml:space="preserve"> </w:t>
      </w:r>
      <w:r>
        <w:t>public</w:t>
      </w:r>
      <w:r>
        <w:rPr>
          <w:spacing w:val="-7"/>
        </w:rPr>
        <w:t xml:space="preserve"> </w:t>
      </w:r>
      <w:r>
        <w:t>on</w:t>
      </w:r>
      <w:r>
        <w:rPr>
          <w:spacing w:val="-10"/>
        </w:rPr>
        <w:t xml:space="preserve"> </w:t>
      </w:r>
      <w:r>
        <w:t>behalf</w:t>
      </w:r>
      <w:r>
        <w:rPr>
          <w:spacing w:val="-6"/>
        </w:rPr>
        <w:t xml:space="preserve"> </w:t>
      </w:r>
      <w:r>
        <w:t>of</w:t>
      </w:r>
      <w:r>
        <w:rPr>
          <w:spacing w:val="-9"/>
        </w:rPr>
        <w:t xml:space="preserve"> </w:t>
      </w:r>
      <w:r>
        <w:t>the</w:t>
      </w:r>
      <w:r>
        <w:rPr>
          <w:spacing w:val="-7"/>
        </w:rPr>
        <w:t xml:space="preserve"> </w:t>
      </w:r>
      <w:r>
        <w:t>state</w:t>
      </w:r>
      <w:r>
        <w:rPr>
          <w:spacing w:val="-7"/>
        </w:rPr>
        <w:t xml:space="preserve"> </w:t>
      </w:r>
      <w:r>
        <w:t>government</w:t>
      </w:r>
      <w:r>
        <w:rPr>
          <w:position w:val="7"/>
          <w:sz w:val="13"/>
        </w:rPr>
        <w:t>84</w:t>
      </w:r>
      <w:r>
        <w:t>—and</w:t>
      </w:r>
      <w:r>
        <w:rPr>
          <w:spacing w:val="-7"/>
        </w:rPr>
        <w:t xml:space="preserve"> </w:t>
      </w:r>
      <w:r>
        <w:t>requires</w:t>
      </w:r>
      <w:r>
        <w:rPr>
          <w:spacing w:val="-6"/>
        </w:rPr>
        <w:t xml:space="preserve"> </w:t>
      </w:r>
      <w:r>
        <w:t>that</w:t>
      </w:r>
      <w:r>
        <w:rPr>
          <w:spacing w:val="-8"/>
        </w:rPr>
        <w:t xml:space="preserve"> </w:t>
      </w:r>
      <w:r>
        <w:t>all these</w:t>
      </w:r>
      <w:r>
        <w:rPr>
          <w:spacing w:val="-3"/>
        </w:rPr>
        <w:t xml:space="preserve"> </w:t>
      </w:r>
      <w:r>
        <w:t>entities</w:t>
      </w:r>
      <w:r>
        <w:rPr>
          <w:spacing w:val="-3"/>
        </w:rPr>
        <w:t xml:space="preserve"> </w:t>
      </w:r>
      <w:r>
        <w:t>consider</w:t>
      </w:r>
      <w:r>
        <w:rPr>
          <w:spacing w:val="-3"/>
        </w:rPr>
        <w:t xml:space="preserve"> </w:t>
      </w:r>
      <w:r>
        <w:t>human</w:t>
      </w:r>
      <w:r>
        <w:rPr>
          <w:spacing w:val="-3"/>
        </w:rPr>
        <w:t xml:space="preserve"> </w:t>
      </w:r>
      <w:r>
        <w:t>rights</w:t>
      </w:r>
      <w:r>
        <w:rPr>
          <w:spacing w:val="-3"/>
        </w:rPr>
        <w:t xml:space="preserve"> </w:t>
      </w:r>
      <w:r>
        <w:t>and</w:t>
      </w:r>
      <w:r>
        <w:rPr>
          <w:spacing w:val="-4"/>
        </w:rPr>
        <w:t xml:space="preserve"> </w:t>
      </w:r>
      <w:r>
        <w:t>perform</w:t>
      </w:r>
      <w:r>
        <w:rPr>
          <w:spacing w:val="-3"/>
        </w:rPr>
        <w:t xml:space="preserve"> </w:t>
      </w:r>
      <w:r>
        <w:t>public</w:t>
      </w:r>
      <w:r>
        <w:rPr>
          <w:spacing w:val="-3"/>
        </w:rPr>
        <w:t xml:space="preserve"> </w:t>
      </w:r>
      <w:r>
        <w:t>duties</w:t>
      </w:r>
      <w:r>
        <w:rPr>
          <w:spacing w:val="-3"/>
        </w:rPr>
        <w:t xml:space="preserve"> </w:t>
      </w:r>
      <w:r>
        <w:t>in</w:t>
      </w:r>
      <w:r>
        <w:rPr>
          <w:spacing w:val="-4"/>
        </w:rPr>
        <w:t xml:space="preserve"> </w:t>
      </w:r>
      <w:r>
        <w:t>a</w:t>
      </w:r>
      <w:r>
        <w:rPr>
          <w:spacing w:val="-3"/>
        </w:rPr>
        <w:t xml:space="preserve"> </w:t>
      </w:r>
      <w:r>
        <w:t>way</w:t>
      </w:r>
      <w:r>
        <w:rPr>
          <w:spacing w:val="-3"/>
        </w:rPr>
        <w:t xml:space="preserve"> </w:t>
      </w:r>
      <w:r>
        <w:t>that</w:t>
      </w:r>
      <w:r>
        <w:rPr>
          <w:spacing w:val="-3"/>
        </w:rPr>
        <w:t xml:space="preserve"> </w:t>
      </w:r>
      <w:r>
        <w:t>is</w:t>
      </w:r>
      <w:r>
        <w:rPr>
          <w:spacing w:val="-3"/>
        </w:rPr>
        <w:t xml:space="preserve"> </w:t>
      </w:r>
      <w:r>
        <w:t>compatible</w:t>
      </w:r>
      <w:r>
        <w:rPr>
          <w:spacing w:val="-3"/>
        </w:rPr>
        <w:t xml:space="preserve"> </w:t>
      </w:r>
      <w:r>
        <w:t>with</w:t>
      </w:r>
      <w:r>
        <w:rPr>
          <w:spacing w:val="-4"/>
        </w:rPr>
        <w:t xml:space="preserve"> </w:t>
      </w:r>
      <w:r>
        <w:t>the</w:t>
      </w:r>
      <w:r>
        <w:rPr>
          <w:spacing w:val="-3"/>
        </w:rPr>
        <w:t xml:space="preserve"> </w:t>
      </w:r>
      <w:r>
        <w:t>Qld Human Rights Act.</w:t>
      </w:r>
      <w:r>
        <w:rPr>
          <w:position w:val="7"/>
          <w:sz w:val="13"/>
        </w:rPr>
        <w:t xml:space="preserve">85 </w:t>
      </w:r>
      <w:r>
        <w:t>The Act includes exemptions for religious organisations, if the act or decision is done or made in accordance with the doctrine of the religion concerned and is necessary to avoid offending the religious sensitivities of the people of the religion.</w:t>
      </w:r>
      <w:r>
        <w:rPr>
          <w:position w:val="7"/>
          <w:sz w:val="13"/>
        </w:rPr>
        <w:t>86</w:t>
      </w:r>
    </w:p>
    <w:p w14:paraId="7CB25DA8" w14:textId="77777777" w:rsidR="008A4099" w:rsidRDefault="006A6EE2">
      <w:pPr>
        <w:pStyle w:val="ListParagraph"/>
        <w:numPr>
          <w:ilvl w:val="2"/>
          <w:numId w:val="9"/>
        </w:numPr>
        <w:tabs>
          <w:tab w:val="left" w:pos="879"/>
        </w:tabs>
        <w:spacing w:line="237" w:lineRule="auto"/>
        <w:ind w:right="676" w:firstLine="0"/>
        <w:jc w:val="both"/>
      </w:pPr>
      <w:r>
        <w:t>As</w:t>
      </w:r>
      <w:r>
        <w:rPr>
          <w:spacing w:val="-14"/>
        </w:rPr>
        <w:t xml:space="preserve"> </w:t>
      </w:r>
      <w:r>
        <w:t>in</w:t>
      </w:r>
      <w:r>
        <w:rPr>
          <w:spacing w:val="-14"/>
        </w:rPr>
        <w:t xml:space="preserve"> </w:t>
      </w:r>
      <w:r>
        <w:t>Victoria</w:t>
      </w:r>
      <w:r>
        <w:rPr>
          <w:spacing w:val="-14"/>
        </w:rPr>
        <w:t xml:space="preserve"> </w:t>
      </w:r>
      <w:r>
        <w:t>and</w:t>
      </w:r>
      <w:r>
        <w:rPr>
          <w:spacing w:val="-13"/>
        </w:rPr>
        <w:t xml:space="preserve"> </w:t>
      </w:r>
      <w:r>
        <w:t>the</w:t>
      </w:r>
      <w:r>
        <w:rPr>
          <w:spacing w:val="-14"/>
        </w:rPr>
        <w:t xml:space="preserve"> </w:t>
      </w:r>
      <w:r>
        <w:t>ACT,</w:t>
      </w:r>
      <w:r>
        <w:rPr>
          <w:spacing w:val="-14"/>
        </w:rPr>
        <w:t xml:space="preserve"> </w:t>
      </w:r>
      <w:r>
        <w:t>the</w:t>
      </w:r>
      <w:r>
        <w:rPr>
          <w:spacing w:val="-14"/>
        </w:rPr>
        <w:t xml:space="preserve"> </w:t>
      </w:r>
      <w:r>
        <w:t>Qld</w:t>
      </w:r>
      <w:r>
        <w:rPr>
          <w:spacing w:val="-12"/>
        </w:rPr>
        <w:t xml:space="preserve"> </w:t>
      </w:r>
      <w:r>
        <w:t>Human</w:t>
      </w:r>
      <w:r>
        <w:rPr>
          <w:spacing w:val="-13"/>
        </w:rPr>
        <w:t xml:space="preserve"> </w:t>
      </w:r>
      <w:r>
        <w:t>Rights</w:t>
      </w:r>
      <w:r>
        <w:rPr>
          <w:spacing w:val="-13"/>
        </w:rPr>
        <w:t xml:space="preserve"> </w:t>
      </w:r>
      <w:r>
        <w:t>Act</w:t>
      </w:r>
      <w:r>
        <w:rPr>
          <w:spacing w:val="-14"/>
        </w:rPr>
        <w:t xml:space="preserve"> </w:t>
      </w:r>
      <w:r>
        <w:t>does</w:t>
      </w:r>
      <w:r>
        <w:rPr>
          <w:spacing w:val="-13"/>
        </w:rPr>
        <w:t xml:space="preserve"> </w:t>
      </w:r>
      <w:r>
        <w:t>not</w:t>
      </w:r>
      <w:r>
        <w:rPr>
          <w:spacing w:val="-13"/>
        </w:rPr>
        <w:t xml:space="preserve"> </w:t>
      </w:r>
      <w:r>
        <w:t>require</w:t>
      </w:r>
      <w:r>
        <w:rPr>
          <w:spacing w:val="-13"/>
        </w:rPr>
        <w:t xml:space="preserve"> </w:t>
      </w:r>
      <w:r>
        <w:t>particular</w:t>
      </w:r>
      <w:r>
        <w:rPr>
          <w:spacing w:val="-13"/>
        </w:rPr>
        <w:t xml:space="preserve"> </w:t>
      </w:r>
      <w:r>
        <w:t>human</w:t>
      </w:r>
      <w:r>
        <w:rPr>
          <w:spacing w:val="-14"/>
        </w:rPr>
        <w:t xml:space="preserve"> </w:t>
      </w:r>
      <w:r>
        <w:t>rights compatibility outcomes, but adopts a process for the Parliament to scrutinise all proposed laws for compatibility with human rights, by requiring that:</w:t>
      </w:r>
    </w:p>
    <w:p w14:paraId="7CB25DA9" w14:textId="77777777" w:rsidR="008A4099" w:rsidRDefault="006A6EE2">
      <w:pPr>
        <w:pStyle w:val="ListParagraph"/>
        <w:numPr>
          <w:ilvl w:val="3"/>
          <w:numId w:val="9"/>
        </w:numPr>
        <w:tabs>
          <w:tab w:val="left" w:pos="1228"/>
        </w:tabs>
        <w:spacing w:before="221" w:line="273" w:lineRule="auto"/>
        <w:ind w:right="682"/>
        <w:jc w:val="left"/>
        <w:rPr>
          <w:sz w:val="13"/>
        </w:rPr>
      </w:pPr>
      <w:r>
        <w:t xml:space="preserve">all new Bills introduced into Parliament include a statement of compatibility with human </w:t>
      </w:r>
      <w:r>
        <w:rPr>
          <w:spacing w:val="-2"/>
        </w:rPr>
        <w:t>rights;</w:t>
      </w:r>
      <w:r>
        <w:rPr>
          <w:spacing w:val="-2"/>
          <w:position w:val="7"/>
          <w:sz w:val="13"/>
        </w:rPr>
        <w:t>87</w:t>
      </w:r>
    </w:p>
    <w:p w14:paraId="7CB25DAA" w14:textId="77777777" w:rsidR="008A4099" w:rsidRDefault="006A6EE2">
      <w:pPr>
        <w:pStyle w:val="ListParagraph"/>
        <w:numPr>
          <w:ilvl w:val="3"/>
          <w:numId w:val="9"/>
        </w:numPr>
        <w:tabs>
          <w:tab w:val="left" w:pos="1228"/>
        </w:tabs>
        <w:spacing w:before="122"/>
        <w:jc w:val="left"/>
      </w:pPr>
      <w:r>
        <w:t>all</w:t>
      </w:r>
      <w:r>
        <w:rPr>
          <w:spacing w:val="-7"/>
        </w:rPr>
        <w:t xml:space="preserve"> </w:t>
      </w:r>
      <w:r>
        <w:t>subordinate</w:t>
      </w:r>
      <w:r>
        <w:rPr>
          <w:spacing w:val="-4"/>
        </w:rPr>
        <w:t xml:space="preserve"> </w:t>
      </w:r>
      <w:r>
        <w:t>legislation</w:t>
      </w:r>
      <w:r>
        <w:rPr>
          <w:spacing w:val="-7"/>
        </w:rPr>
        <w:t xml:space="preserve"> </w:t>
      </w:r>
      <w:r>
        <w:t>include</w:t>
      </w:r>
      <w:r>
        <w:rPr>
          <w:spacing w:val="-2"/>
        </w:rPr>
        <w:t xml:space="preserve"> </w:t>
      </w:r>
      <w:r>
        <w:t>a</w:t>
      </w:r>
      <w:r>
        <w:rPr>
          <w:spacing w:val="-4"/>
        </w:rPr>
        <w:t xml:space="preserve"> </w:t>
      </w:r>
      <w:r>
        <w:t>certificate</w:t>
      </w:r>
      <w:r>
        <w:rPr>
          <w:spacing w:val="-4"/>
        </w:rPr>
        <w:t xml:space="preserve"> </w:t>
      </w:r>
      <w:r>
        <w:t>of</w:t>
      </w:r>
      <w:r>
        <w:rPr>
          <w:spacing w:val="-6"/>
        </w:rPr>
        <w:t xml:space="preserve"> </w:t>
      </w:r>
      <w:r>
        <w:t>compatibility</w:t>
      </w:r>
      <w:r>
        <w:rPr>
          <w:spacing w:val="-4"/>
        </w:rPr>
        <w:t xml:space="preserve"> </w:t>
      </w:r>
      <w:r>
        <w:t>with</w:t>
      </w:r>
      <w:r>
        <w:rPr>
          <w:spacing w:val="-4"/>
        </w:rPr>
        <w:t xml:space="preserve"> </w:t>
      </w:r>
      <w:r>
        <w:t>human</w:t>
      </w:r>
      <w:r>
        <w:rPr>
          <w:spacing w:val="-6"/>
        </w:rPr>
        <w:t xml:space="preserve"> </w:t>
      </w:r>
      <w:r>
        <w:t>rights;</w:t>
      </w:r>
      <w:r>
        <w:rPr>
          <w:position w:val="7"/>
          <w:sz w:val="13"/>
        </w:rPr>
        <w:t>88</w:t>
      </w:r>
      <w:r>
        <w:rPr>
          <w:spacing w:val="17"/>
          <w:position w:val="7"/>
          <w:sz w:val="13"/>
        </w:rPr>
        <w:t xml:space="preserve"> </w:t>
      </w:r>
      <w:r>
        <w:rPr>
          <w:spacing w:val="-5"/>
        </w:rPr>
        <w:t>and</w:t>
      </w:r>
    </w:p>
    <w:p w14:paraId="7CB25DAB" w14:textId="77777777" w:rsidR="008A4099" w:rsidRDefault="006A6EE2">
      <w:pPr>
        <w:pStyle w:val="ListParagraph"/>
        <w:numPr>
          <w:ilvl w:val="3"/>
          <w:numId w:val="9"/>
        </w:numPr>
        <w:tabs>
          <w:tab w:val="left" w:pos="1228"/>
        </w:tabs>
        <w:spacing w:before="157" w:line="273" w:lineRule="auto"/>
        <w:ind w:right="679"/>
        <w:jc w:val="left"/>
      </w:pPr>
      <w:r>
        <w:t>portfolio committees</w:t>
      </w:r>
      <w:r>
        <w:rPr>
          <w:position w:val="7"/>
          <w:sz w:val="13"/>
        </w:rPr>
        <w:t>89</w:t>
      </w:r>
      <w:r>
        <w:rPr>
          <w:spacing w:val="40"/>
          <w:position w:val="7"/>
          <w:sz w:val="13"/>
        </w:rPr>
        <w:t xml:space="preserve"> </w:t>
      </w:r>
      <w:r>
        <w:t>examine Bills and report to the Legislative Assembly about any</w:t>
      </w:r>
      <w:r>
        <w:rPr>
          <w:spacing w:val="80"/>
        </w:rPr>
        <w:t xml:space="preserve"> </w:t>
      </w:r>
      <w:r>
        <w:t>incompatibility with human rights.</w:t>
      </w:r>
    </w:p>
    <w:p w14:paraId="7CB25DAC" w14:textId="77777777" w:rsidR="008A4099" w:rsidRDefault="006A6EE2">
      <w:pPr>
        <w:pStyle w:val="ListParagraph"/>
        <w:numPr>
          <w:ilvl w:val="2"/>
          <w:numId w:val="9"/>
        </w:numPr>
        <w:tabs>
          <w:tab w:val="left" w:pos="879"/>
        </w:tabs>
        <w:spacing w:before="223"/>
        <w:ind w:right="677" w:firstLine="0"/>
        <w:jc w:val="both"/>
        <w:rPr>
          <w:sz w:val="13"/>
        </w:rPr>
      </w:pPr>
      <w:r>
        <w:t>If a proposed instrument places limitations on protected rights, the statement (or certificate) must explain the nature and extent of the limitations.</w:t>
      </w:r>
      <w:r>
        <w:rPr>
          <w:position w:val="7"/>
          <w:sz w:val="13"/>
        </w:rPr>
        <w:t>90</w:t>
      </w:r>
      <w:r>
        <w:rPr>
          <w:spacing w:val="31"/>
          <w:position w:val="7"/>
          <w:sz w:val="13"/>
        </w:rPr>
        <w:t xml:space="preserve"> </w:t>
      </w:r>
      <w:r>
        <w:t>Consistent with recommendations made in the TLRI 2007 Final Report,</w:t>
      </w:r>
      <w:r>
        <w:rPr>
          <w:position w:val="7"/>
          <w:sz w:val="13"/>
        </w:rPr>
        <w:t xml:space="preserve">91 </w:t>
      </w:r>
      <w:r>
        <w:t xml:space="preserve">the </w:t>
      </w:r>
      <w:r>
        <w:rPr>
          <w:i/>
        </w:rPr>
        <w:t xml:space="preserve">Human Rights Act 2019 </w:t>
      </w:r>
      <w:r>
        <w:t>(Qld) sets out factors that may be relevant in deciding</w:t>
      </w:r>
      <w:r>
        <w:rPr>
          <w:spacing w:val="-14"/>
        </w:rPr>
        <w:t xml:space="preserve"> </w:t>
      </w:r>
      <w:r>
        <w:t>whether</w:t>
      </w:r>
      <w:r>
        <w:rPr>
          <w:spacing w:val="-14"/>
        </w:rPr>
        <w:t xml:space="preserve"> </w:t>
      </w:r>
      <w:r>
        <w:t>a</w:t>
      </w:r>
      <w:r>
        <w:rPr>
          <w:spacing w:val="-14"/>
        </w:rPr>
        <w:t xml:space="preserve"> </w:t>
      </w:r>
      <w:r>
        <w:t>limit</w:t>
      </w:r>
      <w:r>
        <w:rPr>
          <w:spacing w:val="-10"/>
        </w:rPr>
        <w:t xml:space="preserve"> </w:t>
      </w:r>
      <w:r>
        <w:t>on</w:t>
      </w:r>
      <w:r>
        <w:rPr>
          <w:spacing w:val="-14"/>
        </w:rPr>
        <w:t xml:space="preserve"> </w:t>
      </w:r>
      <w:r>
        <w:t>a</w:t>
      </w:r>
      <w:r>
        <w:rPr>
          <w:spacing w:val="-12"/>
        </w:rPr>
        <w:t xml:space="preserve"> </w:t>
      </w:r>
      <w:r>
        <w:t>human</w:t>
      </w:r>
      <w:r>
        <w:rPr>
          <w:spacing w:val="-14"/>
        </w:rPr>
        <w:t xml:space="preserve"> </w:t>
      </w:r>
      <w:r>
        <w:t>right</w:t>
      </w:r>
      <w:r>
        <w:rPr>
          <w:spacing w:val="-13"/>
        </w:rPr>
        <w:t xml:space="preserve"> </w:t>
      </w:r>
      <w:r>
        <w:t>is</w:t>
      </w:r>
      <w:r>
        <w:rPr>
          <w:spacing w:val="-14"/>
        </w:rPr>
        <w:t xml:space="preserve"> </w:t>
      </w:r>
      <w:r>
        <w:t>justifiable</w:t>
      </w:r>
      <w:r>
        <w:rPr>
          <w:spacing w:val="-14"/>
        </w:rPr>
        <w:t xml:space="preserve"> </w:t>
      </w:r>
      <w:r>
        <w:t>but</w:t>
      </w:r>
      <w:r>
        <w:rPr>
          <w:spacing w:val="-13"/>
        </w:rPr>
        <w:t xml:space="preserve"> </w:t>
      </w:r>
      <w:r>
        <w:t>does</w:t>
      </w:r>
      <w:r>
        <w:rPr>
          <w:spacing w:val="-13"/>
        </w:rPr>
        <w:t xml:space="preserve"> </w:t>
      </w:r>
      <w:r>
        <w:t>not</w:t>
      </w:r>
      <w:r>
        <w:rPr>
          <w:spacing w:val="-11"/>
        </w:rPr>
        <w:t xml:space="preserve"> </w:t>
      </w:r>
      <w:r>
        <w:t>prevent</w:t>
      </w:r>
      <w:r>
        <w:rPr>
          <w:spacing w:val="-13"/>
        </w:rPr>
        <w:t xml:space="preserve"> </w:t>
      </w:r>
      <w:r>
        <w:t>the</w:t>
      </w:r>
      <w:r>
        <w:rPr>
          <w:spacing w:val="-12"/>
        </w:rPr>
        <w:t xml:space="preserve"> </w:t>
      </w:r>
      <w:r>
        <w:t>Parliament</w:t>
      </w:r>
      <w:r>
        <w:rPr>
          <w:spacing w:val="-13"/>
        </w:rPr>
        <w:t xml:space="preserve"> </w:t>
      </w:r>
      <w:r>
        <w:t>from</w:t>
      </w:r>
      <w:r>
        <w:rPr>
          <w:spacing w:val="-13"/>
        </w:rPr>
        <w:t xml:space="preserve"> </w:t>
      </w:r>
      <w:r>
        <w:t>passing legislation that does not satisfy those factors.</w:t>
      </w:r>
      <w:r>
        <w:rPr>
          <w:position w:val="7"/>
          <w:sz w:val="13"/>
        </w:rPr>
        <w:t>92</w:t>
      </w:r>
    </w:p>
    <w:p w14:paraId="7CB25DAD" w14:textId="77777777" w:rsidR="008A4099" w:rsidRDefault="006A6EE2">
      <w:pPr>
        <w:pStyle w:val="BodyText"/>
        <w:spacing w:before="220"/>
        <w:rPr>
          <w:sz w:val="20"/>
        </w:rPr>
      </w:pPr>
      <w:r>
        <w:rPr>
          <w:noProof/>
        </w:rPr>
        <mc:AlternateContent>
          <mc:Choice Requires="wps">
            <w:drawing>
              <wp:anchor distT="0" distB="0" distL="0" distR="0" simplePos="0" relativeHeight="487596032" behindDoc="1" locked="0" layoutInCell="1" allowOverlap="1" wp14:anchorId="7CB265F9" wp14:editId="7CB265FA">
                <wp:simplePos x="0" y="0"/>
                <wp:positionH relativeFrom="page">
                  <wp:posOffset>914704</wp:posOffset>
                </wp:positionH>
                <wp:positionV relativeFrom="paragraph">
                  <wp:posOffset>301519</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8DE05" id="Graphic 52" o:spid="_x0000_s1026" style="position:absolute;margin-left:1in;margin-top:23.75pt;width:144.0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" path="m1829054,l,,,7620r1829054,l1829054,xe" fillcolor="black" stroked="f">
                <v:path arrowok="t"/>
                <w10:wrap type="topAndBottom" anchorx="page"/>
              </v:shape>
            </w:pict>
          </mc:Fallback>
        </mc:AlternateContent>
      </w:r>
    </w:p>
    <w:p w14:paraId="7CB25DAE" w14:textId="77777777" w:rsidR="008A4099" w:rsidRDefault="006A6EE2">
      <w:pPr>
        <w:spacing w:before="115"/>
        <w:ind w:left="160"/>
        <w:rPr>
          <w:sz w:val="18"/>
        </w:rPr>
      </w:pPr>
      <w:r>
        <w:rPr>
          <w:sz w:val="18"/>
          <w:vertAlign w:val="superscript"/>
        </w:rPr>
        <w:t>82</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Pt</w:t>
      </w:r>
      <w:r>
        <w:rPr>
          <w:spacing w:val="-1"/>
          <w:sz w:val="18"/>
        </w:rPr>
        <w:t xml:space="preserve"> </w:t>
      </w:r>
      <w:r>
        <w:rPr>
          <w:spacing w:val="-5"/>
          <w:sz w:val="18"/>
        </w:rPr>
        <w:t>4.</w:t>
      </w:r>
    </w:p>
    <w:p w14:paraId="7CB25DAF" w14:textId="77777777" w:rsidR="008A4099" w:rsidRDefault="006A6EE2">
      <w:pPr>
        <w:spacing w:before="21" w:line="244" w:lineRule="auto"/>
        <w:ind w:left="160" w:right="679"/>
        <w:rPr>
          <w:sz w:val="18"/>
        </w:rPr>
      </w:pPr>
      <w:r>
        <w:rPr>
          <w:sz w:val="18"/>
          <w:vertAlign w:val="superscript"/>
        </w:rPr>
        <w:t>83</w:t>
      </w:r>
      <w:r>
        <w:rPr>
          <w:sz w:val="18"/>
        </w:rPr>
        <w:t xml:space="preserve"> Examples of complaints reviewed by the Commission are outlined in its annual reports. See Queensland Human Rights</w:t>
      </w:r>
      <w:r>
        <w:rPr>
          <w:spacing w:val="40"/>
          <w:sz w:val="18"/>
        </w:rPr>
        <w:t xml:space="preserve"> </w:t>
      </w:r>
      <w:r>
        <w:rPr>
          <w:sz w:val="18"/>
        </w:rPr>
        <w:t xml:space="preserve">Commission, </w:t>
      </w:r>
      <w:r>
        <w:rPr>
          <w:i/>
          <w:sz w:val="18"/>
        </w:rPr>
        <w:t xml:space="preserve">Annual Report 2020-21 </w:t>
      </w:r>
      <w:r>
        <w:rPr>
          <w:sz w:val="18"/>
        </w:rPr>
        <w:t>(QHRC, 2021) 156–165</w:t>
      </w:r>
    </w:p>
    <w:p w14:paraId="7CB25DB0" w14:textId="77777777" w:rsidR="008A4099" w:rsidRDefault="006A6EE2">
      <w:pPr>
        <w:ind w:left="160" w:right="820"/>
        <w:rPr>
          <w:sz w:val="18"/>
        </w:rPr>
      </w:pPr>
      <w:r>
        <w:rPr>
          <w:sz w:val="18"/>
        </w:rPr>
        <w:t>&lt;https://</w:t>
      </w:r>
      <w:hyperlink r:id="rId53">
        <w:r>
          <w:rPr>
            <w:sz w:val="18"/>
          </w:rPr>
          <w:t>www.qhrc.qld.gov.au/</w:t>
        </w:r>
      </w:hyperlink>
      <w:r>
        <w:rPr>
          <w:spacing w:val="80"/>
          <w:sz w:val="18"/>
          <w:u w:val="single"/>
        </w:rPr>
        <w:t xml:space="preserve"> </w:t>
      </w:r>
      <w:r>
        <w:rPr>
          <w:sz w:val="18"/>
        </w:rPr>
        <w:t xml:space="preserve">data/assets/pdf_file/0015/35511/Queensland-Human-Rights-Commission-Annual-Report- </w:t>
      </w:r>
      <w:r>
        <w:rPr>
          <w:spacing w:val="-2"/>
          <w:sz w:val="18"/>
        </w:rPr>
        <w:t>2020-21.pdf&gt;.</w:t>
      </w:r>
    </w:p>
    <w:p w14:paraId="7CB25DB1" w14:textId="77777777" w:rsidR="008A4099" w:rsidRDefault="006A6EE2">
      <w:pPr>
        <w:spacing w:before="16"/>
        <w:ind w:left="160" w:right="673"/>
        <w:jc w:val="both"/>
        <w:rPr>
          <w:sz w:val="18"/>
        </w:rPr>
      </w:pPr>
      <w:r>
        <w:rPr>
          <w:sz w:val="18"/>
          <w:vertAlign w:val="superscript"/>
        </w:rPr>
        <w:t>84</w:t>
      </w:r>
      <w:r>
        <w:rPr>
          <w:spacing w:val="31"/>
          <w:sz w:val="18"/>
        </w:rPr>
        <w:t xml:space="preserve"> </w:t>
      </w:r>
      <w:r>
        <w:rPr>
          <w:i/>
          <w:sz w:val="18"/>
        </w:rPr>
        <w:t>Human</w:t>
      </w:r>
      <w:r>
        <w:rPr>
          <w:i/>
          <w:spacing w:val="-6"/>
          <w:sz w:val="18"/>
        </w:rPr>
        <w:t xml:space="preserve"> </w:t>
      </w:r>
      <w:r>
        <w:rPr>
          <w:i/>
          <w:sz w:val="18"/>
        </w:rPr>
        <w:t>Rights</w:t>
      </w:r>
      <w:r>
        <w:rPr>
          <w:i/>
          <w:spacing w:val="-7"/>
          <w:sz w:val="18"/>
        </w:rPr>
        <w:t xml:space="preserve"> </w:t>
      </w:r>
      <w:r>
        <w:rPr>
          <w:i/>
          <w:sz w:val="18"/>
        </w:rPr>
        <w:t>Act</w:t>
      </w:r>
      <w:r>
        <w:rPr>
          <w:i/>
          <w:spacing w:val="-9"/>
          <w:sz w:val="18"/>
        </w:rPr>
        <w:t xml:space="preserve"> </w:t>
      </w:r>
      <w:r>
        <w:rPr>
          <w:i/>
          <w:sz w:val="18"/>
        </w:rPr>
        <w:t>2019</w:t>
      </w:r>
      <w:r>
        <w:rPr>
          <w:i/>
          <w:spacing w:val="-5"/>
          <w:sz w:val="18"/>
        </w:rPr>
        <w:t xml:space="preserve"> </w:t>
      </w:r>
      <w:r>
        <w:rPr>
          <w:sz w:val="18"/>
        </w:rPr>
        <w:t>(Qld)</w:t>
      </w:r>
      <w:r>
        <w:rPr>
          <w:spacing w:val="-7"/>
          <w:sz w:val="18"/>
        </w:rPr>
        <w:t xml:space="preserve"> </w:t>
      </w:r>
      <w:r>
        <w:rPr>
          <w:sz w:val="18"/>
        </w:rPr>
        <w:t>ss</w:t>
      </w:r>
      <w:r>
        <w:rPr>
          <w:spacing w:val="-8"/>
          <w:sz w:val="18"/>
        </w:rPr>
        <w:t xml:space="preserve"> </w:t>
      </w:r>
      <w:r>
        <w:rPr>
          <w:sz w:val="18"/>
        </w:rPr>
        <w:t>5,</w:t>
      </w:r>
      <w:r>
        <w:rPr>
          <w:spacing w:val="-7"/>
          <w:sz w:val="18"/>
        </w:rPr>
        <w:t xml:space="preserve"> </w:t>
      </w:r>
      <w:r>
        <w:rPr>
          <w:sz w:val="18"/>
        </w:rPr>
        <w:t>9</w:t>
      </w:r>
      <w:r>
        <w:rPr>
          <w:spacing w:val="-6"/>
          <w:sz w:val="18"/>
        </w:rPr>
        <w:t xml:space="preserve"> </w:t>
      </w:r>
      <w:r>
        <w:rPr>
          <w:sz w:val="18"/>
        </w:rPr>
        <w:t>&amp;</w:t>
      </w:r>
      <w:r>
        <w:rPr>
          <w:spacing w:val="-8"/>
          <w:sz w:val="18"/>
        </w:rPr>
        <w:t xml:space="preserve"> </w:t>
      </w:r>
      <w:r>
        <w:rPr>
          <w:sz w:val="18"/>
        </w:rPr>
        <w:t>58.</w:t>
      </w:r>
      <w:r>
        <w:rPr>
          <w:spacing w:val="-7"/>
          <w:sz w:val="18"/>
        </w:rPr>
        <w:t xml:space="preserve"> </w:t>
      </w:r>
      <w:r>
        <w:rPr>
          <w:sz w:val="18"/>
        </w:rPr>
        <w:t>For</w:t>
      </w:r>
      <w:r>
        <w:rPr>
          <w:spacing w:val="-7"/>
          <w:sz w:val="18"/>
        </w:rPr>
        <w:t xml:space="preserve"> </w:t>
      </w:r>
      <w:r>
        <w:rPr>
          <w:sz w:val="18"/>
        </w:rPr>
        <w:t>guidance</w:t>
      </w:r>
      <w:r>
        <w:rPr>
          <w:spacing w:val="-8"/>
          <w:sz w:val="18"/>
        </w:rPr>
        <w:t xml:space="preserve"> </w:t>
      </w:r>
      <w:r>
        <w:rPr>
          <w:sz w:val="18"/>
        </w:rPr>
        <w:t>on</w:t>
      </w:r>
      <w:r>
        <w:rPr>
          <w:spacing w:val="-6"/>
          <w:sz w:val="18"/>
        </w:rPr>
        <w:t xml:space="preserve"> </w:t>
      </w:r>
      <w:r>
        <w:rPr>
          <w:sz w:val="18"/>
        </w:rPr>
        <w:t>when</w:t>
      </w:r>
      <w:r>
        <w:rPr>
          <w:spacing w:val="-8"/>
          <w:sz w:val="18"/>
        </w:rPr>
        <w:t xml:space="preserve"> </w:t>
      </w:r>
      <w:r>
        <w:rPr>
          <w:sz w:val="18"/>
        </w:rPr>
        <w:t>organisations</w:t>
      </w:r>
      <w:r>
        <w:rPr>
          <w:spacing w:val="-8"/>
          <w:sz w:val="18"/>
        </w:rPr>
        <w:t xml:space="preserve"> </w:t>
      </w:r>
      <w:r>
        <w:rPr>
          <w:sz w:val="18"/>
        </w:rPr>
        <w:t>will</w:t>
      </w:r>
      <w:r>
        <w:rPr>
          <w:spacing w:val="-9"/>
          <w:sz w:val="18"/>
        </w:rPr>
        <w:t xml:space="preserve"> </w:t>
      </w:r>
      <w:r>
        <w:rPr>
          <w:sz w:val="18"/>
        </w:rPr>
        <w:t>be</w:t>
      </w:r>
      <w:r>
        <w:rPr>
          <w:spacing w:val="-8"/>
          <w:sz w:val="18"/>
        </w:rPr>
        <w:t xml:space="preserve"> </w:t>
      </w:r>
      <w:r>
        <w:rPr>
          <w:sz w:val="18"/>
        </w:rPr>
        <w:t>characterised</w:t>
      </w:r>
      <w:r>
        <w:rPr>
          <w:spacing w:val="-6"/>
          <w:sz w:val="18"/>
        </w:rPr>
        <w:t xml:space="preserve"> </w:t>
      </w:r>
      <w:r>
        <w:rPr>
          <w:sz w:val="18"/>
        </w:rPr>
        <w:t>as</w:t>
      </w:r>
      <w:r>
        <w:rPr>
          <w:spacing w:val="-8"/>
          <w:sz w:val="18"/>
        </w:rPr>
        <w:t xml:space="preserve"> </w:t>
      </w:r>
      <w:r>
        <w:rPr>
          <w:sz w:val="18"/>
        </w:rPr>
        <w:t>a</w:t>
      </w:r>
      <w:r>
        <w:rPr>
          <w:spacing w:val="-8"/>
          <w:sz w:val="18"/>
        </w:rPr>
        <w:t xml:space="preserve"> </w:t>
      </w:r>
      <w:r>
        <w:rPr>
          <w:sz w:val="18"/>
        </w:rPr>
        <w:t>‘functional</w:t>
      </w:r>
      <w:r>
        <w:rPr>
          <w:spacing w:val="-7"/>
          <w:sz w:val="18"/>
        </w:rPr>
        <w:t xml:space="preserve"> </w:t>
      </w:r>
      <w:r>
        <w:rPr>
          <w:sz w:val="18"/>
        </w:rPr>
        <w:t xml:space="preserve">public entity, see also Queensland Government, ‘Checklist: Public Entities under the </w:t>
      </w:r>
      <w:r>
        <w:rPr>
          <w:i/>
          <w:sz w:val="18"/>
        </w:rPr>
        <w:t>Human Rights Act 2019</w:t>
      </w:r>
      <w:r>
        <w:rPr>
          <w:sz w:val="18"/>
        </w:rPr>
        <w:t>’ (Queensland Government, 2019) &lt;</w:t>
      </w:r>
      <w:hyperlink r:id="rId54">
        <w:r>
          <w:rPr>
            <w:sz w:val="18"/>
          </w:rPr>
          <w:t>www.forgov.qld.gov.au/</w:t>
        </w:r>
      </w:hyperlink>
      <w:r>
        <w:rPr>
          <w:spacing w:val="40"/>
          <w:sz w:val="18"/>
          <w:u w:val="single"/>
        </w:rPr>
        <w:t xml:space="preserve"> </w:t>
      </w:r>
      <w:r>
        <w:rPr>
          <w:sz w:val="18"/>
        </w:rPr>
        <w:t xml:space="preserve">data/assets/pdf_file/0026/182564/what-is-public-entity-under-human-rights- act.pdf&gt;. Any organisation can seek to be declared a functional public entity and become subject to the </w:t>
      </w:r>
      <w:r>
        <w:rPr>
          <w:i/>
          <w:sz w:val="18"/>
        </w:rPr>
        <w:t xml:space="preserve">Human Rights Act 2019 </w:t>
      </w:r>
      <w:r>
        <w:rPr>
          <w:sz w:val="18"/>
        </w:rPr>
        <w:t>(Qld) s 60. Agencies that outsource roles to functional public entities are not required</w:t>
      </w:r>
      <w:r>
        <w:rPr>
          <w:spacing w:val="-1"/>
          <w:sz w:val="18"/>
        </w:rPr>
        <w:t xml:space="preserve"> </w:t>
      </w:r>
      <w:r>
        <w:rPr>
          <w:sz w:val="18"/>
        </w:rPr>
        <w:t>to report</w:t>
      </w:r>
      <w:r>
        <w:rPr>
          <w:spacing w:val="-2"/>
          <w:sz w:val="18"/>
        </w:rPr>
        <w:t xml:space="preserve"> </w:t>
      </w:r>
      <w:r>
        <w:rPr>
          <w:sz w:val="18"/>
        </w:rPr>
        <w:t>on the functional public entities’ compliance with obligations under the Act. An agency that funds a functional public entity to do work on its behalf may include auditing or quality assurance management for human rights compliance in reporting obligations or procurement criteria, however.</w:t>
      </w:r>
    </w:p>
    <w:p w14:paraId="7CB25DB2" w14:textId="77777777" w:rsidR="008A4099" w:rsidRDefault="006A6EE2">
      <w:pPr>
        <w:spacing w:before="22"/>
        <w:ind w:left="160"/>
        <w:rPr>
          <w:sz w:val="18"/>
        </w:rPr>
      </w:pPr>
      <w:r>
        <w:rPr>
          <w:sz w:val="18"/>
          <w:vertAlign w:val="superscript"/>
        </w:rPr>
        <w:t>85</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58.</w:t>
      </w:r>
    </w:p>
    <w:p w14:paraId="7CB25DB3" w14:textId="77777777" w:rsidR="008A4099" w:rsidRDefault="006A6EE2">
      <w:pPr>
        <w:spacing w:before="23"/>
        <w:ind w:left="160"/>
        <w:rPr>
          <w:sz w:val="18"/>
        </w:rPr>
      </w:pPr>
      <w:r>
        <w:rPr>
          <w:sz w:val="18"/>
          <w:vertAlign w:val="superscript"/>
        </w:rPr>
        <w:t>86</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2"/>
          <w:sz w:val="18"/>
        </w:rPr>
        <w:t>58(3).</w:t>
      </w:r>
    </w:p>
    <w:p w14:paraId="7CB25DB4" w14:textId="77777777" w:rsidR="008A4099" w:rsidRDefault="006A6EE2">
      <w:pPr>
        <w:spacing w:before="24"/>
        <w:ind w:left="160"/>
        <w:rPr>
          <w:sz w:val="18"/>
        </w:rPr>
      </w:pPr>
      <w:r>
        <w:rPr>
          <w:sz w:val="18"/>
          <w:vertAlign w:val="superscript"/>
        </w:rPr>
        <w:t>87</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38.</w:t>
      </w:r>
    </w:p>
    <w:p w14:paraId="7CB25DB5" w14:textId="77777777" w:rsidR="008A4099" w:rsidRDefault="006A6EE2">
      <w:pPr>
        <w:spacing w:before="23"/>
        <w:ind w:left="160"/>
        <w:rPr>
          <w:sz w:val="18"/>
        </w:rPr>
      </w:pPr>
      <w:r>
        <w:rPr>
          <w:sz w:val="18"/>
          <w:vertAlign w:val="superscript"/>
        </w:rPr>
        <w:t>88</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41.</w:t>
      </w:r>
    </w:p>
    <w:p w14:paraId="7CB25DB6" w14:textId="77777777" w:rsidR="008A4099" w:rsidRDefault="006A6EE2">
      <w:pPr>
        <w:spacing w:before="24"/>
        <w:ind w:left="160" w:right="673"/>
        <w:jc w:val="both"/>
        <w:rPr>
          <w:sz w:val="18"/>
        </w:rPr>
      </w:pPr>
      <w:r>
        <w:rPr>
          <w:sz w:val="18"/>
          <w:vertAlign w:val="superscript"/>
        </w:rPr>
        <w:t>89</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unicameral</w:t>
      </w:r>
      <w:r>
        <w:rPr>
          <w:spacing w:val="-1"/>
          <w:sz w:val="18"/>
        </w:rPr>
        <w:t xml:space="preserve"> </w:t>
      </w:r>
      <w:r>
        <w:rPr>
          <w:sz w:val="18"/>
        </w:rPr>
        <w:t>Parliament, Queensland</w:t>
      </w:r>
      <w:r>
        <w:rPr>
          <w:spacing w:val="-2"/>
          <w:sz w:val="18"/>
        </w:rPr>
        <w:t xml:space="preserve"> </w:t>
      </w:r>
      <w:r>
        <w:rPr>
          <w:sz w:val="18"/>
        </w:rPr>
        <w:t>does</w:t>
      </w:r>
      <w:r>
        <w:rPr>
          <w:spacing w:val="-4"/>
          <w:sz w:val="18"/>
        </w:rPr>
        <w:t xml:space="preserve"> </w:t>
      </w:r>
      <w:r>
        <w:rPr>
          <w:sz w:val="18"/>
        </w:rPr>
        <w:t>not</w:t>
      </w:r>
      <w:r>
        <w:rPr>
          <w:spacing w:val="-3"/>
          <w:sz w:val="18"/>
        </w:rPr>
        <w:t xml:space="preserve"> </w:t>
      </w:r>
      <w:r>
        <w:rPr>
          <w:sz w:val="18"/>
        </w:rPr>
        <w:t>have</w:t>
      </w:r>
      <w:r>
        <w:rPr>
          <w:spacing w:val="-2"/>
          <w:sz w:val="18"/>
        </w:rPr>
        <w:t xml:space="preserve"> </w:t>
      </w:r>
      <w:r>
        <w:rPr>
          <w:sz w:val="18"/>
        </w:rPr>
        <w:t>an Upper</w:t>
      </w:r>
      <w:r>
        <w:rPr>
          <w:spacing w:val="-3"/>
          <w:sz w:val="18"/>
        </w:rPr>
        <w:t xml:space="preserve"> </w:t>
      </w:r>
      <w:r>
        <w:rPr>
          <w:sz w:val="18"/>
        </w:rPr>
        <w:t>House</w:t>
      </w:r>
      <w:r>
        <w:rPr>
          <w:spacing w:val="-2"/>
          <w:sz w:val="18"/>
        </w:rPr>
        <w:t xml:space="preserve"> </w:t>
      </w:r>
      <w:r>
        <w:rPr>
          <w:sz w:val="18"/>
        </w:rPr>
        <w:t>tasked</w:t>
      </w:r>
      <w:r>
        <w:rPr>
          <w:spacing w:val="-2"/>
          <w:sz w:val="18"/>
        </w:rPr>
        <w:t xml:space="preserve"> </w:t>
      </w:r>
      <w:r>
        <w:rPr>
          <w:sz w:val="18"/>
        </w:rPr>
        <w:t>with</w:t>
      </w:r>
      <w:r>
        <w:rPr>
          <w:spacing w:val="-2"/>
          <w:sz w:val="18"/>
        </w:rPr>
        <w:t xml:space="preserve"> </w:t>
      </w:r>
      <w:r>
        <w:rPr>
          <w:sz w:val="18"/>
        </w:rPr>
        <w:t>scrutinising legislation.</w:t>
      </w:r>
      <w:r>
        <w:rPr>
          <w:spacing w:val="-1"/>
          <w:sz w:val="18"/>
        </w:rPr>
        <w:t xml:space="preserve"> </w:t>
      </w:r>
      <w:r>
        <w:rPr>
          <w:sz w:val="18"/>
        </w:rPr>
        <w:t>Consequently, all Bills are referred to portfolio committees for consideration. The Qld Human Rights Act does not establish a stand-alone Human</w:t>
      </w:r>
      <w:r>
        <w:rPr>
          <w:spacing w:val="-9"/>
          <w:sz w:val="18"/>
        </w:rPr>
        <w:t xml:space="preserve"> </w:t>
      </w:r>
      <w:r>
        <w:rPr>
          <w:sz w:val="18"/>
        </w:rPr>
        <w:t>Rights</w:t>
      </w:r>
      <w:r>
        <w:rPr>
          <w:spacing w:val="-10"/>
          <w:sz w:val="18"/>
        </w:rPr>
        <w:t xml:space="preserve"> </w:t>
      </w:r>
      <w:r>
        <w:rPr>
          <w:sz w:val="18"/>
        </w:rPr>
        <w:t>Committee,</w:t>
      </w:r>
      <w:r>
        <w:rPr>
          <w:spacing w:val="-9"/>
          <w:sz w:val="18"/>
        </w:rPr>
        <w:t xml:space="preserve"> </w:t>
      </w:r>
      <w:r>
        <w:rPr>
          <w:sz w:val="18"/>
        </w:rPr>
        <w:t>but</w:t>
      </w:r>
      <w:r>
        <w:rPr>
          <w:spacing w:val="-11"/>
          <w:sz w:val="18"/>
        </w:rPr>
        <w:t xml:space="preserve"> </w:t>
      </w:r>
      <w:r>
        <w:rPr>
          <w:sz w:val="18"/>
        </w:rPr>
        <w:t>instead</w:t>
      </w:r>
      <w:r>
        <w:rPr>
          <w:spacing w:val="-9"/>
          <w:sz w:val="18"/>
        </w:rPr>
        <w:t xml:space="preserve"> </w:t>
      </w:r>
      <w:r>
        <w:rPr>
          <w:sz w:val="18"/>
        </w:rPr>
        <w:t>requires</w:t>
      </w:r>
      <w:r>
        <w:rPr>
          <w:spacing w:val="-10"/>
          <w:sz w:val="18"/>
        </w:rPr>
        <w:t xml:space="preserve"> </w:t>
      </w:r>
      <w:r>
        <w:rPr>
          <w:sz w:val="18"/>
        </w:rPr>
        <w:t>all</w:t>
      </w:r>
      <w:r>
        <w:rPr>
          <w:spacing w:val="-11"/>
          <w:sz w:val="18"/>
        </w:rPr>
        <w:t xml:space="preserve"> </w:t>
      </w:r>
      <w:r>
        <w:rPr>
          <w:sz w:val="18"/>
        </w:rPr>
        <w:t>portfolio</w:t>
      </w:r>
      <w:r>
        <w:rPr>
          <w:spacing w:val="-9"/>
          <w:sz w:val="18"/>
        </w:rPr>
        <w:t xml:space="preserve"> </w:t>
      </w:r>
      <w:r>
        <w:rPr>
          <w:sz w:val="18"/>
        </w:rPr>
        <w:t>committees</w:t>
      </w:r>
      <w:r>
        <w:rPr>
          <w:spacing w:val="-10"/>
          <w:sz w:val="18"/>
        </w:rPr>
        <w:t xml:space="preserve"> </w:t>
      </w:r>
      <w:r>
        <w:rPr>
          <w:sz w:val="18"/>
        </w:rPr>
        <w:t>to</w:t>
      </w:r>
      <w:r>
        <w:rPr>
          <w:spacing w:val="-9"/>
          <w:sz w:val="18"/>
        </w:rPr>
        <w:t xml:space="preserve"> </w:t>
      </w:r>
      <w:r>
        <w:rPr>
          <w:sz w:val="18"/>
        </w:rPr>
        <w:t>consider</w:t>
      </w:r>
      <w:r>
        <w:rPr>
          <w:spacing w:val="-11"/>
          <w:sz w:val="18"/>
        </w:rPr>
        <w:t xml:space="preserve"> </w:t>
      </w:r>
      <w:r>
        <w:rPr>
          <w:sz w:val="18"/>
        </w:rPr>
        <w:t>human</w:t>
      </w:r>
      <w:r>
        <w:rPr>
          <w:spacing w:val="-10"/>
          <w:sz w:val="18"/>
        </w:rPr>
        <w:t xml:space="preserve"> </w:t>
      </w:r>
      <w:r>
        <w:rPr>
          <w:sz w:val="18"/>
        </w:rPr>
        <w:t>rights</w:t>
      </w:r>
      <w:r>
        <w:rPr>
          <w:spacing w:val="-12"/>
          <w:sz w:val="18"/>
        </w:rPr>
        <w:t xml:space="preserve"> </w:t>
      </w:r>
      <w:r>
        <w:rPr>
          <w:sz w:val="18"/>
        </w:rPr>
        <w:t>compatibility</w:t>
      </w:r>
      <w:r>
        <w:rPr>
          <w:spacing w:val="-10"/>
          <w:sz w:val="18"/>
        </w:rPr>
        <w:t xml:space="preserve"> </w:t>
      </w:r>
      <w:r>
        <w:rPr>
          <w:sz w:val="18"/>
        </w:rPr>
        <w:t>in</w:t>
      </w:r>
      <w:r>
        <w:rPr>
          <w:spacing w:val="-10"/>
          <w:sz w:val="18"/>
        </w:rPr>
        <w:t xml:space="preserve"> </w:t>
      </w:r>
      <w:r>
        <w:rPr>
          <w:sz w:val="18"/>
        </w:rPr>
        <w:t>their</w:t>
      </w:r>
      <w:r>
        <w:rPr>
          <w:spacing w:val="-11"/>
          <w:sz w:val="18"/>
        </w:rPr>
        <w:t xml:space="preserve"> </w:t>
      </w:r>
      <w:r>
        <w:rPr>
          <w:sz w:val="18"/>
        </w:rPr>
        <w:t xml:space="preserve">broader review of Bills: </w:t>
      </w:r>
      <w:r>
        <w:rPr>
          <w:i/>
          <w:sz w:val="18"/>
        </w:rPr>
        <w:t xml:space="preserve">Human Rights Act 2019 </w:t>
      </w:r>
      <w:r>
        <w:rPr>
          <w:sz w:val="18"/>
        </w:rPr>
        <w:t>(Qld) ss 39, 40, 41.</w:t>
      </w:r>
    </w:p>
    <w:p w14:paraId="7CB25DB7" w14:textId="77777777" w:rsidR="008A4099" w:rsidRDefault="006A6EE2">
      <w:pPr>
        <w:spacing w:before="21"/>
        <w:ind w:left="160"/>
        <w:jc w:val="both"/>
        <w:rPr>
          <w:sz w:val="18"/>
        </w:rPr>
      </w:pPr>
      <w:r>
        <w:rPr>
          <w:sz w:val="18"/>
          <w:vertAlign w:val="superscript"/>
        </w:rPr>
        <w:t>90</w:t>
      </w:r>
      <w:r>
        <w:rPr>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ss 38,</w:t>
      </w:r>
      <w:r>
        <w:rPr>
          <w:spacing w:val="-1"/>
          <w:sz w:val="18"/>
        </w:rPr>
        <w:t xml:space="preserve"> </w:t>
      </w:r>
      <w:r>
        <w:rPr>
          <w:spacing w:val="-5"/>
          <w:sz w:val="18"/>
        </w:rPr>
        <w:t>41.</w:t>
      </w:r>
    </w:p>
    <w:p w14:paraId="7CB25DB8" w14:textId="77777777" w:rsidR="008A4099" w:rsidRDefault="006A6EE2">
      <w:pPr>
        <w:spacing w:before="24"/>
        <w:ind w:left="160"/>
        <w:jc w:val="both"/>
        <w:rPr>
          <w:sz w:val="18"/>
        </w:rPr>
      </w:pPr>
      <w:r>
        <w:rPr>
          <w:sz w:val="18"/>
          <w:vertAlign w:val="superscript"/>
        </w:rPr>
        <w:t>91</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w:t>
      </w:r>
      <w:r>
        <w:rPr>
          <w:spacing w:val="-1"/>
          <w:sz w:val="18"/>
        </w:rPr>
        <w:t xml:space="preserve"> </w:t>
      </w:r>
      <w:r>
        <w:rPr>
          <w:spacing w:val="-5"/>
          <w:sz w:val="18"/>
        </w:rPr>
        <w:t>8.</w:t>
      </w:r>
    </w:p>
    <w:p w14:paraId="7CB25DB9" w14:textId="77777777" w:rsidR="008A4099" w:rsidRDefault="006A6EE2">
      <w:pPr>
        <w:spacing w:before="23" w:line="242" w:lineRule="auto"/>
        <w:ind w:left="160" w:right="672"/>
        <w:jc w:val="both"/>
        <w:rPr>
          <w:sz w:val="18"/>
        </w:rPr>
      </w:pPr>
      <w:r>
        <w:rPr>
          <w:sz w:val="18"/>
          <w:vertAlign w:val="superscript"/>
        </w:rPr>
        <w:t>92</w:t>
      </w:r>
      <w:r>
        <w:rPr>
          <w:sz w:val="18"/>
        </w:rPr>
        <w:t xml:space="preserve"> The factors that may be relevant to determining whether a limitation on human rights is proportionate are found in s 13(2) of</w:t>
      </w:r>
      <w:r>
        <w:rPr>
          <w:spacing w:val="-3"/>
          <w:sz w:val="18"/>
        </w:rPr>
        <w:t xml:space="preserve"> </w:t>
      </w:r>
      <w:r>
        <w:rPr>
          <w:sz w:val="18"/>
        </w:rPr>
        <w:t>the</w:t>
      </w:r>
      <w:r>
        <w:rPr>
          <w:spacing w:val="-4"/>
          <w:sz w:val="18"/>
        </w:rPr>
        <w:t xml:space="preserve"> </w:t>
      </w:r>
      <w:r>
        <w:rPr>
          <w:i/>
          <w:sz w:val="18"/>
        </w:rPr>
        <w:t>Human</w:t>
      </w:r>
      <w:r>
        <w:rPr>
          <w:i/>
          <w:spacing w:val="-5"/>
          <w:sz w:val="18"/>
        </w:rPr>
        <w:t xml:space="preserve"> </w:t>
      </w:r>
      <w:r>
        <w:rPr>
          <w:i/>
          <w:sz w:val="18"/>
        </w:rPr>
        <w:t>Rights</w:t>
      </w:r>
      <w:r>
        <w:rPr>
          <w:i/>
          <w:spacing w:val="-3"/>
          <w:sz w:val="18"/>
        </w:rPr>
        <w:t xml:space="preserve"> </w:t>
      </w:r>
      <w:r>
        <w:rPr>
          <w:i/>
          <w:sz w:val="18"/>
        </w:rPr>
        <w:t>Act</w:t>
      </w:r>
      <w:r>
        <w:rPr>
          <w:i/>
          <w:spacing w:val="-3"/>
          <w:sz w:val="18"/>
        </w:rPr>
        <w:t xml:space="preserve"> </w:t>
      </w:r>
      <w:r>
        <w:rPr>
          <w:i/>
          <w:sz w:val="18"/>
        </w:rPr>
        <w:t>2019</w:t>
      </w:r>
      <w:r>
        <w:rPr>
          <w:i/>
          <w:spacing w:val="-1"/>
          <w:sz w:val="18"/>
        </w:rPr>
        <w:t xml:space="preserve"> </w:t>
      </w:r>
      <w:r>
        <w:rPr>
          <w:sz w:val="18"/>
        </w:rPr>
        <w:t>(Qld).</w:t>
      </w:r>
      <w:r>
        <w:rPr>
          <w:spacing w:val="-3"/>
          <w:sz w:val="18"/>
        </w:rPr>
        <w:t xml:space="preserve"> </w:t>
      </w:r>
      <w:r>
        <w:rPr>
          <w:sz w:val="18"/>
        </w:rPr>
        <w:t>They</w:t>
      </w:r>
      <w:r>
        <w:rPr>
          <w:spacing w:val="-2"/>
          <w:sz w:val="18"/>
        </w:rPr>
        <w:t xml:space="preserve"> </w:t>
      </w:r>
      <w:r>
        <w:rPr>
          <w:sz w:val="18"/>
        </w:rPr>
        <w:t>include</w:t>
      </w:r>
      <w:r>
        <w:rPr>
          <w:spacing w:val="-4"/>
          <w:sz w:val="18"/>
        </w:rPr>
        <w:t xml:space="preserve"> </w:t>
      </w:r>
      <w:r>
        <w:rPr>
          <w:sz w:val="18"/>
        </w:rPr>
        <w:t>the</w:t>
      </w:r>
      <w:r>
        <w:rPr>
          <w:spacing w:val="-4"/>
          <w:sz w:val="18"/>
        </w:rPr>
        <w:t xml:space="preserve"> </w:t>
      </w:r>
      <w:r>
        <w:rPr>
          <w:sz w:val="18"/>
        </w:rPr>
        <w:t>nature</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right,</w:t>
      </w:r>
      <w:r>
        <w:rPr>
          <w:spacing w:val="-3"/>
          <w:sz w:val="18"/>
        </w:rPr>
        <w:t xml:space="preserve"> </w:t>
      </w:r>
      <w:r>
        <w:rPr>
          <w:sz w:val="18"/>
        </w:rPr>
        <w:t>the</w:t>
      </w:r>
      <w:r>
        <w:rPr>
          <w:spacing w:val="-6"/>
          <w:sz w:val="18"/>
        </w:rPr>
        <w:t xml:space="preserve"> </w:t>
      </w:r>
      <w:r>
        <w:rPr>
          <w:sz w:val="18"/>
        </w:rPr>
        <w:t>purpose</w:t>
      </w:r>
      <w:r>
        <w:rPr>
          <w:spacing w:val="-4"/>
          <w:sz w:val="18"/>
        </w:rPr>
        <w:t xml:space="preserve"> </w:t>
      </w:r>
      <w:r>
        <w:rPr>
          <w:sz w:val="18"/>
        </w:rPr>
        <w:t>of</w:t>
      </w:r>
      <w:r>
        <w:rPr>
          <w:spacing w:val="-6"/>
          <w:sz w:val="18"/>
        </w:rPr>
        <w:t xml:space="preserve"> </w:t>
      </w:r>
      <w:r>
        <w:rPr>
          <w:sz w:val="18"/>
        </w:rPr>
        <w:t>the</w:t>
      </w:r>
      <w:r>
        <w:rPr>
          <w:spacing w:val="-4"/>
          <w:sz w:val="18"/>
        </w:rPr>
        <w:t xml:space="preserve"> </w:t>
      </w:r>
      <w:r>
        <w:rPr>
          <w:sz w:val="18"/>
        </w:rPr>
        <w:t>limitation</w:t>
      </w:r>
      <w:r>
        <w:rPr>
          <w:spacing w:val="-2"/>
          <w:sz w:val="18"/>
        </w:rPr>
        <w:t xml:space="preserve"> </w:t>
      </w:r>
      <w:r>
        <w:rPr>
          <w:sz w:val="18"/>
        </w:rPr>
        <w:t>and</w:t>
      </w:r>
      <w:r>
        <w:rPr>
          <w:spacing w:val="-5"/>
          <w:sz w:val="18"/>
        </w:rPr>
        <w:t xml:space="preserve"> </w:t>
      </w:r>
      <w:r>
        <w:rPr>
          <w:sz w:val="18"/>
        </w:rPr>
        <w:t>how</w:t>
      </w:r>
      <w:r>
        <w:rPr>
          <w:spacing w:val="-4"/>
          <w:sz w:val="18"/>
        </w:rPr>
        <w:t xml:space="preserve"> </w:t>
      </w:r>
      <w:r>
        <w:rPr>
          <w:sz w:val="18"/>
        </w:rPr>
        <w:t>it</w:t>
      </w:r>
      <w:r>
        <w:rPr>
          <w:spacing w:val="-3"/>
          <w:sz w:val="18"/>
        </w:rPr>
        <w:t xml:space="preserve"> </w:t>
      </w:r>
      <w:r>
        <w:rPr>
          <w:sz w:val="18"/>
        </w:rPr>
        <w:t>achieves</w:t>
      </w:r>
      <w:r>
        <w:rPr>
          <w:spacing w:val="-4"/>
          <w:sz w:val="18"/>
        </w:rPr>
        <w:t xml:space="preserve"> </w:t>
      </w:r>
      <w:r>
        <w:rPr>
          <w:sz w:val="18"/>
        </w:rPr>
        <w:t>its purpose,</w:t>
      </w:r>
      <w:r>
        <w:rPr>
          <w:spacing w:val="-6"/>
          <w:sz w:val="18"/>
        </w:rPr>
        <w:t xml:space="preserve"> </w:t>
      </w:r>
      <w:r>
        <w:rPr>
          <w:sz w:val="18"/>
        </w:rPr>
        <w:t>the</w:t>
      </w:r>
      <w:r>
        <w:rPr>
          <w:spacing w:val="-4"/>
          <w:sz w:val="18"/>
        </w:rPr>
        <w:t xml:space="preserve"> </w:t>
      </w:r>
      <w:r>
        <w:rPr>
          <w:sz w:val="18"/>
        </w:rPr>
        <w:t>importance</w:t>
      </w:r>
      <w:r>
        <w:rPr>
          <w:spacing w:val="-4"/>
          <w:sz w:val="18"/>
        </w:rPr>
        <w:t xml:space="preserve"> </w:t>
      </w:r>
      <w:r>
        <w:rPr>
          <w:sz w:val="18"/>
        </w:rPr>
        <w:t>of</w:t>
      </w:r>
      <w:r>
        <w:rPr>
          <w:spacing w:val="-6"/>
          <w:sz w:val="18"/>
        </w:rPr>
        <w:t xml:space="preserve"> </w:t>
      </w:r>
      <w:r>
        <w:rPr>
          <w:sz w:val="18"/>
        </w:rPr>
        <w:t>the</w:t>
      </w:r>
      <w:r>
        <w:rPr>
          <w:spacing w:val="-6"/>
          <w:sz w:val="18"/>
        </w:rPr>
        <w:t xml:space="preserve"> </w:t>
      </w:r>
      <w:r>
        <w:rPr>
          <w:sz w:val="18"/>
        </w:rPr>
        <w:t>purpose</w:t>
      </w:r>
      <w:r>
        <w:rPr>
          <w:spacing w:val="-4"/>
          <w:sz w:val="18"/>
        </w:rPr>
        <w:t xml:space="preserve"> </w:t>
      </w:r>
      <w:r>
        <w:rPr>
          <w:sz w:val="18"/>
        </w:rPr>
        <w:t>and</w:t>
      </w:r>
      <w:r>
        <w:rPr>
          <w:spacing w:val="-3"/>
          <w:sz w:val="18"/>
        </w:rPr>
        <w:t xml:space="preserve"> </w:t>
      </w:r>
      <w:r>
        <w:rPr>
          <w:sz w:val="18"/>
        </w:rPr>
        <w:t>whether</w:t>
      </w:r>
      <w:r>
        <w:rPr>
          <w:spacing w:val="-3"/>
          <w:sz w:val="18"/>
        </w:rPr>
        <w:t xml:space="preserve"> </w:t>
      </w:r>
      <w:r>
        <w:rPr>
          <w:sz w:val="18"/>
        </w:rPr>
        <w:t>there</w:t>
      </w:r>
      <w:r>
        <w:rPr>
          <w:spacing w:val="-4"/>
          <w:sz w:val="18"/>
        </w:rPr>
        <w:t xml:space="preserve"> </w:t>
      </w:r>
      <w:r>
        <w:rPr>
          <w:sz w:val="18"/>
        </w:rPr>
        <w:t>are</w:t>
      </w:r>
      <w:r>
        <w:rPr>
          <w:spacing w:val="-4"/>
          <w:sz w:val="18"/>
        </w:rPr>
        <w:t xml:space="preserve"> </w:t>
      </w:r>
      <w:r>
        <w:rPr>
          <w:sz w:val="18"/>
        </w:rPr>
        <w:t>any</w:t>
      </w:r>
      <w:r>
        <w:rPr>
          <w:spacing w:val="-2"/>
          <w:sz w:val="18"/>
        </w:rPr>
        <w:t xml:space="preserve"> </w:t>
      </w:r>
      <w:r>
        <w:rPr>
          <w:sz w:val="18"/>
        </w:rPr>
        <w:t>less</w:t>
      </w:r>
      <w:r>
        <w:rPr>
          <w:spacing w:val="-4"/>
          <w:sz w:val="18"/>
        </w:rPr>
        <w:t xml:space="preserve"> </w:t>
      </w:r>
      <w:r>
        <w:rPr>
          <w:sz w:val="18"/>
        </w:rPr>
        <w:t>restrictive</w:t>
      </w:r>
      <w:r>
        <w:rPr>
          <w:spacing w:val="-5"/>
          <w:sz w:val="18"/>
        </w:rPr>
        <w:t xml:space="preserve"> </w:t>
      </w:r>
      <w:r>
        <w:rPr>
          <w:sz w:val="18"/>
        </w:rPr>
        <w:t>and</w:t>
      </w:r>
      <w:r>
        <w:rPr>
          <w:spacing w:val="-5"/>
          <w:sz w:val="18"/>
        </w:rPr>
        <w:t xml:space="preserve"> </w:t>
      </w:r>
      <w:r>
        <w:rPr>
          <w:sz w:val="18"/>
        </w:rPr>
        <w:t>reasonably</w:t>
      </w:r>
      <w:r>
        <w:rPr>
          <w:spacing w:val="-2"/>
          <w:sz w:val="18"/>
        </w:rPr>
        <w:t xml:space="preserve"> </w:t>
      </w:r>
      <w:r>
        <w:rPr>
          <w:sz w:val="18"/>
        </w:rPr>
        <w:t>available</w:t>
      </w:r>
      <w:r>
        <w:rPr>
          <w:spacing w:val="-4"/>
          <w:sz w:val="18"/>
        </w:rPr>
        <w:t xml:space="preserve"> </w:t>
      </w:r>
      <w:r>
        <w:rPr>
          <w:sz w:val="18"/>
        </w:rPr>
        <w:t>ways</w:t>
      </w:r>
      <w:r>
        <w:rPr>
          <w:spacing w:val="-4"/>
          <w:sz w:val="18"/>
        </w:rPr>
        <w:t xml:space="preserve"> </w:t>
      </w:r>
      <w:r>
        <w:rPr>
          <w:sz w:val="18"/>
        </w:rPr>
        <w:t>to</w:t>
      </w:r>
      <w:r>
        <w:rPr>
          <w:spacing w:val="-4"/>
          <w:sz w:val="18"/>
        </w:rPr>
        <w:t xml:space="preserve"> </w:t>
      </w:r>
      <w:r>
        <w:rPr>
          <w:sz w:val="18"/>
        </w:rPr>
        <w:t>achieve</w:t>
      </w:r>
      <w:r>
        <w:rPr>
          <w:spacing w:val="-4"/>
          <w:sz w:val="18"/>
        </w:rPr>
        <w:t xml:space="preserve"> </w:t>
      </w:r>
      <w:r>
        <w:rPr>
          <w:spacing w:val="-5"/>
          <w:sz w:val="18"/>
        </w:rPr>
        <w:t>the</w:t>
      </w:r>
    </w:p>
    <w:p w14:paraId="7CB25DBA"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DBB" w14:textId="77777777" w:rsidR="008A4099" w:rsidRDefault="008A4099">
      <w:pPr>
        <w:pStyle w:val="BodyText"/>
        <w:spacing w:before="194"/>
      </w:pPr>
    </w:p>
    <w:p w14:paraId="7CB25DBC" w14:textId="77777777" w:rsidR="008A4099" w:rsidRDefault="006A6EE2">
      <w:pPr>
        <w:pStyle w:val="ListParagraph"/>
        <w:numPr>
          <w:ilvl w:val="2"/>
          <w:numId w:val="9"/>
        </w:numPr>
        <w:tabs>
          <w:tab w:val="left" w:pos="879"/>
        </w:tabs>
        <w:spacing w:before="1"/>
        <w:ind w:right="674" w:firstLine="0"/>
        <w:jc w:val="both"/>
        <w:rPr>
          <w:sz w:val="13"/>
        </w:rPr>
      </w:pPr>
      <w:r>
        <w:t>In</w:t>
      </w:r>
      <w:r>
        <w:rPr>
          <w:spacing w:val="-14"/>
        </w:rPr>
        <w:t xml:space="preserve"> </w:t>
      </w:r>
      <w:r>
        <w:t>exceptional</w:t>
      </w:r>
      <w:r>
        <w:rPr>
          <w:spacing w:val="-14"/>
        </w:rPr>
        <w:t xml:space="preserve"> </w:t>
      </w:r>
      <w:r>
        <w:t>circumstances,</w:t>
      </w:r>
      <w:r>
        <w:rPr>
          <w:spacing w:val="-14"/>
        </w:rPr>
        <w:t xml:space="preserve"> </w:t>
      </w:r>
      <w:r>
        <w:t>Parliament</w:t>
      </w:r>
      <w:r>
        <w:rPr>
          <w:spacing w:val="-13"/>
        </w:rPr>
        <w:t xml:space="preserve"> </w:t>
      </w:r>
      <w:r>
        <w:t>may</w:t>
      </w:r>
      <w:r>
        <w:rPr>
          <w:spacing w:val="-14"/>
        </w:rPr>
        <w:t xml:space="preserve"> </w:t>
      </w:r>
      <w:r>
        <w:t>make</w:t>
      </w:r>
      <w:r>
        <w:rPr>
          <w:spacing w:val="-14"/>
        </w:rPr>
        <w:t xml:space="preserve"> </w:t>
      </w:r>
      <w:r>
        <w:t>an</w:t>
      </w:r>
      <w:r>
        <w:rPr>
          <w:spacing w:val="-14"/>
        </w:rPr>
        <w:t xml:space="preserve"> </w:t>
      </w:r>
      <w:r>
        <w:t>‘override</w:t>
      </w:r>
      <w:r>
        <w:rPr>
          <w:spacing w:val="-13"/>
        </w:rPr>
        <w:t xml:space="preserve"> </w:t>
      </w:r>
      <w:r>
        <w:t>declaration’,</w:t>
      </w:r>
      <w:r>
        <w:rPr>
          <w:spacing w:val="-14"/>
        </w:rPr>
        <w:t xml:space="preserve"> </w:t>
      </w:r>
      <w:r>
        <w:t>exempting</w:t>
      </w:r>
      <w:r>
        <w:rPr>
          <w:spacing w:val="-14"/>
        </w:rPr>
        <w:t xml:space="preserve"> </w:t>
      </w:r>
      <w:r>
        <w:t>a</w:t>
      </w:r>
      <w:r>
        <w:rPr>
          <w:spacing w:val="-14"/>
        </w:rPr>
        <w:t xml:space="preserve"> </w:t>
      </w:r>
      <w:r>
        <w:t xml:space="preserve">law, or part of a law, from the application of the </w:t>
      </w:r>
      <w:r>
        <w:rPr>
          <w:i/>
        </w:rPr>
        <w:t xml:space="preserve">Human Rights Act 2019 </w:t>
      </w:r>
      <w:r>
        <w:t>(Qld) for a period of up to five years. Override declarations may be re-enacted at the conclusion of the five years.</w:t>
      </w:r>
      <w:r>
        <w:rPr>
          <w:position w:val="7"/>
          <w:sz w:val="13"/>
        </w:rPr>
        <w:t>93</w:t>
      </w:r>
    </w:p>
    <w:p w14:paraId="7CB25DBD" w14:textId="77777777" w:rsidR="008A4099" w:rsidRDefault="006A6EE2">
      <w:pPr>
        <w:pStyle w:val="ListParagraph"/>
        <w:numPr>
          <w:ilvl w:val="2"/>
          <w:numId w:val="9"/>
        </w:numPr>
        <w:tabs>
          <w:tab w:val="left" w:pos="879"/>
        </w:tabs>
        <w:spacing w:before="217"/>
        <w:ind w:right="675" w:firstLine="0"/>
        <w:jc w:val="both"/>
        <w:rPr>
          <w:sz w:val="13"/>
        </w:rPr>
      </w:pPr>
      <w:r>
        <w:t xml:space="preserve">The </w:t>
      </w:r>
      <w:r>
        <w:rPr>
          <w:i/>
        </w:rPr>
        <w:t xml:space="preserve">Human Rights Act 2019 </w:t>
      </w:r>
      <w:r>
        <w:t>(Qld) requires that all legislation</w:t>
      </w:r>
      <w:r>
        <w:rPr>
          <w:position w:val="7"/>
          <w:sz w:val="13"/>
        </w:rPr>
        <w:t xml:space="preserve">94 </w:t>
      </w:r>
      <w:r>
        <w:t>be interpreted in a way that is compatible,</w:t>
      </w:r>
      <w:r>
        <w:rPr>
          <w:spacing w:val="-4"/>
        </w:rPr>
        <w:t xml:space="preserve"> </w:t>
      </w:r>
      <w:r>
        <w:t>or</w:t>
      </w:r>
      <w:r>
        <w:rPr>
          <w:spacing w:val="-4"/>
        </w:rPr>
        <w:t xml:space="preserve"> </w:t>
      </w:r>
      <w:r>
        <w:t>most</w:t>
      </w:r>
      <w:r>
        <w:rPr>
          <w:spacing w:val="-3"/>
        </w:rPr>
        <w:t xml:space="preserve"> </w:t>
      </w:r>
      <w:r>
        <w:t>compatible,</w:t>
      </w:r>
      <w:r>
        <w:rPr>
          <w:spacing w:val="-4"/>
        </w:rPr>
        <w:t xml:space="preserve"> </w:t>
      </w:r>
      <w:r>
        <w:t>with</w:t>
      </w:r>
      <w:r>
        <w:rPr>
          <w:spacing w:val="-5"/>
        </w:rPr>
        <w:t xml:space="preserve"> </w:t>
      </w:r>
      <w:r>
        <w:t>human</w:t>
      </w:r>
      <w:r>
        <w:rPr>
          <w:spacing w:val="-4"/>
        </w:rPr>
        <w:t xml:space="preserve"> </w:t>
      </w:r>
      <w:r>
        <w:t>rights</w:t>
      </w:r>
      <w:r>
        <w:rPr>
          <w:spacing w:val="-4"/>
        </w:rPr>
        <w:t xml:space="preserve"> </w:t>
      </w:r>
      <w:r>
        <w:t>and</w:t>
      </w:r>
      <w:r>
        <w:rPr>
          <w:spacing w:val="-6"/>
        </w:rPr>
        <w:t xml:space="preserve"> </w:t>
      </w:r>
      <w:r>
        <w:t>consistent</w:t>
      </w:r>
      <w:r>
        <w:rPr>
          <w:spacing w:val="-4"/>
        </w:rPr>
        <w:t xml:space="preserve"> </w:t>
      </w:r>
      <w:r>
        <w:t>with</w:t>
      </w:r>
      <w:r>
        <w:rPr>
          <w:spacing w:val="-5"/>
        </w:rPr>
        <w:t xml:space="preserve"> </w:t>
      </w:r>
      <w:r>
        <w:t>the</w:t>
      </w:r>
      <w:r>
        <w:rPr>
          <w:spacing w:val="-4"/>
        </w:rPr>
        <w:t xml:space="preserve"> </w:t>
      </w:r>
      <w:r>
        <w:t>purpose</w:t>
      </w:r>
      <w:r>
        <w:rPr>
          <w:spacing w:val="-6"/>
        </w:rPr>
        <w:t xml:space="preserve"> </w:t>
      </w:r>
      <w:r>
        <w:t>of</w:t>
      </w:r>
      <w:r>
        <w:rPr>
          <w:spacing w:val="-4"/>
        </w:rPr>
        <w:t xml:space="preserve"> </w:t>
      </w:r>
      <w:r>
        <w:t>the</w:t>
      </w:r>
      <w:r>
        <w:rPr>
          <w:spacing w:val="-4"/>
        </w:rPr>
        <w:t xml:space="preserve"> </w:t>
      </w:r>
      <w:r>
        <w:t>legislation.</w:t>
      </w:r>
      <w:r>
        <w:rPr>
          <w:position w:val="7"/>
          <w:sz w:val="13"/>
        </w:rPr>
        <w:t>95</w:t>
      </w:r>
      <w:r>
        <w:rPr>
          <w:spacing w:val="40"/>
          <w:position w:val="7"/>
          <w:sz w:val="13"/>
        </w:rPr>
        <w:t xml:space="preserve"> </w:t>
      </w:r>
      <w:r>
        <w:t>If</w:t>
      </w:r>
      <w:r>
        <w:rPr>
          <w:spacing w:val="-4"/>
        </w:rPr>
        <w:t xml:space="preserve"> </w:t>
      </w:r>
      <w:r>
        <w:t>the</w:t>
      </w:r>
      <w:r>
        <w:rPr>
          <w:spacing w:val="-4"/>
        </w:rPr>
        <w:t xml:space="preserve"> </w:t>
      </w:r>
      <w:r>
        <w:t>Supreme</w:t>
      </w:r>
      <w:r>
        <w:rPr>
          <w:spacing w:val="-4"/>
        </w:rPr>
        <w:t xml:space="preserve"> </w:t>
      </w:r>
      <w:r>
        <w:t>Court</w:t>
      </w:r>
      <w:r>
        <w:rPr>
          <w:spacing w:val="-4"/>
        </w:rPr>
        <w:t xml:space="preserve"> </w:t>
      </w:r>
      <w:r>
        <w:t>or</w:t>
      </w:r>
      <w:r>
        <w:rPr>
          <w:spacing w:val="-4"/>
        </w:rPr>
        <w:t xml:space="preserve"> </w:t>
      </w:r>
      <w:r>
        <w:t>Court</w:t>
      </w:r>
      <w:r>
        <w:rPr>
          <w:spacing w:val="-4"/>
        </w:rPr>
        <w:t xml:space="preserve"> </w:t>
      </w:r>
      <w:r>
        <w:t>of</w:t>
      </w:r>
      <w:r>
        <w:rPr>
          <w:spacing w:val="-4"/>
        </w:rPr>
        <w:t xml:space="preserve"> </w:t>
      </w:r>
      <w:r>
        <w:t>Appeal</w:t>
      </w:r>
      <w:r>
        <w:rPr>
          <w:spacing w:val="-4"/>
        </w:rPr>
        <w:t xml:space="preserve"> </w:t>
      </w:r>
      <w:r>
        <w:t>determines</w:t>
      </w:r>
      <w:r>
        <w:rPr>
          <w:spacing w:val="-4"/>
        </w:rPr>
        <w:t xml:space="preserve"> </w:t>
      </w:r>
      <w:r>
        <w:t>that</w:t>
      </w:r>
      <w:r>
        <w:rPr>
          <w:spacing w:val="-4"/>
        </w:rPr>
        <w:t xml:space="preserve"> </w:t>
      </w:r>
      <w:r>
        <w:t>legislation</w:t>
      </w:r>
      <w:r>
        <w:rPr>
          <w:spacing w:val="-5"/>
        </w:rPr>
        <w:t xml:space="preserve"> </w:t>
      </w:r>
      <w:r>
        <w:t>cannot</w:t>
      </w:r>
      <w:r>
        <w:rPr>
          <w:spacing w:val="-4"/>
        </w:rPr>
        <w:t xml:space="preserve"> </w:t>
      </w:r>
      <w:r>
        <w:t>be</w:t>
      </w:r>
      <w:r>
        <w:rPr>
          <w:spacing w:val="-4"/>
        </w:rPr>
        <w:t xml:space="preserve"> </w:t>
      </w:r>
      <w:r>
        <w:t>interpreted</w:t>
      </w:r>
      <w:r>
        <w:rPr>
          <w:spacing w:val="-7"/>
        </w:rPr>
        <w:t xml:space="preserve"> </w:t>
      </w:r>
      <w:r>
        <w:t>in</w:t>
      </w:r>
      <w:r>
        <w:rPr>
          <w:spacing w:val="-5"/>
        </w:rPr>
        <w:t xml:space="preserve"> </w:t>
      </w:r>
      <w:r>
        <w:t>a</w:t>
      </w:r>
      <w:r>
        <w:rPr>
          <w:spacing w:val="-4"/>
        </w:rPr>
        <w:t xml:space="preserve"> </w:t>
      </w:r>
      <w:r>
        <w:t>way</w:t>
      </w:r>
      <w:r>
        <w:rPr>
          <w:spacing w:val="-7"/>
        </w:rPr>
        <w:t xml:space="preserve"> </w:t>
      </w:r>
      <w:r>
        <w:t>that is</w:t>
      </w:r>
      <w:r>
        <w:rPr>
          <w:spacing w:val="-11"/>
        </w:rPr>
        <w:t xml:space="preserve"> </w:t>
      </w:r>
      <w:r>
        <w:t>compatible</w:t>
      </w:r>
      <w:r>
        <w:rPr>
          <w:spacing w:val="-12"/>
        </w:rPr>
        <w:t xml:space="preserve"> </w:t>
      </w:r>
      <w:r>
        <w:t>with</w:t>
      </w:r>
      <w:r>
        <w:rPr>
          <w:spacing w:val="-10"/>
        </w:rPr>
        <w:t xml:space="preserve"> </w:t>
      </w:r>
      <w:r>
        <w:t>human</w:t>
      </w:r>
      <w:r>
        <w:rPr>
          <w:spacing w:val="-12"/>
        </w:rPr>
        <w:t xml:space="preserve"> </w:t>
      </w:r>
      <w:r>
        <w:t>rights,</w:t>
      </w:r>
      <w:r>
        <w:rPr>
          <w:spacing w:val="-12"/>
        </w:rPr>
        <w:t xml:space="preserve"> </w:t>
      </w:r>
      <w:r>
        <w:t>it</w:t>
      </w:r>
      <w:r>
        <w:rPr>
          <w:spacing w:val="-11"/>
        </w:rPr>
        <w:t xml:space="preserve"> </w:t>
      </w:r>
      <w:r>
        <w:t>can</w:t>
      </w:r>
      <w:r>
        <w:rPr>
          <w:spacing w:val="-12"/>
        </w:rPr>
        <w:t xml:space="preserve"> </w:t>
      </w:r>
      <w:r>
        <w:t>make</w:t>
      </w:r>
      <w:r>
        <w:rPr>
          <w:spacing w:val="-11"/>
        </w:rPr>
        <w:t xml:space="preserve"> </w:t>
      </w:r>
      <w:r>
        <w:t>a</w:t>
      </w:r>
      <w:r>
        <w:rPr>
          <w:spacing w:val="-12"/>
        </w:rPr>
        <w:t xml:space="preserve"> </w:t>
      </w:r>
      <w:r>
        <w:t>declaration</w:t>
      </w:r>
      <w:r>
        <w:rPr>
          <w:spacing w:val="-10"/>
        </w:rPr>
        <w:t xml:space="preserve"> </w:t>
      </w:r>
      <w:r>
        <w:t>of</w:t>
      </w:r>
      <w:r>
        <w:rPr>
          <w:spacing w:val="-11"/>
        </w:rPr>
        <w:t xml:space="preserve"> </w:t>
      </w:r>
      <w:r>
        <w:t>incompatibility.</w:t>
      </w:r>
      <w:r>
        <w:rPr>
          <w:position w:val="7"/>
          <w:sz w:val="13"/>
        </w:rPr>
        <w:t>96</w:t>
      </w:r>
      <w:r>
        <w:rPr>
          <w:spacing w:val="-5"/>
          <w:position w:val="7"/>
          <w:sz w:val="13"/>
        </w:rPr>
        <w:t xml:space="preserve"> </w:t>
      </w:r>
      <w:r>
        <w:t>The</w:t>
      </w:r>
      <w:r>
        <w:rPr>
          <w:spacing w:val="-12"/>
        </w:rPr>
        <w:t xml:space="preserve"> </w:t>
      </w:r>
      <w:r>
        <w:t>Queensland</w:t>
      </w:r>
      <w:r>
        <w:rPr>
          <w:spacing w:val="-12"/>
        </w:rPr>
        <w:t xml:space="preserve"> </w:t>
      </w:r>
      <w:r>
        <w:t>Human Rights Commission and the Attorney-General must be given a reasonable opportunity to intervene or make</w:t>
      </w:r>
      <w:r>
        <w:rPr>
          <w:spacing w:val="-14"/>
        </w:rPr>
        <w:t xml:space="preserve"> </w:t>
      </w:r>
      <w:r>
        <w:t>submissions</w:t>
      </w:r>
      <w:r>
        <w:rPr>
          <w:spacing w:val="-14"/>
        </w:rPr>
        <w:t xml:space="preserve"> </w:t>
      </w:r>
      <w:r>
        <w:t>about</w:t>
      </w:r>
      <w:r>
        <w:rPr>
          <w:spacing w:val="-14"/>
        </w:rPr>
        <w:t xml:space="preserve"> </w:t>
      </w:r>
      <w:r>
        <w:t>a</w:t>
      </w:r>
      <w:r>
        <w:rPr>
          <w:spacing w:val="-13"/>
        </w:rPr>
        <w:t xml:space="preserve"> </w:t>
      </w:r>
      <w:r>
        <w:t>proposed</w:t>
      </w:r>
      <w:r>
        <w:rPr>
          <w:spacing w:val="-14"/>
        </w:rPr>
        <w:t xml:space="preserve"> </w:t>
      </w:r>
      <w:r>
        <w:t>declaration</w:t>
      </w:r>
      <w:r>
        <w:rPr>
          <w:spacing w:val="-14"/>
        </w:rPr>
        <w:t xml:space="preserve"> </w:t>
      </w:r>
      <w:r>
        <w:t>of</w:t>
      </w:r>
      <w:r>
        <w:rPr>
          <w:spacing w:val="-14"/>
        </w:rPr>
        <w:t xml:space="preserve"> </w:t>
      </w:r>
      <w:r>
        <w:t>incompatibility.</w:t>
      </w:r>
      <w:r>
        <w:rPr>
          <w:position w:val="7"/>
          <w:sz w:val="13"/>
        </w:rPr>
        <w:t>97</w:t>
      </w:r>
      <w:r>
        <w:rPr>
          <w:spacing w:val="-8"/>
          <w:position w:val="7"/>
          <w:sz w:val="13"/>
        </w:rPr>
        <w:t xml:space="preserve"> </w:t>
      </w:r>
      <w:r>
        <w:t>If</w:t>
      </w:r>
      <w:r>
        <w:rPr>
          <w:spacing w:val="-14"/>
        </w:rPr>
        <w:t xml:space="preserve"> </w:t>
      </w:r>
      <w:r>
        <w:t>a</w:t>
      </w:r>
      <w:r>
        <w:rPr>
          <w:spacing w:val="-13"/>
        </w:rPr>
        <w:t xml:space="preserve"> </w:t>
      </w:r>
      <w:r>
        <w:t>declaration</w:t>
      </w:r>
      <w:r>
        <w:rPr>
          <w:spacing w:val="-14"/>
        </w:rPr>
        <w:t xml:space="preserve"> </w:t>
      </w:r>
      <w:r>
        <w:t>is</w:t>
      </w:r>
      <w:r>
        <w:rPr>
          <w:spacing w:val="-14"/>
        </w:rPr>
        <w:t xml:space="preserve"> </w:t>
      </w:r>
      <w:r>
        <w:t>made,</w:t>
      </w:r>
      <w:r>
        <w:rPr>
          <w:spacing w:val="-14"/>
        </w:rPr>
        <w:t xml:space="preserve"> </w:t>
      </w:r>
      <w:r>
        <w:t>Parliament is advised, but the declaration does not have the effect of invalidating the legislation.</w:t>
      </w:r>
      <w:r>
        <w:rPr>
          <w:position w:val="7"/>
          <w:sz w:val="13"/>
        </w:rPr>
        <w:t>98</w:t>
      </w:r>
    </w:p>
    <w:p w14:paraId="7CB25DBE" w14:textId="77777777" w:rsidR="008A4099" w:rsidRDefault="006A6EE2">
      <w:pPr>
        <w:pStyle w:val="ListParagraph"/>
        <w:numPr>
          <w:ilvl w:val="2"/>
          <w:numId w:val="9"/>
        </w:numPr>
        <w:tabs>
          <w:tab w:val="left" w:pos="879"/>
        </w:tabs>
        <w:spacing w:before="214"/>
        <w:ind w:right="678" w:firstLine="0"/>
        <w:jc w:val="both"/>
        <w:rPr>
          <w:sz w:val="13"/>
        </w:rPr>
      </w:pPr>
      <w:r>
        <w:t>As in Victoria and the ACT, the Qld Human Rights Act requires courts and tribunals to act consistently with human rights in performing administrative functions but exempts courts from the public entity obligations when performing judicial functions.</w:t>
      </w:r>
      <w:r>
        <w:rPr>
          <w:position w:val="7"/>
          <w:sz w:val="13"/>
        </w:rPr>
        <w:t xml:space="preserve">99 </w:t>
      </w:r>
      <w:r>
        <w:t>As with Victoria, there is provision for the direct application of certain human rights to the courts.</w:t>
      </w:r>
      <w:r>
        <w:rPr>
          <w:position w:val="7"/>
          <w:sz w:val="13"/>
        </w:rPr>
        <w:t>100</w:t>
      </w:r>
    </w:p>
    <w:p w14:paraId="7CB25DBF" w14:textId="77777777" w:rsidR="008A4099" w:rsidRDefault="006A6EE2">
      <w:pPr>
        <w:pStyle w:val="ListParagraph"/>
        <w:numPr>
          <w:ilvl w:val="2"/>
          <w:numId w:val="9"/>
        </w:numPr>
        <w:tabs>
          <w:tab w:val="left" w:pos="879"/>
        </w:tabs>
        <w:spacing w:before="217"/>
        <w:ind w:right="673" w:firstLine="0"/>
        <w:jc w:val="both"/>
        <w:rPr>
          <w:sz w:val="13"/>
        </w:rPr>
      </w:pPr>
      <w:r>
        <w:t>The</w:t>
      </w:r>
      <w:r>
        <w:rPr>
          <w:spacing w:val="-9"/>
        </w:rPr>
        <w:t xml:space="preserve"> </w:t>
      </w:r>
      <w:r>
        <w:t>Qld</w:t>
      </w:r>
      <w:r>
        <w:rPr>
          <w:spacing w:val="-9"/>
        </w:rPr>
        <w:t xml:space="preserve"> </w:t>
      </w:r>
      <w:r>
        <w:t>Human</w:t>
      </w:r>
      <w:r>
        <w:rPr>
          <w:spacing w:val="-8"/>
        </w:rPr>
        <w:t xml:space="preserve"> </w:t>
      </w:r>
      <w:r>
        <w:t>Rights</w:t>
      </w:r>
      <w:r>
        <w:rPr>
          <w:spacing w:val="-7"/>
        </w:rPr>
        <w:t xml:space="preserve"> </w:t>
      </w:r>
      <w:r>
        <w:t>Act</w:t>
      </w:r>
      <w:r>
        <w:rPr>
          <w:spacing w:val="-10"/>
        </w:rPr>
        <w:t xml:space="preserve"> </w:t>
      </w:r>
      <w:r>
        <w:t>does</w:t>
      </w:r>
      <w:r>
        <w:rPr>
          <w:spacing w:val="-8"/>
        </w:rPr>
        <w:t xml:space="preserve"> </w:t>
      </w:r>
      <w:r>
        <w:t>not</w:t>
      </w:r>
      <w:r>
        <w:rPr>
          <w:spacing w:val="-8"/>
        </w:rPr>
        <w:t xml:space="preserve"> </w:t>
      </w:r>
      <w:r>
        <w:t>provide</w:t>
      </w:r>
      <w:r>
        <w:rPr>
          <w:spacing w:val="-11"/>
        </w:rPr>
        <w:t xml:space="preserve"> </w:t>
      </w:r>
      <w:r>
        <w:t>a</w:t>
      </w:r>
      <w:r>
        <w:rPr>
          <w:spacing w:val="-8"/>
        </w:rPr>
        <w:t xml:space="preserve"> </w:t>
      </w:r>
      <w:r>
        <w:t>direct</w:t>
      </w:r>
      <w:r>
        <w:rPr>
          <w:spacing w:val="-8"/>
        </w:rPr>
        <w:t xml:space="preserve"> </w:t>
      </w:r>
      <w:r>
        <w:t>right</w:t>
      </w:r>
      <w:r>
        <w:rPr>
          <w:spacing w:val="-8"/>
        </w:rPr>
        <w:t xml:space="preserve"> </w:t>
      </w:r>
      <w:r>
        <w:t>of</w:t>
      </w:r>
      <w:r>
        <w:rPr>
          <w:spacing w:val="-8"/>
        </w:rPr>
        <w:t xml:space="preserve"> </w:t>
      </w:r>
      <w:r>
        <w:t>action,</w:t>
      </w:r>
      <w:r>
        <w:rPr>
          <w:spacing w:val="-8"/>
        </w:rPr>
        <w:t xml:space="preserve"> </w:t>
      </w:r>
      <w:r>
        <w:t>where</w:t>
      </w:r>
      <w:r>
        <w:rPr>
          <w:spacing w:val="-8"/>
        </w:rPr>
        <w:t xml:space="preserve"> </w:t>
      </w:r>
      <w:r>
        <w:t>a</w:t>
      </w:r>
      <w:r>
        <w:rPr>
          <w:spacing w:val="-8"/>
        </w:rPr>
        <w:t xml:space="preserve"> </w:t>
      </w:r>
      <w:r>
        <w:t>person</w:t>
      </w:r>
      <w:r>
        <w:rPr>
          <w:spacing w:val="-11"/>
        </w:rPr>
        <w:t xml:space="preserve"> </w:t>
      </w:r>
      <w:r>
        <w:t>claims</w:t>
      </w:r>
      <w:r>
        <w:rPr>
          <w:spacing w:val="-8"/>
        </w:rPr>
        <w:t xml:space="preserve"> </w:t>
      </w:r>
      <w:r>
        <w:t>that a public authority has breached their human rights. However, where a separate legal right of action exists</w:t>
      </w:r>
      <w:r>
        <w:rPr>
          <w:spacing w:val="-2"/>
        </w:rPr>
        <w:t xml:space="preserve"> </w:t>
      </w:r>
      <w:r>
        <w:t>under</w:t>
      </w:r>
      <w:r>
        <w:rPr>
          <w:spacing w:val="-1"/>
        </w:rPr>
        <w:t xml:space="preserve"> </w:t>
      </w:r>
      <w:r>
        <w:t>other</w:t>
      </w:r>
      <w:r>
        <w:rPr>
          <w:spacing w:val="-2"/>
        </w:rPr>
        <w:t xml:space="preserve"> </w:t>
      </w:r>
      <w:r>
        <w:t>legislation</w:t>
      </w:r>
      <w:r>
        <w:rPr>
          <w:spacing w:val="-2"/>
        </w:rPr>
        <w:t xml:space="preserve"> </w:t>
      </w:r>
      <w:r>
        <w:t>or</w:t>
      </w:r>
      <w:r>
        <w:rPr>
          <w:spacing w:val="-2"/>
        </w:rPr>
        <w:t xml:space="preserve"> </w:t>
      </w:r>
      <w:r>
        <w:t>common</w:t>
      </w:r>
      <w:r>
        <w:rPr>
          <w:spacing w:val="-2"/>
        </w:rPr>
        <w:t xml:space="preserve"> </w:t>
      </w:r>
      <w:r>
        <w:t>law,</w:t>
      </w:r>
      <w:r>
        <w:rPr>
          <w:spacing w:val="-2"/>
        </w:rPr>
        <w:t xml:space="preserve"> </w:t>
      </w:r>
      <w:r>
        <w:t>an</w:t>
      </w:r>
      <w:r>
        <w:rPr>
          <w:spacing w:val="-2"/>
        </w:rPr>
        <w:t xml:space="preserve"> </w:t>
      </w:r>
      <w:r>
        <w:t>applicant</w:t>
      </w:r>
      <w:r>
        <w:rPr>
          <w:spacing w:val="-4"/>
        </w:rPr>
        <w:t xml:space="preserve"> </w:t>
      </w:r>
      <w:r>
        <w:t>may</w:t>
      </w:r>
      <w:r>
        <w:rPr>
          <w:spacing w:val="-4"/>
        </w:rPr>
        <w:t xml:space="preserve"> </w:t>
      </w:r>
      <w:r>
        <w:t>also</w:t>
      </w:r>
      <w:r>
        <w:rPr>
          <w:spacing w:val="-2"/>
        </w:rPr>
        <w:t xml:space="preserve"> </w:t>
      </w:r>
      <w:r>
        <w:t>raise</w:t>
      </w:r>
      <w:r>
        <w:rPr>
          <w:spacing w:val="-4"/>
        </w:rPr>
        <w:t xml:space="preserve"> </w:t>
      </w:r>
      <w:r>
        <w:t>incompatibility</w:t>
      </w:r>
      <w:r>
        <w:rPr>
          <w:spacing w:val="-2"/>
        </w:rPr>
        <w:t xml:space="preserve"> </w:t>
      </w:r>
      <w:r>
        <w:t>with</w:t>
      </w:r>
      <w:r>
        <w:rPr>
          <w:spacing w:val="-2"/>
        </w:rPr>
        <w:t xml:space="preserve"> </w:t>
      </w:r>
      <w:r>
        <w:t>the</w:t>
      </w:r>
      <w:r>
        <w:rPr>
          <w:spacing w:val="-2"/>
        </w:rPr>
        <w:t xml:space="preserve"> </w:t>
      </w:r>
      <w:r>
        <w:t>Qld Human</w:t>
      </w:r>
      <w:r>
        <w:rPr>
          <w:spacing w:val="-14"/>
        </w:rPr>
        <w:t xml:space="preserve"> </w:t>
      </w:r>
      <w:r>
        <w:t>Rights</w:t>
      </w:r>
      <w:r>
        <w:rPr>
          <w:spacing w:val="-14"/>
        </w:rPr>
        <w:t xml:space="preserve"> </w:t>
      </w:r>
      <w:r>
        <w:t>Act.</w:t>
      </w:r>
      <w:r>
        <w:rPr>
          <w:position w:val="7"/>
          <w:sz w:val="13"/>
        </w:rPr>
        <w:t>101</w:t>
      </w:r>
      <w:r>
        <w:rPr>
          <w:spacing w:val="-8"/>
          <w:position w:val="7"/>
          <w:sz w:val="13"/>
        </w:rPr>
        <w:t xml:space="preserve"> </w:t>
      </w:r>
      <w:r>
        <w:t>Like</w:t>
      </w:r>
      <w:r>
        <w:rPr>
          <w:spacing w:val="-14"/>
        </w:rPr>
        <w:t xml:space="preserve"> </w:t>
      </w:r>
      <w:r>
        <w:t>the</w:t>
      </w:r>
      <w:r>
        <w:rPr>
          <w:spacing w:val="-14"/>
        </w:rPr>
        <w:t xml:space="preserve"> </w:t>
      </w:r>
      <w:r>
        <w:rPr>
          <w:i/>
        </w:rPr>
        <w:t>Charter</w:t>
      </w:r>
      <w:r>
        <w:rPr>
          <w:i/>
          <w:spacing w:val="-13"/>
        </w:rPr>
        <w:t xml:space="preserve"> </w:t>
      </w:r>
      <w:r>
        <w:rPr>
          <w:i/>
        </w:rPr>
        <w:t>of</w:t>
      </w:r>
      <w:r>
        <w:rPr>
          <w:i/>
          <w:spacing w:val="-14"/>
        </w:rPr>
        <w:t xml:space="preserve"> </w:t>
      </w:r>
      <w:r>
        <w:rPr>
          <w:i/>
        </w:rPr>
        <w:t>Human</w:t>
      </w:r>
      <w:r>
        <w:rPr>
          <w:i/>
          <w:spacing w:val="-14"/>
        </w:rPr>
        <w:t xml:space="preserve"> </w:t>
      </w:r>
      <w:r>
        <w:rPr>
          <w:i/>
        </w:rPr>
        <w:t>Rights</w:t>
      </w:r>
      <w:r>
        <w:rPr>
          <w:i/>
          <w:spacing w:val="-14"/>
        </w:rPr>
        <w:t xml:space="preserve"> </w:t>
      </w:r>
      <w:r>
        <w:rPr>
          <w:i/>
        </w:rPr>
        <w:t>and</w:t>
      </w:r>
      <w:r>
        <w:rPr>
          <w:i/>
          <w:spacing w:val="-13"/>
        </w:rPr>
        <w:t xml:space="preserve"> </w:t>
      </w:r>
      <w:r>
        <w:rPr>
          <w:i/>
        </w:rPr>
        <w:t>Responsibilities</w:t>
      </w:r>
      <w:r>
        <w:rPr>
          <w:i/>
          <w:spacing w:val="-14"/>
        </w:rPr>
        <w:t xml:space="preserve"> </w:t>
      </w:r>
      <w:r>
        <w:rPr>
          <w:i/>
        </w:rPr>
        <w:t>2006</w:t>
      </w:r>
      <w:r>
        <w:rPr>
          <w:i/>
          <w:spacing w:val="-14"/>
        </w:rPr>
        <w:t xml:space="preserve"> </w:t>
      </w:r>
      <w:r>
        <w:t>(Vic)</w:t>
      </w:r>
      <w:r>
        <w:rPr>
          <w:spacing w:val="-14"/>
        </w:rPr>
        <w:t xml:space="preserve"> </w:t>
      </w:r>
      <w:r>
        <w:t>and</w:t>
      </w:r>
      <w:r>
        <w:rPr>
          <w:spacing w:val="-13"/>
        </w:rPr>
        <w:t xml:space="preserve"> </w:t>
      </w:r>
      <w:r>
        <w:t>the</w:t>
      </w:r>
      <w:r>
        <w:rPr>
          <w:spacing w:val="-14"/>
        </w:rPr>
        <w:t xml:space="preserve"> </w:t>
      </w:r>
      <w:r>
        <w:rPr>
          <w:i/>
        </w:rPr>
        <w:t>Human Rights</w:t>
      </w:r>
      <w:r>
        <w:rPr>
          <w:i/>
          <w:spacing w:val="-10"/>
        </w:rPr>
        <w:t xml:space="preserve"> </w:t>
      </w:r>
      <w:r>
        <w:rPr>
          <w:i/>
        </w:rPr>
        <w:t>Act</w:t>
      </w:r>
      <w:r>
        <w:rPr>
          <w:i/>
          <w:spacing w:val="-10"/>
        </w:rPr>
        <w:t xml:space="preserve"> </w:t>
      </w:r>
      <w:r>
        <w:rPr>
          <w:i/>
        </w:rPr>
        <w:t>2004</w:t>
      </w:r>
      <w:r>
        <w:rPr>
          <w:i/>
          <w:spacing w:val="-13"/>
        </w:rPr>
        <w:t xml:space="preserve"> </w:t>
      </w:r>
      <w:r>
        <w:t>(ACT),</w:t>
      </w:r>
      <w:r>
        <w:rPr>
          <w:spacing w:val="-13"/>
        </w:rPr>
        <w:t xml:space="preserve"> </w:t>
      </w:r>
      <w:r>
        <w:t>the</w:t>
      </w:r>
      <w:r>
        <w:rPr>
          <w:spacing w:val="-13"/>
        </w:rPr>
        <w:t xml:space="preserve"> </w:t>
      </w:r>
      <w:r>
        <w:t>Qld</w:t>
      </w:r>
      <w:r>
        <w:rPr>
          <w:spacing w:val="-11"/>
        </w:rPr>
        <w:t xml:space="preserve"> </w:t>
      </w:r>
      <w:r>
        <w:t>Human</w:t>
      </w:r>
      <w:r>
        <w:rPr>
          <w:spacing w:val="-11"/>
        </w:rPr>
        <w:t xml:space="preserve"> </w:t>
      </w:r>
      <w:r>
        <w:t>Rights</w:t>
      </w:r>
      <w:r>
        <w:rPr>
          <w:spacing w:val="-10"/>
        </w:rPr>
        <w:t xml:space="preserve"> </w:t>
      </w:r>
      <w:r>
        <w:t>Act</w:t>
      </w:r>
      <w:r>
        <w:rPr>
          <w:spacing w:val="-10"/>
        </w:rPr>
        <w:t xml:space="preserve"> </w:t>
      </w:r>
      <w:r>
        <w:t>does</w:t>
      </w:r>
      <w:r>
        <w:rPr>
          <w:spacing w:val="-12"/>
        </w:rPr>
        <w:t xml:space="preserve"> </w:t>
      </w:r>
      <w:r>
        <w:t>not</w:t>
      </w:r>
      <w:r>
        <w:rPr>
          <w:spacing w:val="-10"/>
        </w:rPr>
        <w:t xml:space="preserve"> </w:t>
      </w:r>
      <w:r>
        <w:t>permit</w:t>
      </w:r>
      <w:r>
        <w:rPr>
          <w:spacing w:val="-10"/>
        </w:rPr>
        <w:t xml:space="preserve"> </w:t>
      </w:r>
      <w:r>
        <w:t>damages</w:t>
      </w:r>
      <w:r>
        <w:rPr>
          <w:spacing w:val="-13"/>
        </w:rPr>
        <w:t xml:space="preserve"> </w:t>
      </w:r>
      <w:r>
        <w:t>to</w:t>
      </w:r>
      <w:r>
        <w:rPr>
          <w:spacing w:val="-11"/>
        </w:rPr>
        <w:t xml:space="preserve"> </w:t>
      </w:r>
      <w:r>
        <w:t>be</w:t>
      </w:r>
      <w:r>
        <w:rPr>
          <w:spacing w:val="-13"/>
        </w:rPr>
        <w:t xml:space="preserve"> </w:t>
      </w:r>
      <w:r>
        <w:t>awarded</w:t>
      </w:r>
      <w:r>
        <w:rPr>
          <w:spacing w:val="-13"/>
        </w:rPr>
        <w:t xml:space="preserve"> </w:t>
      </w:r>
      <w:r>
        <w:t>for</w:t>
      </w:r>
      <w:r>
        <w:rPr>
          <w:spacing w:val="-13"/>
        </w:rPr>
        <w:t xml:space="preserve"> </w:t>
      </w:r>
      <w:r>
        <w:t>breaches of human rights.</w:t>
      </w:r>
      <w:r>
        <w:rPr>
          <w:position w:val="7"/>
          <w:sz w:val="13"/>
        </w:rPr>
        <w:t>102</w:t>
      </w:r>
    </w:p>
    <w:p w14:paraId="7CB25DC0" w14:textId="77777777" w:rsidR="008A4099" w:rsidRDefault="006A6EE2">
      <w:pPr>
        <w:pStyle w:val="ListParagraph"/>
        <w:numPr>
          <w:ilvl w:val="2"/>
          <w:numId w:val="9"/>
        </w:numPr>
        <w:tabs>
          <w:tab w:val="left" w:pos="879"/>
        </w:tabs>
        <w:spacing w:before="215"/>
        <w:ind w:right="679" w:firstLine="0"/>
        <w:jc w:val="both"/>
        <w:rPr>
          <w:sz w:val="13"/>
        </w:rPr>
      </w:pPr>
      <w:r>
        <w:t>Where a question of law</w:t>
      </w:r>
      <w:r>
        <w:rPr>
          <w:spacing w:val="-1"/>
        </w:rPr>
        <w:t xml:space="preserve"> </w:t>
      </w:r>
      <w:r>
        <w:t>about the application of the Qld Human Rights Act, or interpretation of</w:t>
      </w:r>
      <w:r>
        <w:rPr>
          <w:spacing w:val="-4"/>
        </w:rPr>
        <w:t xml:space="preserve"> </w:t>
      </w:r>
      <w:r>
        <w:t>other</w:t>
      </w:r>
      <w:r>
        <w:rPr>
          <w:spacing w:val="-6"/>
        </w:rPr>
        <w:t xml:space="preserve"> </w:t>
      </w:r>
      <w:r>
        <w:t>laws</w:t>
      </w:r>
      <w:r>
        <w:rPr>
          <w:spacing w:val="-5"/>
        </w:rPr>
        <w:t xml:space="preserve"> </w:t>
      </w:r>
      <w:r>
        <w:t>consistently</w:t>
      </w:r>
      <w:r>
        <w:rPr>
          <w:spacing w:val="-7"/>
        </w:rPr>
        <w:t xml:space="preserve"> </w:t>
      </w:r>
      <w:r>
        <w:t>with</w:t>
      </w:r>
      <w:r>
        <w:rPr>
          <w:spacing w:val="-7"/>
        </w:rPr>
        <w:t xml:space="preserve"> </w:t>
      </w:r>
      <w:r>
        <w:t>the</w:t>
      </w:r>
      <w:r>
        <w:rPr>
          <w:spacing w:val="-4"/>
        </w:rPr>
        <w:t xml:space="preserve"> </w:t>
      </w:r>
      <w:r>
        <w:t>Act,</w:t>
      </w:r>
      <w:r>
        <w:rPr>
          <w:spacing w:val="-7"/>
        </w:rPr>
        <w:t xml:space="preserve"> </w:t>
      </w:r>
      <w:r>
        <w:t>arises</w:t>
      </w:r>
      <w:r>
        <w:rPr>
          <w:spacing w:val="-4"/>
        </w:rPr>
        <w:t xml:space="preserve"> </w:t>
      </w:r>
      <w:r>
        <w:t>in</w:t>
      </w:r>
      <w:r>
        <w:rPr>
          <w:spacing w:val="-5"/>
        </w:rPr>
        <w:t xml:space="preserve"> </w:t>
      </w:r>
      <w:r>
        <w:t>a</w:t>
      </w:r>
      <w:r>
        <w:rPr>
          <w:spacing w:val="-7"/>
        </w:rPr>
        <w:t xml:space="preserve"> </w:t>
      </w:r>
      <w:r>
        <w:t>lower</w:t>
      </w:r>
      <w:r>
        <w:rPr>
          <w:spacing w:val="-4"/>
        </w:rPr>
        <w:t xml:space="preserve"> </w:t>
      </w:r>
      <w:r>
        <w:t>court</w:t>
      </w:r>
      <w:r>
        <w:rPr>
          <w:spacing w:val="-4"/>
        </w:rPr>
        <w:t xml:space="preserve"> </w:t>
      </w:r>
      <w:r>
        <w:t>or</w:t>
      </w:r>
      <w:r>
        <w:rPr>
          <w:spacing w:val="-4"/>
        </w:rPr>
        <w:t xml:space="preserve"> </w:t>
      </w:r>
      <w:r>
        <w:t>tribunal</w:t>
      </w:r>
      <w:r>
        <w:rPr>
          <w:spacing w:val="-4"/>
        </w:rPr>
        <w:t xml:space="preserve"> </w:t>
      </w:r>
      <w:r>
        <w:t>proceeding,</w:t>
      </w:r>
      <w:r>
        <w:rPr>
          <w:spacing w:val="-7"/>
        </w:rPr>
        <w:t xml:space="preserve"> </w:t>
      </w:r>
      <w:r>
        <w:t>the</w:t>
      </w:r>
      <w:r>
        <w:rPr>
          <w:spacing w:val="-7"/>
        </w:rPr>
        <w:t xml:space="preserve"> </w:t>
      </w:r>
      <w:r>
        <w:t>question</w:t>
      </w:r>
      <w:r>
        <w:rPr>
          <w:spacing w:val="-7"/>
        </w:rPr>
        <w:t xml:space="preserve"> </w:t>
      </w:r>
      <w:r>
        <w:t>may be referred to the Supreme Court to decide.</w:t>
      </w:r>
      <w:r>
        <w:rPr>
          <w:position w:val="7"/>
          <w:sz w:val="13"/>
        </w:rPr>
        <w:t>103</w:t>
      </w:r>
    </w:p>
    <w:p w14:paraId="7CB25DC1" w14:textId="77777777" w:rsidR="008A4099" w:rsidRDefault="006A6EE2">
      <w:pPr>
        <w:pStyle w:val="ListParagraph"/>
        <w:numPr>
          <w:ilvl w:val="2"/>
          <w:numId w:val="9"/>
        </w:numPr>
        <w:tabs>
          <w:tab w:val="left" w:pos="879"/>
        </w:tabs>
        <w:spacing w:before="219" w:line="237" w:lineRule="auto"/>
        <w:ind w:right="677" w:firstLine="0"/>
        <w:jc w:val="both"/>
        <w:rPr>
          <w:sz w:val="13"/>
        </w:rPr>
      </w:pPr>
      <w:r>
        <w:t>The Attorney-General and the Queensland Human Rights Commission have the right to intervene</w:t>
      </w:r>
      <w:r>
        <w:rPr>
          <w:spacing w:val="-1"/>
        </w:rPr>
        <w:t xml:space="preserve"> </w:t>
      </w:r>
      <w:r>
        <w:t>in proceedings in</w:t>
      </w:r>
      <w:r>
        <w:rPr>
          <w:spacing w:val="-1"/>
        </w:rPr>
        <w:t xml:space="preserve"> </w:t>
      </w:r>
      <w:r>
        <w:t>courts and tribunals, where</w:t>
      </w:r>
      <w:r>
        <w:rPr>
          <w:spacing w:val="-1"/>
        </w:rPr>
        <w:t xml:space="preserve"> </w:t>
      </w:r>
      <w:r>
        <w:t>there is a question</w:t>
      </w:r>
      <w:r>
        <w:rPr>
          <w:spacing w:val="-2"/>
        </w:rPr>
        <w:t xml:space="preserve"> </w:t>
      </w:r>
      <w:r>
        <w:t>of</w:t>
      </w:r>
      <w:r>
        <w:rPr>
          <w:spacing w:val="-1"/>
        </w:rPr>
        <w:t xml:space="preserve"> </w:t>
      </w:r>
      <w:r>
        <w:t>law about the application of the Act or the interpretation of legislation in the way the Act requires.</w:t>
      </w:r>
      <w:r>
        <w:rPr>
          <w:position w:val="7"/>
          <w:sz w:val="13"/>
        </w:rPr>
        <w:t>104</w:t>
      </w:r>
    </w:p>
    <w:p w14:paraId="7CB25DC2" w14:textId="77777777" w:rsidR="008A4099" w:rsidRDefault="008A4099">
      <w:pPr>
        <w:pStyle w:val="BodyText"/>
        <w:rPr>
          <w:sz w:val="20"/>
        </w:rPr>
      </w:pPr>
    </w:p>
    <w:p w14:paraId="7CB25DC3" w14:textId="77777777" w:rsidR="008A4099" w:rsidRDefault="006A6EE2">
      <w:pPr>
        <w:pStyle w:val="BodyText"/>
        <w:spacing w:before="128"/>
        <w:rPr>
          <w:sz w:val="20"/>
        </w:rPr>
      </w:pPr>
      <w:r>
        <w:rPr>
          <w:noProof/>
        </w:rPr>
        <mc:AlternateContent>
          <mc:Choice Requires="wps">
            <w:drawing>
              <wp:anchor distT="0" distB="0" distL="0" distR="0" simplePos="0" relativeHeight="487596544" behindDoc="1" locked="0" layoutInCell="1" allowOverlap="1" wp14:anchorId="7CB265FB" wp14:editId="7CB265FC">
                <wp:simplePos x="0" y="0"/>
                <wp:positionH relativeFrom="page">
                  <wp:posOffset>914704</wp:posOffset>
                </wp:positionH>
                <wp:positionV relativeFrom="paragraph">
                  <wp:posOffset>242970</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EE7A0" id="Graphic 53" o:spid="_x0000_s1026" style="position:absolute;margin-left:1in;margin-top:19.15pt;width:144.0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" path="m1829054,l,,,7620r1829054,l1829054,xe" fillcolor="black" stroked="f">
                <v:path arrowok="t"/>
                <w10:wrap type="topAndBottom" anchorx="page"/>
              </v:shape>
            </w:pict>
          </mc:Fallback>
        </mc:AlternateContent>
      </w:r>
    </w:p>
    <w:p w14:paraId="7CB25DC4" w14:textId="77777777" w:rsidR="008A4099" w:rsidRDefault="006A6EE2">
      <w:pPr>
        <w:spacing w:before="96"/>
        <w:ind w:left="160" w:right="671"/>
        <w:jc w:val="both"/>
        <w:rPr>
          <w:sz w:val="18"/>
        </w:rPr>
      </w:pPr>
      <w:r>
        <w:rPr>
          <w:sz w:val="18"/>
        </w:rPr>
        <w:t>purpose, and the balance between the purpose of the restriction and the protection of human rights. See also Queensland Government,</w:t>
      </w:r>
      <w:r>
        <w:rPr>
          <w:spacing w:val="-6"/>
          <w:sz w:val="18"/>
        </w:rPr>
        <w:t xml:space="preserve"> </w:t>
      </w:r>
      <w:r>
        <w:rPr>
          <w:sz w:val="18"/>
        </w:rPr>
        <w:t>‘Guide:</w:t>
      </w:r>
      <w:r>
        <w:rPr>
          <w:spacing w:val="-6"/>
          <w:sz w:val="18"/>
        </w:rPr>
        <w:t xml:space="preserve"> </w:t>
      </w:r>
      <w:r>
        <w:rPr>
          <w:sz w:val="18"/>
        </w:rPr>
        <w:t>Developing</w:t>
      </w:r>
      <w:r>
        <w:rPr>
          <w:spacing w:val="-8"/>
          <w:sz w:val="18"/>
        </w:rPr>
        <w:t xml:space="preserve"> </w:t>
      </w:r>
      <w:r>
        <w:rPr>
          <w:sz w:val="18"/>
        </w:rPr>
        <w:t>Policy</w:t>
      </w:r>
      <w:r>
        <w:rPr>
          <w:spacing w:val="-6"/>
          <w:sz w:val="18"/>
        </w:rPr>
        <w:t xml:space="preserve"> </w:t>
      </w:r>
      <w:r>
        <w:rPr>
          <w:sz w:val="18"/>
        </w:rPr>
        <w:t>and</w:t>
      </w:r>
      <w:r>
        <w:rPr>
          <w:spacing w:val="-6"/>
          <w:sz w:val="18"/>
        </w:rPr>
        <w:t xml:space="preserve"> </w:t>
      </w:r>
      <w:r>
        <w:rPr>
          <w:sz w:val="18"/>
        </w:rPr>
        <w:t>Legislation</w:t>
      </w:r>
      <w:r>
        <w:rPr>
          <w:spacing w:val="-6"/>
          <w:sz w:val="18"/>
        </w:rPr>
        <w:t xml:space="preserve"> </w:t>
      </w:r>
      <w:r>
        <w:rPr>
          <w:sz w:val="18"/>
        </w:rPr>
        <w:t>that</w:t>
      </w:r>
      <w:r>
        <w:rPr>
          <w:spacing w:val="-6"/>
          <w:sz w:val="18"/>
        </w:rPr>
        <w:t xml:space="preserve"> </w:t>
      </w:r>
      <w:r>
        <w:rPr>
          <w:sz w:val="18"/>
        </w:rPr>
        <w:t>is</w:t>
      </w:r>
      <w:r>
        <w:rPr>
          <w:spacing w:val="-7"/>
          <w:sz w:val="18"/>
        </w:rPr>
        <w:t xml:space="preserve"> </w:t>
      </w:r>
      <w:r>
        <w:rPr>
          <w:sz w:val="18"/>
        </w:rPr>
        <w:t>Compatible</w:t>
      </w:r>
      <w:r>
        <w:rPr>
          <w:spacing w:val="-7"/>
          <w:sz w:val="18"/>
        </w:rPr>
        <w:t xml:space="preserve"> </w:t>
      </w:r>
      <w:r>
        <w:rPr>
          <w:sz w:val="18"/>
        </w:rPr>
        <w:t>with</w:t>
      </w:r>
      <w:r>
        <w:rPr>
          <w:spacing w:val="-5"/>
          <w:sz w:val="18"/>
        </w:rPr>
        <w:t xml:space="preserve"> </w:t>
      </w:r>
      <w:r>
        <w:rPr>
          <w:sz w:val="18"/>
        </w:rPr>
        <w:t>Human</w:t>
      </w:r>
      <w:r>
        <w:rPr>
          <w:spacing w:val="-6"/>
          <w:sz w:val="18"/>
        </w:rPr>
        <w:t xml:space="preserve"> </w:t>
      </w:r>
      <w:r>
        <w:rPr>
          <w:sz w:val="18"/>
        </w:rPr>
        <w:t>Rights’</w:t>
      </w:r>
      <w:r>
        <w:rPr>
          <w:spacing w:val="-7"/>
          <w:sz w:val="18"/>
        </w:rPr>
        <w:t xml:space="preserve"> </w:t>
      </w:r>
      <w:r>
        <w:rPr>
          <w:sz w:val="18"/>
        </w:rPr>
        <w:t>(version</w:t>
      </w:r>
      <w:r>
        <w:rPr>
          <w:spacing w:val="-8"/>
          <w:sz w:val="18"/>
        </w:rPr>
        <w:t xml:space="preserve"> </w:t>
      </w:r>
      <w:r>
        <w:rPr>
          <w:sz w:val="18"/>
        </w:rPr>
        <w:t>2,</w:t>
      </w:r>
      <w:r>
        <w:rPr>
          <w:spacing w:val="-6"/>
          <w:sz w:val="18"/>
        </w:rPr>
        <w:t xml:space="preserve"> </w:t>
      </w:r>
      <w:r>
        <w:rPr>
          <w:sz w:val="18"/>
        </w:rPr>
        <w:t>May</w:t>
      </w:r>
      <w:r>
        <w:rPr>
          <w:spacing w:val="-8"/>
          <w:sz w:val="18"/>
        </w:rPr>
        <w:t xml:space="preserve"> </w:t>
      </w:r>
      <w:r>
        <w:rPr>
          <w:sz w:val="18"/>
        </w:rPr>
        <w:t>2020)</w:t>
      </w:r>
      <w:r>
        <w:rPr>
          <w:spacing w:val="-9"/>
          <w:sz w:val="18"/>
        </w:rPr>
        <w:t xml:space="preserve"> </w:t>
      </w:r>
      <w:r>
        <w:rPr>
          <w:sz w:val="18"/>
        </w:rPr>
        <w:t>3.</w:t>
      </w:r>
      <w:r>
        <w:rPr>
          <w:spacing w:val="-6"/>
          <w:sz w:val="18"/>
        </w:rPr>
        <w:t xml:space="preserve"> </w:t>
      </w:r>
      <w:r>
        <w:rPr>
          <w:sz w:val="18"/>
        </w:rPr>
        <w:t xml:space="preserve">For a discussion of whether the listed factors complicate the test of proportionality unnecessarily, see Chen, ‘The </w:t>
      </w:r>
      <w:r>
        <w:rPr>
          <w:i/>
          <w:sz w:val="18"/>
        </w:rPr>
        <w:t>Human Rights Act</w:t>
      </w:r>
      <w:r>
        <w:rPr>
          <w:i/>
          <w:spacing w:val="-1"/>
          <w:sz w:val="18"/>
        </w:rPr>
        <w:t xml:space="preserve"> </w:t>
      </w:r>
      <w:r>
        <w:rPr>
          <w:i/>
          <w:sz w:val="18"/>
        </w:rPr>
        <w:t>2019</w:t>
      </w:r>
      <w:r>
        <w:rPr>
          <w:i/>
          <w:spacing w:val="-2"/>
          <w:sz w:val="18"/>
        </w:rPr>
        <w:t xml:space="preserve"> </w:t>
      </w:r>
      <w:r>
        <w:rPr>
          <w:sz w:val="18"/>
        </w:rPr>
        <w:t>(Qld):</w:t>
      </w:r>
      <w:r>
        <w:rPr>
          <w:spacing w:val="-3"/>
          <w:sz w:val="18"/>
        </w:rPr>
        <w:t xml:space="preserve"> </w:t>
      </w:r>
      <w:r>
        <w:rPr>
          <w:sz w:val="18"/>
        </w:rPr>
        <w:t>Some</w:t>
      </w:r>
      <w:r>
        <w:rPr>
          <w:spacing w:val="-2"/>
          <w:sz w:val="18"/>
        </w:rPr>
        <w:t xml:space="preserve"> </w:t>
      </w:r>
      <w:r>
        <w:rPr>
          <w:sz w:val="18"/>
        </w:rPr>
        <w:t>Perspectives</w:t>
      </w:r>
      <w:r>
        <w:rPr>
          <w:spacing w:val="-2"/>
          <w:sz w:val="18"/>
        </w:rPr>
        <w:t xml:space="preserve"> </w:t>
      </w:r>
      <w:r>
        <w:rPr>
          <w:sz w:val="18"/>
        </w:rPr>
        <w:t>from</w:t>
      </w:r>
      <w:r>
        <w:rPr>
          <w:spacing w:val="-2"/>
          <w:sz w:val="18"/>
        </w:rPr>
        <w:t xml:space="preserve"> </w:t>
      </w:r>
      <w:r>
        <w:rPr>
          <w:sz w:val="18"/>
        </w:rPr>
        <w:t>Victoria’</w:t>
      </w:r>
      <w:r>
        <w:rPr>
          <w:spacing w:val="-3"/>
          <w:sz w:val="18"/>
        </w:rPr>
        <w:t xml:space="preserve"> </w:t>
      </w:r>
      <w:r>
        <w:rPr>
          <w:sz w:val="18"/>
        </w:rPr>
        <w:t>5.</w:t>
      </w:r>
      <w:r>
        <w:rPr>
          <w:spacing w:val="-1"/>
          <w:sz w:val="18"/>
        </w:rPr>
        <w:t xml:space="preserve"> </w:t>
      </w:r>
      <w:r>
        <w:rPr>
          <w:sz w:val="18"/>
        </w:rPr>
        <w:t>The</w:t>
      </w:r>
      <w:r>
        <w:rPr>
          <w:spacing w:val="-2"/>
          <w:sz w:val="18"/>
        </w:rPr>
        <w:t xml:space="preserve"> </w:t>
      </w:r>
      <w:r>
        <w:rPr>
          <w:sz w:val="18"/>
        </w:rPr>
        <w:t>Act</w:t>
      </w:r>
      <w:r>
        <w:rPr>
          <w:spacing w:val="-1"/>
          <w:sz w:val="18"/>
        </w:rPr>
        <w:t xml:space="preserve"> </w:t>
      </w:r>
      <w:r>
        <w:rPr>
          <w:sz w:val="18"/>
        </w:rPr>
        <w:t>also</w:t>
      </w:r>
      <w:r>
        <w:rPr>
          <w:spacing w:val="-5"/>
          <w:sz w:val="18"/>
        </w:rPr>
        <w:t xml:space="preserve"> </w:t>
      </w:r>
      <w:r>
        <w:rPr>
          <w:sz w:val="18"/>
        </w:rPr>
        <w:t>provides</w:t>
      </w:r>
      <w:r>
        <w:rPr>
          <w:spacing w:val="-2"/>
          <w:sz w:val="18"/>
        </w:rPr>
        <w:t xml:space="preserve"> </w:t>
      </w:r>
      <w:r>
        <w:rPr>
          <w:sz w:val="18"/>
        </w:rPr>
        <w:t>that</w:t>
      </w:r>
      <w:r>
        <w:rPr>
          <w:spacing w:val="-1"/>
          <w:sz w:val="18"/>
        </w:rPr>
        <w:t xml:space="preserve"> </w:t>
      </w:r>
      <w:r>
        <w:rPr>
          <w:sz w:val="18"/>
        </w:rPr>
        <w:t>correctional</w:t>
      </w:r>
      <w:r>
        <w:rPr>
          <w:spacing w:val="-1"/>
          <w:sz w:val="18"/>
        </w:rPr>
        <w:t xml:space="preserve"> </w:t>
      </w:r>
      <w:r>
        <w:rPr>
          <w:sz w:val="18"/>
        </w:rPr>
        <w:t>facilities</w:t>
      </w:r>
      <w:r>
        <w:rPr>
          <w:spacing w:val="-2"/>
          <w:sz w:val="18"/>
        </w:rPr>
        <w:t xml:space="preserve"> </w:t>
      </w:r>
      <w:r>
        <w:rPr>
          <w:sz w:val="18"/>
        </w:rPr>
        <w:t>will not</w:t>
      </w:r>
      <w:r>
        <w:rPr>
          <w:spacing w:val="-3"/>
          <w:sz w:val="18"/>
        </w:rPr>
        <w:t xml:space="preserve"> </w:t>
      </w:r>
      <w:r>
        <w:rPr>
          <w:sz w:val="18"/>
        </w:rPr>
        <w:t>be</w:t>
      </w:r>
      <w:r>
        <w:rPr>
          <w:spacing w:val="-2"/>
          <w:sz w:val="18"/>
        </w:rPr>
        <w:t xml:space="preserve"> </w:t>
      </w:r>
      <w:r>
        <w:rPr>
          <w:sz w:val="18"/>
        </w:rPr>
        <w:t>in</w:t>
      </w:r>
      <w:r>
        <w:rPr>
          <w:spacing w:val="-2"/>
          <w:sz w:val="18"/>
        </w:rPr>
        <w:t xml:space="preserve"> </w:t>
      </w:r>
      <w:r>
        <w:rPr>
          <w:sz w:val="18"/>
        </w:rPr>
        <w:t>breach of human rights where limitations are justified</w:t>
      </w:r>
      <w:r>
        <w:rPr>
          <w:spacing w:val="-3"/>
          <w:sz w:val="18"/>
        </w:rPr>
        <w:t xml:space="preserve"> </w:t>
      </w:r>
      <w:r>
        <w:rPr>
          <w:sz w:val="18"/>
        </w:rPr>
        <w:t>on</w:t>
      </w:r>
      <w:r>
        <w:rPr>
          <w:spacing w:val="-1"/>
          <w:sz w:val="18"/>
        </w:rPr>
        <w:t xml:space="preserve"> </w:t>
      </w:r>
      <w:r>
        <w:rPr>
          <w:sz w:val="18"/>
        </w:rPr>
        <w:t>the</w:t>
      </w:r>
      <w:r>
        <w:rPr>
          <w:spacing w:val="-3"/>
          <w:sz w:val="18"/>
        </w:rPr>
        <w:t xml:space="preserve"> </w:t>
      </w:r>
      <w:r>
        <w:rPr>
          <w:sz w:val="18"/>
        </w:rPr>
        <w:t>grounds</w:t>
      </w:r>
      <w:r>
        <w:rPr>
          <w:spacing w:val="-2"/>
          <w:sz w:val="18"/>
        </w:rPr>
        <w:t xml:space="preserve"> </w:t>
      </w:r>
      <w:r>
        <w:rPr>
          <w:sz w:val="18"/>
        </w:rPr>
        <w:t>of</w:t>
      </w:r>
      <w:r>
        <w:rPr>
          <w:spacing w:val="-2"/>
          <w:sz w:val="18"/>
        </w:rPr>
        <w:t xml:space="preserve"> </w:t>
      </w:r>
      <w:r>
        <w:rPr>
          <w:sz w:val="18"/>
        </w:rPr>
        <w:t>security and</w:t>
      </w:r>
      <w:r>
        <w:rPr>
          <w:spacing w:val="-1"/>
          <w:sz w:val="18"/>
        </w:rPr>
        <w:t xml:space="preserve"> </w:t>
      </w:r>
      <w:r>
        <w:rPr>
          <w:sz w:val="18"/>
        </w:rPr>
        <w:t xml:space="preserve">good management: </w:t>
      </w:r>
      <w:r>
        <w:rPr>
          <w:i/>
          <w:sz w:val="18"/>
        </w:rPr>
        <w:t>Human</w:t>
      </w:r>
      <w:r>
        <w:rPr>
          <w:i/>
          <w:spacing w:val="-1"/>
          <w:sz w:val="18"/>
        </w:rPr>
        <w:t xml:space="preserve"> </w:t>
      </w:r>
      <w:r>
        <w:rPr>
          <w:i/>
          <w:sz w:val="18"/>
        </w:rPr>
        <w:t>Rights</w:t>
      </w:r>
      <w:r>
        <w:rPr>
          <w:i/>
          <w:spacing w:val="-2"/>
          <w:sz w:val="18"/>
        </w:rPr>
        <w:t xml:space="preserve"> </w:t>
      </w:r>
      <w:r>
        <w:rPr>
          <w:i/>
          <w:sz w:val="18"/>
        </w:rPr>
        <w:t>Act</w:t>
      </w:r>
      <w:r>
        <w:rPr>
          <w:i/>
          <w:spacing w:val="-2"/>
          <w:sz w:val="18"/>
        </w:rPr>
        <w:t xml:space="preserve"> </w:t>
      </w:r>
      <w:r>
        <w:rPr>
          <w:i/>
          <w:sz w:val="18"/>
        </w:rPr>
        <w:t xml:space="preserve">2019 </w:t>
      </w:r>
      <w:r>
        <w:rPr>
          <w:sz w:val="18"/>
        </w:rPr>
        <w:t>(Qld) s 126.</w:t>
      </w:r>
    </w:p>
    <w:p w14:paraId="7CB25DC5" w14:textId="77777777" w:rsidR="008A4099" w:rsidRDefault="006A6EE2">
      <w:pPr>
        <w:spacing w:before="18" w:line="244" w:lineRule="auto"/>
        <w:ind w:left="160" w:right="682"/>
        <w:jc w:val="both"/>
        <w:rPr>
          <w:sz w:val="18"/>
        </w:rPr>
      </w:pPr>
      <w:r>
        <w:rPr>
          <w:sz w:val="18"/>
          <w:vertAlign w:val="superscript"/>
        </w:rPr>
        <w:t>93</w:t>
      </w:r>
      <w:r>
        <w:rPr>
          <w:spacing w:val="-1"/>
          <w:sz w:val="18"/>
        </w:rPr>
        <w:t xml:space="preserve"> </w:t>
      </w:r>
      <w:r>
        <w:rPr>
          <w:i/>
          <w:sz w:val="18"/>
        </w:rPr>
        <w:t>Human</w:t>
      </w:r>
      <w:r>
        <w:rPr>
          <w:i/>
          <w:spacing w:val="-2"/>
          <w:sz w:val="18"/>
        </w:rPr>
        <w:t xml:space="preserve"> </w:t>
      </w:r>
      <w:r>
        <w:rPr>
          <w:i/>
          <w:sz w:val="18"/>
        </w:rPr>
        <w:t>Rights</w:t>
      </w:r>
      <w:r>
        <w:rPr>
          <w:i/>
          <w:spacing w:val="-3"/>
          <w:sz w:val="18"/>
        </w:rPr>
        <w:t xml:space="preserve"> </w:t>
      </w:r>
      <w:r>
        <w:rPr>
          <w:i/>
          <w:sz w:val="18"/>
        </w:rPr>
        <w:t>Act</w:t>
      </w:r>
      <w:r>
        <w:rPr>
          <w:i/>
          <w:spacing w:val="-1"/>
          <w:sz w:val="18"/>
        </w:rPr>
        <w:t xml:space="preserve"> </w:t>
      </w:r>
      <w:r>
        <w:rPr>
          <w:i/>
          <w:sz w:val="18"/>
        </w:rPr>
        <w:t xml:space="preserve">2019 </w:t>
      </w:r>
      <w:r>
        <w:rPr>
          <w:sz w:val="18"/>
        </w:rPr>
        <w:t>(Qld)</w:t>
      </w:r>
      <w:r>
        <w:rPr>
          <w:spacing w:val="-3"/>
          <w:sz w:val="18"/>
        </w:rPr>
        <w:t xml:space="preserve"> </w:t>
      </w:r>
      <w:r>
        <w:rPr>
          <w:sz w:val="18"/>
        </w:rPr>
        <w:t>ss</w:t>
      </w:r>
      <w:r>
        <w:rPr>
          <w:spacing w:val="-4"/>
          <w:sz w:val="18"/>
        </w:rPr>
        <w:t xml:space="preserve"> </w:t>
      </w:r>
      <w:r>
        <w:rPr>
          <w:sz w:val="18"/>
        </w:rPr>
        <w:t>43,</w:t>
      </w:r>
      <w:r>
        <w:rPr>
          <w:spacing w:val="-3"/>
          <w:sz w:val="18"/>
        </w:rPr>
        <w:t xml:space="preserve"> </w:t>
      </w:r>
      <w:r>
        <w:rPr>
          <w:sz w:val="18"/>
        </w:rPr>
        <w:t>45,</w:t>
      </w:r>
      <w:r>
        <w:rPr>
          <w:spacing w:val="-3"/>
          <w:sz w:val="18"/>
        </w:rPr>
        <w:t xml:space="preserve"> </w:t>
      </w:r>
      <w:r>
        <w:rPr>
          <w:sz w:val="18"/>
        </w:rPr>
        <w:t>46.</w:t>
      </w:r>
      <w:r>
        <w:rPr>
          <w:spacing w:val="-3"/>
          <w:sz w:val="18"/>
        </w:rPr>
        <w:t xml:space="preserve"> </w:t>
      </w:r>
      <w:r>
        <w:rPr>
          <w:sz w:val="18"/>
        </w:rPr>
        <w:t>Any</w:t>
      </w:r>
      <w:r>
        <w:rPr>
          <w:spacing w:val="-2"/>
          <w:sz w:val="18"/>
        </w:rPr>
        <w:t xml:space="preserve"> </w:t>
      </w:r>
      <w:r>
        <w:rPr>
          <w:sz w:val="18"/>
        </w:rPr>
        <w:t>proposed</w:t>
      </w:r>
      <w:r>
        <w:rPr>
          <w:spacing w:val="-2"/>
          <w:sz w:val="18"/>
        </w:rPr>
        <w:t xml:space="preserve"> </w:t>
      </w:r>
      <w:r>
        <w:rPr>
          <w:sz w:val="18"/>
        </w:rPr>
        <w:t>override</w:t>
      </w:r>
      <w:r>
        <w:rPr>
          <w:spacing w:val="-2"/>
          <w:sz w:val="18"/>
        </w:rPr>
        <w:t xml:space="preserve"> </w:t>
      </w:r>
      <w:r>
        <w:rPr>
          <w:sz w:val="18"/>
        </w:rPr>
        <w:t>declaration must</w:t>
      </w:r>
      <w:r>
        <w:rPr>
          <w:spacing w:val="-4"/>
          <w:sz w:val="18"/>
        </w:rPr>
        <w:t xml:space="preserve"> </w:t>
      </w:r>
      <w:r>
        <w:rPr>
          <w:sz w:val="18"/>
        </w:rPr>
        <w:t>be</w:t>
      </w:r>
      <w:r>
        <w:rPr>
          <w:spacing w:val="-2"/>
          <w:sz w:val="18"/>
        </w:rPr>
        <w:t xml:space="preserve"> </w:t>
      </w:r>
      <w:r>
        <w:rPr>
          <w:sz w:val="18"/>
        </w:rPr>
        <w:t>accompanied by a</w:t>
      </w:r>
      <w:r>
        <w:rPr>
          <w:spacing w:val="-2"/>
          <w:sz w:val="18"/>
        </w:rPr>
        <w:t xml:space="preserve"> </w:t>
      </w:r>
      <w:r>
        <w:rPr>
          <w:sz w:val="18"/>
        </w:rPr>
        <w:t>statement</w:t>
      </w:r>
      <w:r>
        <w:rPr>
          <w:spacing w:val="-1"/>
          <w:sz w:val="18"/>
        </w:rPr>
        <w:t xml:space="preserve"> </w:t>
      </w:r>
      <w:r>
        <w:rPr>
          <w:sz w:val="18"/>
        </w:rPr>
        <w:t>of</w:t>
      </w:r>
      <w:r>
        <w:rPr>
          <w:spacing w:val="-3"/>
          <w:sz w:val="18"/>
        </w:rPr>
        <w:t xml:space="preserve"> </w:t>
      </w:r>
      <w:r>
        <w:rPr>
          <w:sz w:val="18"/>
        </w:rPr>
        <w:t>the exceptional circumstances upon which it relies.</w:t>
      </w:r>
    </w:p>
    <w:p w14:paraId="7CB25DC6" w14:textId="77777777" w:rsidR="008A4099" w:rsidRDefault="006A6EE2">
      <w:pPr>
        <w:spacing w:before="14"/>
        <w:ind w:left="160"/>
        <w:rPr>
          <w:sz w:val="18"/>
        </w:rPr>
      </w:pPr>
      <w:r>
        <w:rPr>
          <w:sz w:val="18"/>
          <w:vertAlign w:val="superscript"/>
        </w:rPr>
        <w:t>94</w:t>
      </w:r>
      <w:r>
        <w:rPr>
          <w:spacing w:val="-1"/>
          <w:sz w:val="18"/>
        </w:rPr>
        <w:t xml:space="preserve"> </w:t>
      </w:r>
      <w:r>
        <w:rPr>
          <w:sz w:val="18"/>
        </w:rPr>
        <w:t>Other</w:t>
      </w:r>
      <w:r>
        <w:rPr>
          <w:spacing w:val="-1"/>
          <w:sz w:val="18"/>
        </w:rPr>
        <w:t xml:space="preserve"> </w:t>
      </w:r>
      <w:r>
        <w:rPr>
          <w:sz w:val="18"/>
        </w:rPr>
        <w:t>than</w:t>
      </w:r>
      <w:r>
        <w:rPr>
          <w:spacing w:val="1"/>
          <w:sz w:val="18"/>
        </w:rPr>
        <w:t xml:space="preserve"> </w:t>
      </w:r>
      <w:r>
        <w:rPr>
          <w:sz w:val="18"/>
        </w:rPr>
        <w:t>legislation</w:t>
      </w:r>
      <w:r>
        <w:rPr>
          <w:spacing w:val="-2"/>
          <w:sz w:val="18"/>
        </w:rPr>
        <w:t xml:space="preserve"> </w:t>
      </w:r>
      <w:r>
        <w:rPr>
          <w:sz w:val="18"/>
        </w:rPr>
        <w:t>subject</w:t>
      </w:r>
      <w:r>
        <w:rPr>
          <w:spacing w:val="-1"/>
          <w:sz w:val="18"/>
        </w:rPr>
        <w:t xml:space="preserve"> </w:t>
      </w:r>
      <w:r>
        <w:rPr>
          <w:sz w:val="18"/>
        </w:rPr>
        <w:t>to</w:t>
      </w:r>
      <w:r>
        <w:rPr>
          <w:spacing w:val="-1"/>
          <w:sz w:val="18"/>
        </w:rPr>
        <w:t xml:space="preserve"> </w:t>
      </w:r>
      <w:r>
        <w:rPr>
          <w:sz w:val="18"/>
        </w:rPr>
        <w:t>an override</w:t>
      </w:r>
      <w:r>
        <w:rPr>
          <w:spacing w:val="-2"/>
          <w:sz w:val="18"/>
        </w:rPr>
        <w:t xml:space="preserve"> </w:t>
      </w:r>
      <w:r>
        <w:rPr>
          <w:sz w:val="18"/>
        </w:rPr>
        <w:t>declaration:</w:t>
      </w:r>
      <w:r>
        <w:rPr>
          <w:spacing w:val="5"/>
          <w:sz w:val="18"/>
        </w:rPr>
        <w:t xml:space="preserve"> </w:t>
      </w:r>
      <w:r>
        <w:rPr>
          <w:i/>
          <w:sz w:val="18"/>
        </w:rPr>
        <w:t>Human</w:t>
      </w:r>
      <w:r>
        <w:rPr>
          <w:i/>
          <w:spacing w:val="-2"/>
          <w:sz w:val="18"/>
        </w:rPr>
        <w:t xml:space="preserve"> </w:t>
      </w:r>
      <w:r>
        <w:rPr>
          <w:i/>
          <w:sz w:val="18"/>
        </w:rPr>
        <w:t>Rights</w:t>
      </w:r>
      <w:r>
        <w:rPr>
          <w:i/>
          <w:spacing w:val="-3"/>
          <w:sz w:val="18"/>
        </w:rPr>
        <w:t xml:space="preserve"> </w:t>
      </w:r>
      <w:r>
        <w:rPr>
          <w:i/>
          <w:sz w:val="18"/>
        </w:rPr>
        <w:t>Act 2019</w:t>
      </w:r>
      <w:r>
        <w:rPr>
          <w:i/>
          <w:spacing w:val="2"/>
          <w:sz w:val="18"/>
        </w:rPr>
        <w:t xml:space="preserve"> </w:t>
      </w:r>
      <w:r>
        <w:rPr>
          <w:sz w:val="18"/>
        </w:rPr>
        <w:t>(Qld)</w:t>
      </w:r>
      <w:r>
        <w:rPr>
          <w:spacing w:val="-2"/>
          <w:sz w:val="18"/>
        </w:rPr>
        <w:t xml:space="preserve"> </w:t>
      </w:r>
      <w:r>
        <w:rPr>
          <w:sz w:val="18"/>
        </w:rPr>
        <w:t>s</w:t>
      </w:r>
      <w:r>
        <w:rPr>
          <w:spacing w:val="-1"/>
          <w:sz w:val="18"/>
        </w:rPr>
        <w:t xml:space="preserve"> </w:t>
      </w:r>
      <w:r>
        <w:rPr>
          <w:spacing w:val="-2"/>
          <w:sz w:val="18"/>
        </w:rPr>
        <w:t>48(5).</w:t>
      </w:r>
    </w:p>
    <w:p w14:paraId="7CB25DC7" w14:textId="77777777" w:rsidR="008A4099" w:rsidRDefault="006A6EE2">
      <w:pPr>
        <w:spacing w:before="24"/>
        <w:ind w:left="160"/>
        <w:rPr>
          <w:sz w:val="18"/>
        </w:rPr>
      </w:pPr>
      <w:r>
        <w:rPr>
          <w:sz w:val="18"/>
          <w:vertAlign w:val="superscript"/>
        </w:rPr>
        <w:t>95</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48.</w:t>
      </w:r>
    </w:p>
    <w:p w14:paraId="7CB25DC8" w14:textId="77777777" w:rsidR="008A4099" w:rsidRDefault="006A6EE2">
      <w:pPr>
        <w:spacing w:before="23"/>
        <w:ind w:left="160"/>
        <w:rPr>
          <w:sz w:val="18"/>
        </w:rPr>
      </w:pPr>
      <w:r>
        <w:rPr>
          <w:sz w:val="18"/>
          <w:vertAlign w:val="superscript"/>
        </w:rPr>
        <w:t>96</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5"/>
          <w:sz w:val="18"/>
        </w:rPr>
        <w:t>53.</w:t>
      </w:r>
    </w:p>
    <w:p w14:paraId="7CB25DC9" w14:textId="77777777" w:rsidR="008A4099" w:rsidRDefault="006A6EE2">
      <w:pPr>
        <w:spacing w:before="24"/>
        <w:ind w:left="160"/>
        <w:rPr>
          <w:sz w:val="18"/>
        </w:rPr>
      </w:pPr>
      <w:r>
        <w:rPr>
          <w:sz w:val="18"/>
          <w:vertAlign w:val="superscript"/>
        </w:rPr>
        <w:t>97</w:t>
      </w:r>
      <w:r>
        <w:rPr>
          <w:spacing w:val="-1"/>
          <w:sz w:val="18"/>
        </w:rPr>
        <w:t xml:space="preserve"> </w:t>
      </w:r>
      <w:r>
        <w:rPr>
          <w:i/>
          <w:sz w:val="18"/>
        </w:rPr>
        <w:t>Human</w:t>
      </w:r>
      <w:r>
        <w:rPr>
          <w:i/>
          <w:spacing w:val="-1"/>
          <w:sz w:val="18"/>
        </w:rPr>
        <w:t xml:space="preserve"> </w:t>
      </w:r>
      <w:r>
        <w:rPr>
          <w:i/>
          <w:sz w:val="18"/>
        </w:rPr>
        <w:t>Rights Act</w:t>
      </w:r>
      <w:r>
        <w:rPr>
          <w:i/>
          <w:spacing w:val="-2"/>
          <w:sz w:val="18"/>
        </w:rPr>
        <w:t xml:space="preserve"> </w:t>
      </w:r>
      <w:r>
        <w:rPr>
          <w:i/>
          <w:sz w:val="18"/>
        </w:rPr>
        <w:t>2019</w:t>
      </w:r>
      <w:r>
        <w:rPr>
          <w:i/>
          <w:spacing w:val="3"/>
          <w:sz w:val="18"/>
        </w:rPr>
        <w:t xml:space="preserve"> </w:t>
      </w:r>
      <w:r>
        <w:rPr>
          <w:sz w:val="18"/>
        </w:rPr>
        <w:t>(Qld)</w:t>
      </w:r>
      <w:r>
        <w:rPr>
          <w:spacing w:val="-2"/>
          <w:sz w:val="18"/>
        </w:rPr>
        <w:t xml:space="preserve"> </w:t>
      </w:r>
      <w:r>
        <w:rPr>
          <w:sz w:val="18"/>
        </w:rPr>
        <w:t>s 53(3).</w:t>
      </w:r>
      <w:r>
        <w:rPr>
          <w:spacing w:val="-2"/>
          <w:sz w:val="18"/>
        </w:rPr>
        <w:t xml:space="preserve"> </w:t>
      </w:r>
      <w:r>
        <w:rPr>
          <w:sz w:val="18"/>
        </w:rPr>
        <w:t>To</w:t>
      </w:r>
      <w:r>
        <w:rPr>
          <w:spacing w:val="-1"/>
          <w:sz w:val="18"/>
        </w:rPr>
        <w:t xml:space="preserve"> </w:t>
      </w:r>
      <w:r>
        <w:rPr>
          <w:sz w:val="18"/>
        </w:rPr>
        <w:t>date,</w:t>
      </w:r>
      <w:r>
        <w:rPr>
          <w:spacing w:val="-2"/>
          <w:sz w:val="18"/>
        </w:rPr>
        <w:t xml:space="preserve"> </w:t>
      </w:r>
      <w:r>
        <w:rPr>
          <w:sz w:val="18"/>
        </w:rPr>
        <w:t>no</w:t>
      </w:r>
      <w:r>
        <w:rPr>
          <w:spacing w:val="-1"/>
          <w:sz w:val="18"/>
        </w:rPr>
        <w:t xml:space="preserve"> </w:t>
      </w:r>
      <w:r>
        <w:rPr>
          <w:sz w:val="18"/>
        </w:rPr>
        <w:t>declarations</w:t>
      </w:r>
      <w:r>
        <w:rPr>
          <w:spacing w:val="-3"/>
          <w:sz w:val="18"/>
        </w:rPr>
        <w:t xml:space="preserve"> </w:t>
      </w:r>
      <w:r>
        <w:rPr>
          <w:sz w:val="18"/>
        </w:rPr>
        <w:t>of incompatibility</w:t>
      </w:r>
      <w:r>
        <w:rPr>
          <w:spacing w:val="1"/>
          <w:sz w:val="18"/>
        </w:rPr>
        <w:t xml:space="preserve"> </w:t>
      </w:r>
      <w:r>
        <w:rPr>
          <w:sz w:val="18"/>
        </w:rPr>
        <w:t>have</w:t>
      </w:r>
      <w:r>
        <w:rPr>
          <w:spacing w:val="-3"/>
          <w:sz w:val="18"/>
        </w:rPr>
        <w:t xml:space="preserve"> </w:t>
      </w:r>
      <w:r>
        <w:rPr>
          <w:sz w:val="18"/>
        </w:rPr>
        <w:t>been</w:t>
      </w:r>
      <w:r>
        <w:rPr>
          <w:spacing w:val="1"/>
          <w:sz w:val="18"/>
        </w:rPr>
        <w:t xml:space="preserve"> </w:t>
      </w:r>
      <w:r>
        <w:rPr>
          <w:spacing w:val="-2"/>
          <w:sz w:val="18"/>
        </w:rPr>
        <w:t>made.</w:t>
      </w:r>
    </w:p>
    <w:p w14:paraId="7CB25DCA" w14:textId="77777777" w:rsidR="008A4099" w:rsidRDefault="006A6EE2">
      <w:pPr>
        <w:spacing w:before="21" w:line="242" w:lineRule="auto"/>
        <w:ind w:left="160" w:right="676"/>
        <w:jc w:val="both"/>
        <w:rPr>
          <w:sz w:val="18"/>
        </w:rPr>
      </w:pPr>
      <w:r>
        <w:rPr>
          <w:sz w:val="18"/>
          <w:vertAlign w:val="superscript"/>
        </w:rPr>
        <w:t>98</w:t>
      </w:r>
      <w:r>
        <w:rPr>
          <w:spacing w:val="-6"/>
          <w:sz w:val="18"/>
        </w:rPr>
        <w:t xml:space="preserve"> </w:t>
      </w:r>
      <w:r>
        <w:rPr>
          <w:i/>
          <w:sz w:val="18"/>
        </w:rPr>
        <w:t>Human</w:t>
      </w:r>
      <w:r>
        <w:rPr>
          <w:i/>
          <w:spacing w:val="-5"/>
          <w:sz w:val="18"/>
        </w:rPr>
        <w:t xml:space="preserve"> </w:t>
      </w:r>
      <w:r>
        <w:rPr>
          <w:i/>
          <w:sz w:val="18"/>
        </w:rPr>
        <w:t>Rights</w:t>
      </w:r>
      <w:r>
        <w:rPr>
          <w:i/>
          <w:spacing w:val="-6"/>
          <w:sz w:val="18"/>
        </w:rPr>
        <w:t xml:space="preserve"> </w:t>
      </w:r>
      <w:r>
        <w:rPr>
          <w:i/>
          <w:sz w:val="18"/>
        </w:rPr>
        <w:t>Act</w:t>
      </w:r>
      <w:r>
        <w:rPr>
          <w:i/>
          <w:spacing w:val="-8"/>
          <w:sz w:val="18"/>
        </w:rPr>
        <w:t xml:space="preserve"> </w:t>
      </w:r>
      <w:r>
        <w:rPr>
          <w:i/>
          <w:sz w:val="18"/>
        </w:rPr>
        <w:t>2019</w:t>
      </w:r>
      <w:r>
        <w:rPr>
          <w:i/>
          <w:spacing w:val="-6"/>
          <w:sz w:val="18"/>
        </w:rPr>
        <w:t xml:space="preserve"> </w:t>
      </w:r>
      <w:r>
        <w:rPr>
          <w:sz w:val="18"/>
        </w:rPr>
        <w:t>(Qld)</w:t>
      </w:r>
      <w:r>
        <w:rPr>
          <w:spacing w:val="-8"/>
          <w:sz w:val="18"/>
        </w:rPr>
        <w:t xml:space="preserve"> </w:t>
      </w:r>
      <w:r>
        <w:rPr>
          <w:sz w:val="18"/>
        </w:rPr>
        <w:t>ss</w:t>
      </w:r>
      <w:r>
        <w:rPr>
          <w:spacing w:val="-9"/>
          <w:sz w:val="18"/>
        </w:rPr>
        <w:t xml:space="preserve"> </w:t>
      </w:r>
      <w:r>
        <w:rPr>
          <w:sz w:val="18"/>
        </w:rPr>
        <w:t>55–57.</w:t>
      </w:r>
      <w:r>
        <w:rPr>
          <w:spacing w:val="-5"/>
          <w:sz w:val="18"/>
        </w:rPr>
        <w:t xml:space="preserve"> </w:t>
      </w:r>
      <w:r>
        <w:rPr>
          <w:sz w:val="18"/>
        </w:rPr>
        <w:t>The</w:t>
      </w:r>
      <w:r>
        <w:rPr>
          <w:spacing w:val="-6"/>
          <w:sz w:val="18"/>
        </w:rPr>
        <w:t xml:space="preserve"> </w:t>
      </w:r>
      <w:r>
        <w:rPr>
          <w:sz w:val="18"/>
        </w:rPr>
        <w:t>relevant</w:t>
      </w:r>
      <w:r>
        <w:rPr>
          <w:spacing w:val="-5"/>
          <w:sz w:val="18"/>
        </w:rPr>
        <w:t xml:space="preserve"> </w:t>
      </w:r>
      <w:r>
        <w:rPr>
          <w:sz w:val="18"/>
        </w:rPr>
        <w:t>Minister</w:t>
      </w:r>
      <w:r>
        <w:rPr>
          <w:spacing w:val="-6"/>
          <w:sz w:val="18"/>
        </w:rPr>
        <w:t xml:space="preserve"> </w:t>
      </w:r>
      <w:r>
        <w:rPr>
          <w:sz w:val="18"/>
        </w:rPr>
        <w:t>must</w:t>
      </w:r>
      <w:r>
        <w:rPr>
          <w:spacing w:val="-6"/>
          <w:sz w:val="18"/>
        </w:rPr>
        <w:t xml:space="preserve"> </w:t>
      </w:r>
      <w:r>
        <w:rPr>
          <w:sz w:val="18"/>
        </w:rPr>
        <w:t>notify</w:t>
      </w:r>
      <w:r>
        <w:rPr>
          <w:spacing w:val="-7"/>
          <w:sz w:val="18"/>
        </w:rPr>
        <w:t xml:space="preserve"> </w:t>
      </w:r>
      <w:r>
        <w:rPr>
          <w:sz w:val="18"/>
        </w:rPr>
        <w:t>the</w:t>
      </w:r>
      <w:r>
        <w:rPr>
          <w:spacing w:val="-6"/>
          <w:sz w:val="18"/>
        </w:rPr>
        <w:t xml:space="preserve"> </w:t>
      </w:r>
      <w:r>
        <w:rPr>
          <w:sz w:val="18"/>
        </w:rPr>
        <w:t>Parliament</w:t>
      </w:r>
      <w:r>
        <w:rPr>
          <w:spacing w:val="-8"/>
          <w:sz w:val="18"/>
        </w:rPr>
        <w:t xml:space="preserve"> </w:t>
      </w:r>
      <w:r>
        <w:rPr>
          <w:sz w:val="18"/>
        </w:rPr>
        <w:t>of</w:t>
      </w:r>
      <w:r>
        <w:rPr>
          <w:spacing w:val="-6"/>
          <w:sz w:val="18"/>
        </w:rPr>
        <w:t xml:space="preserve"> </w:t>
      </w:r>
      <w:r>
        <w:rPr>
          <w:sz w:val="18"/>
        </w:rPr>
        <w:t>a</w:t>
      </w:r>
      <w:r>
        <w:rPr>
          <w:spacing w:val="-9"/>
          <w:sz w:val="18"/>
        </w:rPr>
        <w:t xml:space="preserve"> </w:t>
      </w:r>
      <w:r>
        <w:rPr>
          <w:sz w:val="18"/>
        </w:rPr>
        <w:t>declaration</w:t>
      </w:r>
      <w:r>
        <w:rPr>
          <w:spacing w:val="-7"/>
          <w:sz w:val="18"/>
        </w:rPr>
        <w:t xml:space="preserve"> </w:t>
      </w:r>
      <w:r>
        <w:rPr>
          <w:sz w:val="18"/>
        </w:rPr>
        <w:t>of</w:t>
      </w:r>
      <w:r>
        <w:rPr>
          <w:spacing w:val="-8"/>
          <w:sz w:val="18"/>
        </w:rPr>
        <w:t xml:space="preserve"> </w:t>
      </w:r>
      <w:r>
        <w:rPr>
          <w:sz w:val="18"/>
        </w:rPr>
        <w:t>incompatibility within</w:t>
      </w:r>
      <w:r>
        <w:rPr>
          <w:spacing w:val="-12"/>
          <w:sz w:val="18"/>
        </w:rPr>
        <w:t xml:space="preserve"> </w:t>
      </w:r>
      <w:r>
        <w:rPr>
          <w:sz w:val="18"/>
        </w:rPr>
        <w:t>six</w:t>
      </w:r>
      <w:r>
        <w:rPr>
          <w:spacing w:val="-8"/>
          <w:sz w:val="18"/>
        </w:rPr>
        <w:t xml:space="preserve"> </w:t>
      </w:r>
      <w:r>
        <w:rPr>
          <w:sz w:val="18"/>
        </w:rPr>
        <w:t>sitting</w:t>
      </w:r>
      <w:r>
        <w:rPr>
          <w:spacing w:val="-11"/>
          <w:sz w:val="18"/>
        </w:rPr>
        <w:t xml:space="preserve"> </w:t>
      </w:r>
      <w:r>
        <w:rPr>
          <w:sz w:val="18"/>
        </w:rPr>
        <w:t>days.</w:t>
      </w:r>
      <w:r>
        <w:rPr>
          <w:spacing w:val="-10"/>
          <w:sz w:val="18"/>
        </w:rPr>
        <w:t xml:space="preserve"> </w:t>
      </w:r>
      <w:r>
        <w:rPr>
          <w:sz w:val="18"/>
        </w:rPr>
        <w:t>The</w:t>
      </w:r>
      <w:r>
        <w:rPr>
          <w:spacing w:val="-11"/>
          <w:sz w:val="18"/>
        </w:rPr>
        <w:t xml:space="preserve"> </w:t>
      </w:r>
      <w:r>
        <w:rPr>
          <w:sz w:val="18"/>
        </w:rPr>
        <w:t>declaration</w:t>
      </w:r>
      <w:r>
        <w:rPr>
          <w:spacing w:val="-9"/>
          <w:sz w:val="18"/>
        </w:rPr>
        <w:t xml:space="preserve"> </w:t>
      </w:r>
      <w:r>
        <w:rPr>
          <w:sz w:val="18"/>
        </w:rPr>
        <w:t>is</w:t>
      </w:r>
      <w:r>
        <w:rPr>
          <w:spacing w:val="-12"/>
          <w:sz w:val="18"/>
        </w:rPr>
        <w:t xml:space="preserve"> </w:t>
      </w:r>
      <w:r>
        <w:rPr>
          <w:sz w:val="18"/>
        </w:rPr>
        <w:t>also</w:t>
      </w:r>
      <w:r>
        <w:rPr>
          <w:spacing w:val="-8"/>
          <w:sz w:val="18"/>
        </w:rPr>
        <w:t xml:space="preserve"> </w:t>
      </w:r>
      <w:r>
        <w:rPr>
          <w:sz w:val="18"/>
        </w:rPr>
        <w:t>referred</w:t>
      </w:r>
      <w:r>
        <w:rPr>
          <w:spacing w:val="-9"/>
          <w:sz w:val="18"/>
        </w:rPr>
        <w:t xml:space="preserve"> </w:t>
      </w:r>
      <w:r>
        <w:rPr>
          <w:sz w:val="18"/>
        </w:rPr>
        <w:t>to</w:t>
      </w:r>
      <w:r>
        <w:rPr>
          <w:spacing w:val="-9"/>
          <w:sz w:val="18"/>
        </w:rPr>
        <w:t xml:space="preserve"> </w:t>
      </w:r>
      <w:r>
        <w:rPr>
          <w:sz w:val="18"/>
        </w:rPr>
        <w:t>the</w:t>
      </w:r>
      <w:r>
        <w:rPr>
          <w:spacing w:val="-11"/>
          <w:sz w:val="18"/>
        </w:rPr>
        <w:t xml:space="preserve"> </w:t>
      </w:r>
      <w:r>
        <w:rPr>
          <w:sz w:val="18"/>
        </w:rPr>
        <w:t>relevant</w:t>
      </w:r>
      <w:r>
        <w:rPr>
          <w:spacing w:val="-10"/>
          <w:sz w:val="18"/>
        </w:rPr>
        <w:t xml:space="preserve"> </w:t>
      </w:r>
      <w:r>
        <w:rPr>
          <w:sz w:val="18"/>
        </w:rPr>
        <w:t>portfolio</w:t>
      </w:r>
      <w:r>
        <w:rPr>
          <w:spacing w:val="-9"/>
          <w:sz w:val="18"/>
        </w:rPr>
        <w:t xml:space="preserve"> </w:t>
      </w:r>
      <w:r>
        <w:rPr>
          <w:sz w:val="18"/>
        </w:rPr>
        <w:t>committee</w:t>
      </w:r>
      <w:r>
        <w:rPr>
          <w:spacing w:val="-11"/>
          <w:sz w:val="18"/>
        </w:rPr>
        <w:t xml:space="preserve"> </w:t>
      </w:r>
      <w:r>
        <w:rPr>
          <w:sz w:val="18"/>
        </w:rPr>
        <w:t>for</w:t>
      </w:r>
      <w:r>
        <w:rPr>
          <w:spacing w:val="-10"/>
          <w:sz w:val="18"/>
        </w:rPr>
        <w:t xml:space="preserve"> </w:t>
      </w:r>
      <w:r>
        <w:rPr>
          <w:sz w:val="18"/>
        </w:rPr>
        <w:t>consideration.</w:t>
      </w:r>
      <w:r>
        <w:rPr>
          <w:spacing w:val="-12"/>
          <w:sz w:val="18"/>
        </w:rPr>
        <w:t xml:space="preserve"> </w:t>
      </w:r>
      <w:r>
        <w:rPr>
          <w:sz w:val="18"/>
        </w:rPr>
        <w:t>The</w:t>
      </w:r>
      <w:r>
        <w:rPr>
          <w:spacing w:val="-11"/>
          <w:sz w:val="18"/>
        </w:rPr>
        <w:t xml:space="preserve"> </w:t>
      </w:r>
      <w:r>
        <w:rPr>
          <w:sz w:val="18"/>
        </w:rPr>
        <w:t>Minister</w:t>
      </w:r>
      <w:r>
        <w:rPr>
          <w:spacing w:val="-2"/>
          <w:sz w:val="18"/>
        </w:rPr>
        <w:t xml:space="preserve"> </w:t>
      </w:r>
      <w:r>
        <w:rPr>
          <w:sz w:val="18"/>
        </w:rPr>
        <w:t>must table a response to the declaration of incompatibility within six months of notifying Parliament of the declaration.</w:t>
      </w:r>
    </w:p>
    <w:p w14:paraId="7CB25DCB" w14:textId="77777777" w:rsidR="008A4099" w:rsidRDefault="006A6EE2">
      <w:pPr>
        <w:spacing w:before="19"/>
        <w:ind w:left="160"/>
        <w:rPr>
          <w:sz w:val="18"/>
        </w:rPr>
      </w:pPr>
      <w:r>
        <w:rPr>
          <w:sz w:val="18"/>
          <w:vertAlign w:val="superscript"/>
        </w:rPr>
        <w:t>99</w:t>
      </w:r>
      <w:r>
        <w:rPr>
          <w:sz w:val="18"/>
        </w:rPr>
        <w:t xml:space="preserve"> </w:t>
      </w:r>
      <w:r>
        <w:rPr>
          <w:i/>
          <w:sz w:val="18"/>
        </w:rPr>
        <w:t>Human Rights Act</w:t>
      </w:r>
      <w:r>
        <w:rPr>
          <w:i/>
          <w:spacing w:val="-1"/>
          <w:sz w:val="18"/>
        </w:rPr>
        <w:t xml:space="preserve"> </w:t>
      </w:r>
      <w:r>
        <w:rPr>
          <w:i/>
          <w:sz w:val="18"/>
        </w:rPr>
        <w:t>2019</w:t>
      </w:r>
      <w:r>
        <w:rPr>
          <w:i/>
          <w:spacing w:val="4"/>
          <w:sz w:val="18"/>
        </w:rPr>
        <w:t xml:space="preserve"> </w:t>
      </w:r>
      <w:r>
        <w:rPr>
          <w:sz w:val="18"/>
        </w:rPr>
        <w:t>(Qld)</w:t>
      </w:r>
      <w:r>
        <w:rPr>
          <w:spacing w:val="-2"/>
          <w:sz w:val="18"/>
        </w:rPr>
        <w:t xml:space="preserve"> </w:t>
      </w:r>
      <w:r>
        <w:rPr>
          <w:sz w:val="18"/>
        </w:rPr>
        <w:t>s</w:t>
      </w:r>
      <w:r>
        <w:rPr>
          <w:spacing w:val="1"/>
          <w:sz w:val="18"/>
        </w:rPr>
        <w:t xml:space="preserve"> </w:t>
      </w:r>
      <w:r>
        <w:rPr>
          <w:spacing w:val="-2"/>
          <w:sz w:val="18"/>
        </w:rPr>
        <w:t>9(4)(b).</w:t>
      </w:r>
    </w:p>
    <w:p w14:paraId="7CB25DCC" w14:textId="77777777" w:rsidR="008A4099" w:rsidRDefault="006A6EE2">
      <w:pPr>
        <w:spacing w:before="23"/>
        <w:ind w:left="160"/>
        <w:rPr>
          <w:sz w:val="18"/>
        </w:rPr>
      </w:pPr>
      <w:r>
        <w:rPr>
          <w:sz w:val="18"/>
          <w:vertAlign w:val="superscript"/>
        </w:rPr>
        <w:t>100</w:t>
      </w:r>
      <w:r>
        <w:rPr>
          <w:sz w:val="18"/>
        </w:rPr>
        <w:t xml:space="preserve"> </w:t>
      </w:r>
      <w:r>
        <w:rPr>
          <w:i/>
          <w:sz w:val="18"/>
        </w:rPr>
        <w:t>Charter of Rights</w:t>
      </w:r>
      <w:r>
        <w:rPr>
          <w:i/>
          <w:spacing w:val="-2"/>
          <w:sz w:val="18"/>
        </w:rPr>
        <w:t xml:space="preserve"> </w:t>
      </w:r>
      <w:r>
        <w:rPr>
          <w:i/>
          <w:sz w:val="18"/>
        </w:rPr>
        <w:t>Act</w:t>
      </w:r>
      <w:r>
        <w:rPr>
          <w:i/>
          <w:spacing w:val="1"/>
          <w:sz w:val="18"/>
        </w:rPr>
        <w:t xml:space="preserve"> </w:t>
      </w:r>
      <w:r>
        <w:rPr>
          <w:sz w:val="18"/>
        </w:rPr>
        <w:t>(Vic) s 6(2);</w:t>
      </w:r>
      <w:r>
        <w:rPr>
          <w:spacing w:val="1"/>
          <w:sz w:val="18"/>
        </w:rPr>
        <w:t xml:space="preserve"> </w:t>
      </w:r>
      <w:r>
        <w:rPr>
          <w:i/>
          <w:sz w:val="18"/>
        </w:rPr>
        <w:t>Human</w:t>
      </w:r>
      <w:r>
        <w:rPr>
          <w:i/>
          <w:spacing w:val="2"/>
          <w:sz w:val="18"/>
        </w:rPr>
        <w:t xml:space="preserve"> </w:t>
      </w:r>
      <w:r>
        <w:rPr>
          <w:i/>
          <w:sz w:val="18"/>
        </w:rPr>
        <w:t>Rights</w:t>
      </w:r>
      <w:r>
        <w:rPr>
          <w:i/>
          <w:spacing w:val="-2"/>
          <w:sz w:val="18"/>
        </w:rPr>
        <w:t xml:space="preserve"> </w:t>
      </w:r>
      <w:r>
        <w:rPr>
          <w:i/>
          <w:sz w:val="18"/>
        </w:rPr>
        <w:t>Act 2019</w:t>
      </w:r>
      <w:r>
        <w:rPr>
          <w:i/>
          <w:spacing w:val="2"/>
          <w:sz w:val="18"/>
        </w:rPr>
        <w:t xml:space="preserve"> </w:t>
      </w:r>
      <w:r>
        <w:rPr>
          <w:sz w:val="18"/>
        </w:rPr>
        <w:t>(Qld)</w:t>
      </w:r>
      <w:r>
        <w:rPr>
          <w:spacing w:val="-2"/>
          <w:sz w:val="18"/>
        </w:rPr>
        <w:t xml:space="preserve"> </w:t>
      </w:r>
      <w:r>
        <w:rPr>
          <w:sz w:val="18"/>
        </w:rPr>
        <w:t>s</w:t>
      </w:r>
      <w:r>
        <w:rPr>
          <w:spacing w:val="-3"/>
          <w:sz w:val="18"/>
        </w:rPr>
        <w:t xml:space="preserve"> </w:t>
      </w:r>
      <w:r>
        <w:rPr>
          <w:spacing w:val="-2"/>
          <w:sz w:val="18"/>
        </w:rPr>
        <w:t>5(2)9(a).</w:t>
      </w:r>
    </w:p>
    <w:p w14:paraId="7CB25DCD" w14:textId="77777777" w:rsidR="008A4099" w:rsidRDefault="006A6EE2">
      <w:pPr>
        <w:spacing w:before="21"/>
        <w:ind w:left="160"/>
        <w:rPr>
          <w:sz w:val="18"/>
        </w:rPr>
      </w:pPr>
      <w:r>
        <w:rPr>
          <w:sz w:val="18"/>
          <w:vertAlign w:val="superscript"/>
        </w:rPr>
        <w:t>101</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5"/>
          <w:sz w:val="18"/>
        </w:rPr>
        <w:t>58.</w:t>
      </w:r>
    </w:p>
    <w:p w14:paraId="7CB25DCE" w14:textId="77777777" w:rsidR="008A4099" w:rsidRDefault="006A6EE2">
      <w:pPr>
        <w:spacing w:before="23"/>
        <w:ind w:left="160"/>
        <w:rPr>
          <w:sz w:val="18"/>
        </w:rPr>
      </w:pPr>
      <w:r>
        <w:rPr>
          <w:sz w:val="18"/>
          <w:vertAlign w:val="superscript"/>
        </w:rPr>
        <w:t>102</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2"/>
          <w:sz w:val="18"/>
        </w:rPr>
        <w:t>59(3).</w:t>
      </w:r>
    </w:p>
    <w:p w14:paraId="7CB25DCF" w14:textId="77777777" w:rsidR="008A4099" w:rsidRDefault="006A6EE2">
      <w:pPr>
        <w:spacing w:before="24"/>
        <w:ind w:left="160"/>
        <w:rPr>
          <w:sz w:val="18"/>
        </w:rPr>
      </w:pPr>
      <w:r>
        <w:rPr>
          <w:sz w:val="18"/>
          <w:vertAlign w:val="superscript"/>
        </w:rPr>
        <w:t>103</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5"/>
          <w:sz w:val="18"/>
        </w:rPr>
        <w:t>49.</w:t>
      </w:r>
    </w:p>
    <w:p w14:paraId="7CB25DD0" w14:textId="77777777" w:rsidR="008A4099" w:rsidRDefault="006A6EE2">
      <w:pPr>
        <w:spacing w:before="23" w:line="242" w:lineRule="auto"/>
        <w:ind w:left="160" w:right="673"/>
        <w:jc w:val="both"/>
        <w:rPr>
          <w:sz w:val="18"/>
        </w:rPr>
      </w:pPr>
      <w:r>
        <w:rPr>
          <w:sz w:val="18"/>
          <w:vertAlign w:val="superscript"/>
        </w:rPr>
        <w:t>104</w:t>
      </w:r>
      <w:r>
        <w:rPr>
          <w:spacing w:val="-1"/>
          <w:sz w:val="18"/>
        </w:rPr>
        <w:t xml:space="preserve"> </w:t>
      </w:r>
      <w:r>
        <w:rPr>
          <w:i/>
          <w:sz w:val="18"/>
        </w:rPr>
        <w:t>Human Rights</w:t>
      </w:r>
      <w:r>
        <w:rPr>
          <w:i/>
          <w:spacing w:val="-4"/>
          <w:sz w:val="18"/>
        </w:rPr>
        <w:t xml:space="preserve"> </w:t>
      </w:r>
      <w:r>
        <w:rPr>
          <w:i/>
          <w:sz w:val="18"/>
        </w:rPr>
        <w:t>Act</w:t>
      </w:r>
      <w:r>
        <w:rPr>
          <w:i/>
          <w:spacing w:val="-3"/>
          <w:sz w:val="18"/>
        </w:rPr>
        <w:t xml:space="preserve"> </w:t>
      </w:r>
      <w:r>
        <w:rPr>
          <w:i/>
          <w:sz w:val="18"/>
        </w:rPr>
        <w:t xml:space="preserve">2019 </w:t>
      </w:r>
      <w:r>
        <w:rPr>
          <w:sz w:val="18"/>
        </w:rPr>
        <w:t>(Qld)</w:t>
      </w:r>
      <w:r>
        <w:rPr>
          <w:spacing w:val="-1"/>
          <w:sz w:val="18"/>
        </w:rPr>
        <w:t xml:space="preserve"> </w:t>
      </w:r>
      <w:r>
        <w:rPr>
          <w:sz w:val="18"/>
        </w:rPr>
        <w:t>s</w:t>
      </w:r>
      <w:r>
        <w:rPr>
          <w:spacing w:val="-4"/>
          <w:sz w:val="18"/>
        </w:rPr>
        <w:t xml:space="preserve"> </w:t>
      </w:r>
      <w:r>
        <w:rPr>
          <w:sz w:val="18"/>
        </w:rPr>
        <w:t>51.</w:t>
      </w:r>
      <w:r>
        <w:rPr>
          <w:spacing w:val="-1"/>
          <w:sz w:val="18"/>
        </w:rPr>
        <w:t xml:space="preserve"> </w:t>
      </w:r>
      <w:r>
        <w:rPr>
          <w:sz w:val="18"/>
        </w:rPr>
        <w:t>According to Victorian case</w:t>
      </w:r>
      <w:r>
        <w:rPr>
          <w:spacing w:val="-2"/>
          <w:sz w:val="18"/>
        </w:rPr>
        <w:t xml:space="preserve"> </w:t>
      </w:r>
      <w:r>
        <w:rPr>
          <w:sz w:val="18"/>
        </w:rPr>
        <w:t>law</w:t>
      </w:r>
      <w:r>
        <w:rPr>
          <w:spacing w:val="-2"/>
          <w:sz w:val="18"/>
        </w:rPr>
        <w:t xml:space="preserve"> </w:t>
      </w:r>
      <w:r>
        <w:rPr>
          <w:sz w:val="18"/>
        </w:rPr>
        <w:t>on</w:t>
      </w:r>
      <w:r>
        <w:rPr>
          <w:spacing w:val="-2"/>
          <w:sz w:val="18"/>
        </w:rPr>
        <w:t xml:space="preserve"> </w:t>
      </w:r>
      <w:r>
        <w:rPr>
          <w:sz w:val="18"/>
        </w:rPr>
        <w:t>this</w:t>
      </w:r>
      <w:r>
        <w:rPr>
          <w:spacing w:val="-4"/>
          <w:sz w:val="18"/>
        </w:rPr>
        <w:t xml:space="preserve"> </w:t>
      </w:r>
      <w:r>
        <w:rPr>
          <w:sz w:val="18"/>
        </w:rPr>
        <w:t>issue</w:t>
      </w:r>
      <w:r>
        <w:rPr>
          <w:spacing w:val="-2"/>
          <w:sz w:val="18"/>
        </w:rPr>
        <w:t xml:space="preserve"> </w:t>
      </w:r>
      <w:r>
        <w:rPr>
          <w:sz w:val="18"/>
        </w:rPr>
        <w:t>(which would</w:t>
      </w:r>
      <w:r>
        <w:rPr>
          <w:spacing w:val="-2"/>
          <w:sz w:val="18"/>
        </w:rPr>
        <w:t xml:space="preserve"> </w:t>
      </w:r>
      <w:r>
        <w:rPr>
          <w:sz w:val="18"/>
        </w:rPr>
        <w:t>be</w:t>
      </w:r>
      <w:r>
        <w:rPr>
          <w:spacing w:val="-2"/>
          <w:sz w:val="18"/>
        </w:rPr>
        <w:t xml:space="preserve"> </w:t>
      </w:r>
      <w:r>
        <w:rPr>
          <w:sz w:val="18"/>
        </w:rPr>
        <w:t>persuasive</w:t>
      </w:r>
      <w:r>
        <w:rPr>
          <w:spacing w:val="-2"/>
          <w:sz w:val="18"/>
        </w:rPr>
        <w:t xml:space="preserve"> </w:t>
      </w:r>
      <w:r>
        <w:rPr>
          <w:sz w:val="18"/>
        </w:rPr>
        <w:t>authority in Queensland),</w:t>
      </w:r>
      <w:r>
        <w:rPr>
          <w:spacing w:val="-1"/>
          <w:sz w:val="18"/>
        </w:rPr>
        <w:t xml:space="preserve"> </w:t>
      </w:r>
      <w:r>
        <w:rPr>
          <w:sz w:val="18"/>
        </w:rPr>
        <w:t>the</w:t>
      </w:r>
      <w:r>
        <w:rPr>
          <w:spacing w:val="-2"/>
          <w:sz w:val="18"/>
        </w:rPr>
        <w:t xml:space="preserve"> </w:t>
      </w:r>
      <w:r>
        <w:rPr>
          <w:sz w:val="18"/>
        </w:rPr>
        <w:t>question</w:t>
      </w:r>
      <w:r>
        <w:rPr>
          <w:spacing w:val="-2"/>
          <w:sz w:val="18"/>
        </w:rPr>
        <w:t xml:space="preserve"> </w:t>
      </w:r>
      <w:r>
        <w:rPr>
          <w:sz w:val="18"/>
        </w:rPr>
        <w:t>of whether</w:t>
      </w:r>
      <w:r>
        <w:rPr>
          <w:spacing w:val="-1"/>
          <w:sz w:val="18"/>
        </w:rPr>
        <w:t xml:space="preserve"> </w:t>
      </w:r>
      <w:r>
        <w:rPr>
          <w:sz w:val="18"/>
        </w:rPr>
        <w:t>a</w:t>
      </w:r>
      <w:r>
        <w:rPr>
          <w:spacing w:val="-2"/>
          <w:sz w:val="18"/>
        </w:rPr>
        <w:t xml:space="preserve"> </w:t>
      </w:r>
      <w:r>
        <w:rPr>
          <w:sz w:val="18"/>
        </w:rPr>
        <w:t>Human Rights</w:t>
      </w:r>
      <w:r>
        <w:rPr>
          <w:spacing w:val="-1"/>
          <w:sz w:val="18"/>
        </w:rPr>
        <w:t xml:space="preserve"> </w:t>
      </w:r>
      <w:r>
        <w:rPr>
          <w:sz w:val="18"/>
        </w:rPr>
        <w:t>Act</w:t>
      </w:r>
      <w:r>
        <w:rPr>
          <w:spacing w:val="-1"/>
          <w:sz w:val="18"/>
        </w:rPr>
        <w:t xml:space="preserve"> </w:t>
      </w:r>
      <w:r>
        <w:rPr>
          <w:sz w:val="18"/>
        </w:rPr>
        <w:t>issue</w:t>
      </w:r>
      <w:r>
        <w:rPr>
          <w:spacing w:val="-2"/>
          <w:sz w:val="18"/>
        </w:rPr>
        <w:t xml:space="preserve"> </w:t>
      </w:r>
      <w:r>
        <w:rPr>
          <w:sz w:val="18"/>
        </w:rPr>
        <w:t>arises</w:t>
      </w:r>
      <w:r>
        <w:rPr>
          <w:spacing w:val="-1"/>
          <w:sz w:val="18"/>
        </w:rPr>
        <w:t xml:space="preserve"> </w:t>
      </w:r>
      <w:r>
        <w:rPr>
          <w:sz w:val="18"/>
        </w:rPr>
        <w:t>does</w:t>
      </w:r>
      <w:r>
        <w:rPr>
          <w:spacing w:val="-1"/>
          <w:sz w:val="18"/>
        </w:rPr>
        <w:t xml:space="preserve"> </w:t>
      </w:r>
      <w:r>
        <w:rPr>
          <w:sz w:val="18"/>
        </w:rPr>
        <w:t>not</w:t>
      </w:r>
      <w:r>
        <w:rPr>
          <w:spacing w:val="-1"/>
          <w:sz w:val="18"/>
        </w:rPr>
        <w:t xml:space="preserve"> </w:t>
      </w:r>
      <w:r>
        <w:rPr>
          <w:sz w:val="18"/>
        </w:rPr>
        <w:t>depend on the</w:t>
      </w:r>
      <w:r>
        <w:rPr>
          <w:spacing w:val="-2"/>
          <w:sz w:val="18"/>
        </w:rPr>
        <w:t xml:space="preserve"> </w:t>
      </w:r>
      <w:r>
        <w:rPr>
          <w:sz w:val="18"/>
        </w:rPr>
        <w:t>submissions</w:t>
      </w:r>
      <w:r>
        <w:rPr>
          <w:spacing w:val="-1"/>
          <w:sz w:val="18"/>
        </w:rPr>
        <w:t xml:space="preserve"> </w:t>
      </w:r>
      <w:r>
        <w:rPr>
          <w:sz w:val="18"/>
        </w:rPr>
        <w:t>of</w:t>
      </w:r>
      <w:r>
        <w:rPr>
          <w:spacing w:val="-1"/>
          <w:sz w:val="18"/>
        </w:rPr>
        <w:t xml:space="preserve"> </w:t>
      </w:r>
      <w:r>
        <w:rPr>
          <w:sz w:val="18"/>
        </w:rPr>
        <w:t>the</w:t>
      </w:r>
      <w:r>
        <w:rPr>
          <w:spacing w:val="-2"/>
          <w:sz w:val="18"/>
        </w:rPr>
        <w:t xml:space="preserve"> </w:t>
      </w:r>
      <w:r>
        <w:rPr>
          <w:sz w:val="18"/>
        </w:rPr>
        <w:t>parties,</w:t>
      </w:r>
      <w:r>
        <w:rPr>
          <w:spacing w:val="-1"/>
          <w:sz w:val="18"/>
        </w:rPr>
        <w:t xml:space="preserve"> </w:t>
      </w:r>
      <w:r>
        <w:rPr>
          <w:sz w:val="18"/>
        </w:rPr>
        <w:t xml:space="preserve">but on the nature of the issues raised by the proceedings: </w:t>
      </w:r>
      <w:r>
        <w:rPr>
          <w:i/>
          <w:sz w:val="18"/>
        </w:rPr>
        <w:t xml:space="preserve">Kortel v Mirik </w:t>
      </w:r>
      <w:r>
        <w:rPr>
          <w:sz w:val="18"/>
        </w:rPr>
        <w:t xml:space="preserve">(2008) 28 VAR 405; [2008] VSC 103 at [16]. See also Queensland Human Rights Commission, </w:t>
      </w:r>
      <w:r>
        <w:rPr>
          <w:i/>
          <w:sz w:val="18"/>
        </w:rPr>
        <w:t xml:space="preserve">Intervention Guidelines </w:t>
      </w:r>
      <w:r>
        <w:rPr>
          <w:sz w:val="18"/>
        </w:rPr>
        <w:t>&lt;https://</w:t>
      </w:r>
      <w:hyperlink r:id="rId55">
        <w:r>
          <w:rPr>
            <w:sz w:val="18"/>
          </w:rPr>
          <w:t>www.qhrc.qld.gov.au/resources/legal-</w:t>
        </w:r>
      </w:hyperlink>
      <w:r>
        <w:rPr>
          <w:sz w:val="18"/>
        </w:rPr>
        <w:t xml:space="preserve"> </w:t>
      </w:r>
      <w:r>
        <w:rPr>
          <w:spacing w:val="-2"/>
          <w:sz w:val="18"/>
        </w:rPr>
        <w:t>information/intervention-guidelines&gt;.</w:t>
      </w:r>
    </w:p>
    <w:p w14:paraId="7CB25DD1"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DD2" w14:textId="77777777" w:rsidR="008A4099" w:rsidRDefault="008A4099">
      <w:pPr>
        <w:pStyle w:val="BodyText"/>
        <w:spacing w:before="194"/>
      </w:pPr>
    </w:p>
    <w:p w14:paraId="7CB25DD3" w14:textId="77777777" w:rsidR="008A4099" w:rsidRDefault="006A6EE2">
      <w:pPr>
        <w:pStyle w:val="ListParagraph"/>
        <w:numPr>
          <w:ilvl w:val="2"/>
          <w:numId w:val="9"/>
        </w:numPr>
        <w:tabs>
          <w:tab w:val="left" w:pos="879"/>
        </w:tabs>
        <w:spacing w:before="1"/>
        <w:ind w:right="676" w:firstLine="0"/>
        <w:jc w:val="both"/>
        <w:rPr>
          <w:sz w:val="13"/>
        </w:rPr>
      </w:pPr>
      <w:r>
        <w:t>Any person concerned that a public entity is not acting or making decisions consistently with the Qld Human Rights Act is required to complain directly to the public entity, in the first instance, to encourage</w:t>
      </w:r>
      <w:r>
        <w:rPr>
          <w:spacing w:val="-10"/>
        </w:rPr>
        <w:t xml:space="preserve"> </w:t>
      </w:r>
      <w:r>
        <w:t>early</w:t>
      </w:r>
      <w:r>
        <w:rPr>
          <w:spacing w:val="-11"/>
        </w:rPr>
        <w:t xml:space="preserve"> </w:t>
      </w:r>
      <w:r>
        <w:t>resolution.</w:t>
      </w:r>
      <w:r>
        <w:rPr>
          <w:position w:val="7"/>
          <w:sz w:val="13"/>
        </w:rPr>
        <w:t>105</w:t>
      </w:r>
      <w:r>
        <w:rPr>
          <w:spacing w:val="-5"/>
          <w:position w:val="7"/>
          <w:sz w:val="13"/>
        </w:rPr>
        <w:t xml:space="preserve"> </w:t>
      </w:r>
      <w:r>
        <w:t>This</w:t>
      </w:r>
      <w:r>
        <w:rPr>
          <w:spacing w:val="-10"/>
        </w:rPr>
        <w:t xml:space="preserve"> </w:t>
      </w:r>
      <w:r>
        <w:t>is</w:t>
      </w:r>
      <w:r>
        <w:rPr>
          <w:spacing w:val="-10"/>
        </w:rPr>
        <w:t xml:space="preserve"> </w:t>
      </w:r>
      <w:r>
        <w:t>said</w:t>
      </w:r>
      <w:r>
        <w:rPr>
          <w:spacing w:val="-13"/>
        </w:rPr>
        <w:t xml:space="preserve"> </w:t>
      </w:r>
      <w:r>
        <w:t>to</w:t>
      </w:r>
      <w:r>
        <w:rPr>
          <w:spacing w:val="-11"/>
        </w:rPr>
        <w:t xml:space="preserve"> </w:t>
      </w:r>
      <w:r>
        <w:t>have</w:t>
      </w:r>
      <w:r>
        <w:rPr>
          <w:spacing w:val="-13"/>
        </w:rPr>
        <w:t xml:space="preserve"> </w:t>
      </w:r>
      <w:r>
        <w:t>resulted</w:t>
      </w:r>
      <w:r>
        <w:rPr>
          <w:spacing w:val="-11"/>
        </w:rPr>
        <w:t xml:space="preserve"> </w:t>
      </w:r>
      <w:r>
        <w:t>a</w:t>
      </w:r>
      <w:r>
        <w:rPr>
          <w:spacing w:val="-11"/>
        </w:rPr>
        <w:t xml:space="preserve"> </w:t>
      </w:r>
      <w:r>
        <w:t>positive</w:t>
      </w:r>
      <w:r>
        <w:rPr>
          <w:spacing w:val="-11"/>
        </w:rPr>
        <w:t xml:space="preserve"> </w:t>
      </w:r>
      <w:r>
        <w:t>change</w:t>
      </w:r>
      <w:r>
        <w:rPr>
          <w:spacing w:val="-11"/>
        </w:rPr>
        <w:t xml:space="preserve"> </w:t>
      </w:r>
      <w:r>
        <w:t>in</w:t>
      </w:r>
      <w:r>
        <w:rPr>
          <w:spacing w:val="-11"/>
        </w:rPr>
        <w:t xml:space="preserve"> </w:t>
      </w:r>
      <w:r>
        <w:t>the</w:t>
      </w:r>
      <w:r>
        <w:rPr>
          <w:spacing w:val="-11"/>
        </w:rPr>
        <w:t xml:space="preserve"> </w:t>
      </w:r>
      <w:r>
        <w:t>processing</w:t>
      </w:r>
      <w:r>
        <w:rPr>
          <w:spacing w:val="-11"/>
        </w:rPr>
        <w:t xml:space="preserve"> </w:t>
      </w:r>
      <w:r>
        <w:t>of</w:t>
      </w:r>
      <w:r>
        <w:rPr>
          <w:spacing w:val="-13"/>
        </w:rPr>
        <w:t xml:space="preserve"> </w:t>
      </w:r>
      <w:r>
        <w:t>internal complaints before they are escalated.</w:t>
      </w:r>
      <w:r>
        <w:rPr>
          <w:position w:val="7"/>
          <w:sz w:val="13"/>
        </w:rPr>
        <w:t>106</w:t>
      </w:r>
    </w:p>
    <w:p w14:paraId="7CB25DD4" w14:textId="77777777" w:rsidR="008A4099" w:rsidRDefault="006A6EE2">
      <w:pPr>
        <w:pStyle w:val="ListParagraph"/>
        <w:numPr>
          <w:ilvl w:val="2"/>
          <w:numId w:val="9"/>
        </w:numPr>
        <w:tabs>
          <w:tab w:val="left" w:pos="879"/>
        </w:tabs>
        <w:spacing w:before="216"/>
        <w:ind w:right="675" w:firstLine="0"/>
        <w:jc w:val="both"/>
        <w:rPr>
          <w:sz w:val="13"/>
        </w:rPr>
      </w:pPr>
      <w:r>
        <w:t>If an internal complaint is not addressed within 45 business days, or the complainant is dissatisfied</w:t>
      </w:r>
      <w:r>
        <w:rPr>
          <w:spacing w:val="-14"/>
        </w:rPr>
        <w:t xml:space="preserve"> </w:t>
      </w:r>
      <w:r>
        <w:t>with</w:t>
      </w:r>
      <w:r>
        <w:rPr>
          <w:spacing w:val="-14"/>
        </w:rPr>
        <w:t xml:space="preserve"> </w:t>
      </w:r>
      <w:r>
        <w:t>the</w:t>
      </w:r>
      <w:r>
        <w:rPr>
          <w:spacing w:val="-14"/>
        </w:rPr>
        <w:t xml:space="preserve"> </w:t>
      </w:r>
      <w:r>
        <w:t>response,</w:t>
      </w:r>
      <w:r>
        <w:rPr>
          <w:position w:val="7"/>
          <w:sz w:val="13"/>
        </w:rPr>
        <w:t>107</w:t>
      </w:r>
      <w:r>
        <w:rPr>
          <w:spacing w:val="-8"/>
          <w:position w:val="7"/>
          <w:sz w:val="13"/>
        </w:rPr>
        <w:t xml:space="preserve"> </w:t>
      </w:r>
      <w:r>
        <w:t>a</w:t>
      </w:r>
      <w:r>
        <w:rPr>
          <w:spacing w:val="-14"/>
        </w:rPr>
        <w:t xml:space="preserve"> </w:t>
      </w:r>
      <w:r>
        <w:t>complaint</w:t>
      </w:r>
      <w:r>
        <w:rPr>
          <w:spacing w:val="-13"/>
        </w:rPr>
        <w:t xml:space="preserve"> </w:t>
      </w:r>
      <w:r>
        <w:t>can</w:t>
      </w:r>
      <w:r>
        <w:rPr>
          <w:spacing w:val="-14"/>
        </w:rPr>
        <w:t xml:space="preserve"> </w:t>
      </w:r>
      <w:r>
        <w:t>be</w:t>
      </w:r>
      <w:r>
        <w:rPr>
          <w:spacing w:val="-14"/>
        </w:rPr>
        <w:t xml:space="preserve"> </w:t>
      </w:r>
      <w:r>
        <w:t>made</w:t>
      </w:r>
      <w:r>
        <w:rPr>
          <w:spacing w:val="-14"/>
        </w:rPr>
        <w:t xml:space="preserve"> </w:t>
      </w:r>
      <w:r>
        <w:t>to</w:t>
      </w:r>
      <w:r>
        <w:rPr>
          <w:spacing w:val="-13"/>
        </w:rPr>
        <w:t xml:space="preserve"> </w:t>
      </w:r>
      <w:r>
        <w:t>the</w:t>
      </w:r>
      <w:r>
        <w:rPr>
          <w:spacing w:val="-14"/>
        </w:rPr>
        <w:t xml:space="preserve"> </w:t>
      </w:r>
      <w:r>
        <w:t>Queensland</w:t>
      </w:r>
      <w:r>
        <w:rPr>
          <w:spacing w:val="-14"/>
        </w:rPr>
        <w:t xml:space="preserve"> </w:t>
      </w:r>
      <w:r>
        <w:t>Human</w:t>
      </w:r>
      <w:r>
        <w:rPr>
          <w:spacing w:val="-14"/>
        </w:rPr>
        <w:t xml:space="preserve"> </w:t>
      </w:r>
      <w:r>
        <w:t>Rights</w:t>
      </w:r>
      <w:r>
        <w:rPr>
          <w:spacing w:val="-13"/>
        </w:rPr>
        <w:t xml:space="preserve"> </w:t>
      </w:r>
      <w:r>
        <w:t>Commission and</w:t>
      </w:r>
      <w:r>
        <w:rPr>
          <w:spacing w:val="-8"/>
        </w:rPr>
        <w:t xml:space="preserve"> </w:t>
      </w:r>
      <w:r>
        <w:t>referred</w:t>
      </w:r>
      <w:r>
        <w:rPr>
          <w:spacing w:val="-11"/>
        </w:rPr>
        <w:t xml:space="preserve"> </w:t>
      </w:r>
      <w:r>
        <w:t>for</w:t>
      </w:r>
      <w:r>
        <w:rPr>
          <w:spacing w:val="-8"/>
        </w:rPr>
        <w:t xml:space="preserve"> </w:t>
      </w:r>
      <w:r>
        <w:t>conciliation.</w:t>
      </w:r>
      <w:r>
        <w:rPr>
          <w:position w:val="7"/>
          <w:sz w:val="13"/>
        </w:rPr>
        <w:t>108</w:t>
      </w:r>
      <w:r>
        <w:rPr>
          <w:spacing w:val="-5"/>
          <w:position w:val="7"/>
          <w:sz w:val="13"/>
        </w:rPr>
        <w:t xml:space="preserve"> </w:t>
      </w:r>
      <w:r>
        <w:t>The</w:t>
      </w:r>
      <w:r>
        <w:rPr>
          <w:spacing w:val="-9"/>
        </w:rPr>
        <w:t xml:space="preserve"> </w:t>
      </w:r>
      <w:r>
        <w:t>Commission</w:t>
      </w:r>
      <w:r>
        <w:rPr>
          <w:spacing w:val="-9"/>
        </w:rPr>
        <w:t xml:space="preserve"> </w:t>
      </w:r>
      <w:r>
        <w:t>may</w:t>
      </w:r>
      <w:r>
        <w:rPr>
          <w:spacing w:val="-8"/>
        </w:rPr>
        <w:t xml:space="preserve"> </w:t>
      </w:r>
      <w:r>
        <w:t>refuse</w:t>
      </w:r>
      <w:r>
        <w:rPr>
          <w:spacing w:val="-8"/>
        </w:rPr>
        <w:t xml:space="preserve"> </w:t>
      </w:r>
      <w:r>
        <w:t>to</w:t>
      </w:r>
      <w:r>
        <w:rPr>
          <w:spacing w:val="-9"/>
        </w:rPr>
        <w:t xml:space="preserve"> </w:t>
      </w:r>
      <w:r>
        <w:t>deal</w:t>
      </w:r>
      <w:r>
        <w:rPr>
          <w:spacing w:val="-7"/>
        </w:rPr>
        <w:t xml:space="preserve"> </w:t>
      </w:r>
      <w:r>
        <w:t>with</w:t>
      </w:r>
      <w:r>
        <w:rPr>
          <w:spacing w:val="-9"/>
        </w:rPr>
        <w:t xml:space="preserve"> </w:t>
      </w:r>
      <w:r>
        <w:t>the</w:t>
      </w:r>
      <w:r>
        <w:rPr>
          <w:spacing w:val="-8"/>
        </w:rPr>
        <w:t xml:space="preserve"> </w:t>
      </w:r>
      <w:r>
        <w:t>complaint,</w:t>
      </w:r>
      <w:r>
        <w:rPr>
          <w:spacing w:val="-8"/>
        </w:rPr>
        <w:t xml:space="preserve"> </w:t>
      </w:r>
      <w:r>
        <w:t>if</w:t>
      </w:r>
      <w:r>
        <w:rPr>
          <w:spacing w:val="-10"/>
        </w:rPr>
        <w:t xml:space="preserve"> </w:t>
      </w:r>
      <w:r>
        <w:t>it</w:t>
      </w:r>
      <w:r>
        <w:rPr>
          <w:spacing w:val="-10"/>
        </w:rPr>
        <w:t xml:space="preserve"> </w:t>
      </w:r>
      <w:r>
        <w:t>is</w:t>
      </w:r>
      <w:r>
        <w:rPr>
          <w:spacing w:val="-8"/>
        </w:rPr>
        <w:t xml:space="preserve"> </w:t>
      </w:r>
      <w:r>
        <w:t>not</w:t>
      </w:r>
      <w:r>
        <w:rPr>
          <w:spacing w:val="-8"/>
        </w:rPr>
        <w:t xml:space="preserve"> </w:t>
      </w:r>
      <w:r>
        <w:t>made within one year of the public entity’s decision or action.</w:t>
      </w:r>
      <w:r>
        <w:rPr>
          <w:position w:val="7"/>
          <w:sz w:val="13"/>
        </w:rPr>
        <w:t>109</w:t>
      </w:r>
    </w:p>
    <w:p w14:paraId="7CB25DD5" w14:textId="77777777" w:rsidR="008A4099" w:rsidRDefault="006A6EE2">
      <w:pPr>
        <w:pStyle w:val="ListParagraph"/>
        <w:numPr>
          <w:ilvl w:val="2"/>
          <w:numId w:val="9"/>
        </w:numPr>
        <w:tabs>
          <w:tab w:val="left" w:pos="879"/>
        </w:tabs>
        <w:spacing w:before="217" w:line="237" w:lineRule="auto"/>
        <w:ind w:right="674" w:firstLine="0"/>
        <w:jc w:val="both"/>
        <w:rPr>
          <w:sz w:val="13"/>
        </w:rPr>
      </w:pPr>
      <w:r>
        <w:t>In 2020-21, the Commission received 369 complaints relating to human rights: 151 were accepted for conciliation; 47 were resolved through conciliation; 26 were referred to a tribunal.</w:t>
      </w:r>
      <w:r>
        <w:rPr>
          <w:position w:val="7"/>
          <w:sz w:val="13"/>
        </w:rPr>
        <w:t>110</w:t>
      </w:r>
    </w:p>
    <w:p w14:paraId="7CB25DD6" w14:textId="77777777" w:rsidR="008A4099" w:rsidRDefault="006A6EE2">
      <w:pPr>
        <w:pStyle w:val="ListParagraph"/>
        <w:numPr>
          <w:ilvl w:val="2"/>
          <w:numId w:val="9"/>
        </w:numPr>
        <w:tabs>
          <w:tab w:val="left" w:pos="879"/>
        </w:tabs>
        <w:spacing w:before="218"/>
        <w:ind w:right="672" w:firstLine="0"/>
        <w:jc w:val="both"/>
        <w:rPr>
          <w:sz w:val="13"/>
        </w:rPr>
      </w:pPr>
      <w:r>
        <w:t>In comparison to the Victorian and ACT human rights regimes, the Qld Human Rights Act recognises a broader suite of rights.</w:t>
      </w:r>
      <w:r>
        <w:rPr>
          <w:position w:val="7"/>
          <w:sz w:val="13"/>
        </w:rPr>
        <w:t>111</w:t>
      </w:r>
      <w:r>
        <w:rPr>
          <w:spacing w:val="40"/>
          <w:position w:val="7"/>
          <w:sz w:val="13"/>
        </w:rPr>
        <w:t xml:space="preserve"> </w:t>
      </w:r>
      <w:r>
        <w:t>It also provides a more accessible complaints mechanism for redressing</w:t>
      </w:r>
      <w:r>
        <w:rPr>
          <w:spacing w:val="-16"/>
        </w:rPr>
        <w:t xml:space="preserve"> </w:t>
      </w:r>
      <w:r>
        <w:t>breaches</w:t>
      </w:r>
      <w:r>
        <w:rPr>
          <w:spacing w:val="-14"/>
        </w:rPr>
        <w:t xml:space="preserve"> </w:t>
      </w:r>
      <w:r>
        <w:t>of</w:t>
      </w:r>
      <w:r>
        <w:rPr>
          <w:spacing w:val="-14"/>
        </w:rPr>
        <w:t xml:space="preserve"> </w:t>
      </w:r>
      <w:r>
        <w:t>rights</w:t>
      </w:r>
      <w:r>
        <w:rPr>
          <w:spacing w:val="-13"/>
        </w:rPr>
        <w:t xml:space="preserve"> </w:t>
      </w:r>
      <w:r>
        <w:t>than</w:t>
      </w:r>
      <w:r>
        <w:rPr>
          <w:spacing w:val="-14"/>
        </w:rPr>
        <w:t xml:space="preserve"> </w:t>
      </w:r>
      <w:r>
        <w:t>exists</w:t>
      </w:r>
      <w:r>
        <w:rPr>
          <w:spacing w:val="-14"/>
        </w:rPr>
        <w:t xml:space="preserve"> </w:t>
      </w:r>
      <w:r>
        <w:t>in</w:t>
      </w:r>
      <w:r>
        <w:rPr>
          <w:spacing w:val="-14"/>
        </w:rPr>
        <w:t xml:space="preserve"> </w:t>
      </w:r>
      <w:r>
        <w:t>Victoria</w:t>
      </w:r>
      <w:r>
        <w:rPr>
          <w:spacing w:val="-13"/>
        </w:rPr>
        <w:t xml:space="preserve"> </w:t>
      </w:r>
      <w:r>
        <w:t>and</w:t>
      </w:r>
      <w:r>
        <w:rPr>
          <w:spacing w:val="-14"/>
        </w:rPr>
        <w:t xml:space="preserve"> </w:t>
      </w:r>
      <w:r>
        <w:t>the</w:t>
      </w:r>
      <w:r>
        <w:rPr>
          <w:spacing w:val="-14"/>
        </w:rPr>
        <w:t xml:space="preserve"> </w:t>
      </w:r>
      <w:r>
        <w:t>ACT,</w:t>
      </w:r>
      <w:r>
        <w:rPr>
          <w:spacing w:val="-14"/>
        </w:rPr>
        <w:t xml:space="preserve"> </w:t>
      </w:r>
      <w:r>
        <w:t>by</w:t>
      </w:r>
      <w:r>
        <w:rPr>
          <w:spacing w:val="-13"/>
        </w:rPr>
        <w:t xml:space="preserve"> </w:t>
      </w:r>
      <w:r>
        <w:t>providing</w:t>
      </w:r>
      <w:r>
        <w:rPr>
          <w:spacing w:val="-14"/>
        </w:rPr>
        <w:t xml:space="preserve"> </w:t>
      </w:r>
      <w:r>
        <w:t>a</w:t>
      </w:r>
      <w:r>
        <w:rPr>
          <w:spacing w:val="-14"/>
        </w:rPr>
        <w:t xml:space="preserve"> </w:t>
      </w:r>
      <w:r>
        <w:t>human</w:t>
      </w:r>
      <w:r>
        <w:rPr>
          <w:spacing w:val="-14"/>
        </w:rPr>
        <w:t xml:space="preserve"> </w:t>
      </w:r>
      <w:r>
        <w:t>rights</w:t>
      </w:r>
      <w:r>
        <w:rPr>
          <w:spacing w:val="-13"/>
        </w:rPr>
        <w:t xml:space="preserve"> </w:t>
      </w:r>
      <w:r>
        <w:t>complaint and dispute resolution function of the Queensland Human Rights Commission.</w:t>
      </w:r>
      <w:r>
        <w:rPr>
          <w:position w:val="7"/>
          <w:sz w:val="13"/>
        </w:rPr>
        <w:t>112</w:t>
      </w:r>
      <w:r>
        <w:rPr>
          <w:spacing w:val="40"/>
          <w:position w:val="7"/>
          <w:sz w:val="13"/>
        </w:rPr>
        <w:t xml:space="preserve"> </w:t>
      </w:r>
      <w:r>
        <w:t>The Qld Human Rights</w:t>
      </w:r>
      <w:r>
        <w:rPr>
          <w:spacing w:val="-14"/>
        </w:rPr>
        <w:t xml:space="preserve"> </w:t>
      </w:r>
      <w:r>
        <w:t>Act</w:t>
      </w:r>
      <w:r>
        <w:rPr>
          <w:spacing w:val="-14"/>
        </w:rPr>
        <w:t xml:space="preserve"> </w:t>
      </w:r>
      <w:r>
        <w:t>has,</w:t>
      </w:r>
      <w:r>
        <w:rPr>
          <w:spacing w:val="-13"/>
        </w:rPr>
        <w:t xml:space="preserve"> </w:t>
      </w:r>
      <w:r>
        <w:t>nevertheless,</w:t>
      </w:r>
      <w:r>
        <w:rPr>
          <w:spacing w:val="-14"/>
        </w:rPr>
        <w:t xml:space="preserve"> </w:t>
      </w:r>
      <w:r>
        <w:t>been</w:t>
      </w:r>
      <w:r>
        <w:rPr>
          <w:spacing w:val="-14"/>
        </w:rPr>
        <w:t xml:space="preserve"> </w:t>
      </w:r>
      <w:r>
        <w:t>criticised</w:t>
      </w:r>
      <w:r>
        <w:rPr>
          <w:spacing w:val="-13"/>
        </w:rPr>
        <w:t xml:space="preserve"> </w:t>
      </w:r>
      <w:r>
        <w:t>for:</w:t>
      </w:r>
      <w:r>
        <w:rPr>
          <w:spacing w:val="-14"/>
        </w:rPr>
        <w:t xml:space="preserve"> </w:t>
      </w:r>
      <w:r>
        <w:t>maintaining</w:t>
      </w:r>
      <w:r>
        <w:rPr>
          <w:spacing w:val="-14"/>
        </w:rPr>
        <w:t xml:space="preserve"> </w:t>
      </w:r>
      <w:r>
        <w:t>override</w:t>
      </w:r>
      <w:r>
        <w:rPr>
          <w:spacing w:val="-13"/>
        </w:rPr>
        <w:t xml:space="preserve"> </w:t>
      </w:r>
      <w:r>
        <w:t>provisions;</w:t>
      </w:r>
      <w:r>
        <w:rPr>
          <w:spacing w:val="-13"/>
        </w:rPr>
        <w:t xml:space="preserve"> </w:t>
      </w:r>
      <w:r>
        <w:t>not</w:t>
      </w:r>
      <w:r>
        <w:rPr>
          <w:spacing w:val="-13"/>
        </w:rPr>
        <w:t xml:space="preserve"> </w:t>
      </w:r>
      <w:r>
        <w:t>providing</w:t>
      </w:r>
      <w:r>
        <w:rPr>
          <w:spacing w:val="-14"/>
        </w:rPr>
        <w:t xml:space="preserve"> </w:t>
      </w:r>
      <w:r>
        <w:t>a</w:t>
      </w:r>
      <w:r>
        <w:rPr>
          <w:spacing w:val="-13"/>
        </w:rPr>
        <w:t xml:space="preserve"> </w:t>
      </w:r>
      <w:r>
        <w:t>stand- alone right of action for contraventions of human rights but instead requiring human rights claims to ‘piggy-back’</w:t>
      </w:r>
      <w:r>
        <w:rPr>
          <w:spacing w:val="-5"/>
        </w:rPr>
        <w:t xml:space="preserve"> </w:t>
      </w:r>
      <w:r>
        <w:t>on</w:t>
      </w:r>
      <w:r>
        <w:rPr>
          <w:spacing w:val="-9"/>
        </w:rPr>
        <w:t xml:space="preserve"> </w:t>
      </w:r>
      <w:r>
        <w:t>other</w:t>
      </w:r>
      <w:r>
        <w:rPr>
          <w:spacing w:val="-7"/>
        </w:rPr>
        <w:t xml:space="preserve"> </w:t>
      </w:r>
      <w:r>
        <w:t>legal</w:t>
      </w:r>
      <w:r>
        <w:rPr>
          <w:spacing w:val="-10"/>
        </w:rPr>
        <w:t xml:space="preserve"> </w:t>
      </w:r>
      <w:r>
        <w:t>claims</w:t>
      </w:r>
      <w:r>
        <w:rPr>
          <w:spacing w:val="-8"/>
        </w:rPr>
        <w:t xml:space="preserve"> </w:t>
      </w:r>
      <w:r>
        <w:t>(mirroring</w:t>
      </w:r>
      <w:r>
        <w:rPr>
          <w:spacing w:val="-9"/>
        </w:rPr>
        <w:t xml:space="preserve"> </w:t>
      </w:r>
      <w:r>
        <w:t>the</w:t>
      </w:r>
      <w:r>
        <w:rPr>
          <w:spacing w:val="-6"/>
        </w:rPr>
        <w:t xml:space="preserve"> </w:t>
      </w:r>
      <w:r>
        <w:t>Victorian</w:t>
      </w:r>
      <w:r>
        <w:rPr>
          <w:spacing w:val="-8"/>
        </w:rPr>
        <w:t xml:space="preserve"> </w:t>
      </w:r>
      <w:r>
        <w:t>approach);</w:t>
      </w:r>
      <w:r>
        <w:rPr>
          <w:spacing w:val="-7"/>
        </w:rPr>
        <w:t xml:space="preserve"> </w:t>
      </w:r>
      <w:r>
        <w:t>and</w:t>
      </w:r>
      <w:r>
        <w:rPr>
          <w:spacing w:val="-8"/>
        </w:rPr>
        <w:t xml:space="preserve"> </w:t>
      </w:r>
      <w:r>
        <w:t>for</w:t>
      </w:r>
      <w:r>
        <w:rPr>
          <w:spacing w:val="-8"/>
        </w:rPr>
        <w:t xml:space="preserve"> </w:t>
      </w:r>
      <w:r>
        <w:t>not</w:t>
      </w:r>
      <w:r>
        <w:rPr>
          <w:spacing w:val="-8"/>
        </w:rPr>
        <w:t xml:space="preserve"> </w:t>
      </w:r>
      <w:r>
        <w:t>allowing</w:t>
      </w:r>
      <w:r>
        <w:rPr>
          <w:spacing w:val="-9"/>
        </w:rPr>
        <w:t xml:space="preserve"> </w:t>
      </w:r>
      <w:r>
        <w:t>damages</w:t>
      </w:r>
      <w:r>
        <w:rPr>
          <w:spacing w:val="-8"/>
        </w:rPr>
        <w:t xml:space="preserve"> </w:t>
      </w:r>
      <w:r>
        <w:t>to be awarded for a breach of human rights.</w:t>
      </w:r>
      <w:r>
        <w:rPr>
          <w:position w:val="7"/>
          <w:sz w:val="13"/>
        </w:rPr>
        <w:t>113</w:t>
      </w:r>
      <w:r>
        <w:rPr>
          <w:spacing w:val="40"/>
          <w:position w:val="7"/>
          <w:sz w:val="13"/>
        </w:rPr>
        <w:t xml:space="preserve"> </w:t>
      </w:r>
      <w:r>
        <w:t>The Queensland Human Rights Commissioner has also suggested</w:t>
      </w:r>
      <w:r>
        <w:rPr>
          <w:spacing w:val="-8"/>
        </w:rPr>
        <w:t xml:space="preserve"> </w:t>
      </w:r>
      <w:r>
        <w:t>that</w:t>
      </w:r>
      <w:r>
        <w:rPr>
          <w:spacing w:val="-5"/>
        </w:rPr>
        <w:t xml:space="preserve"> </w:t>
      </w:r>
      <w:r>
        <w:t>the</w:t>
      </w:r>
      <w:r>
        <w:rPr>
          <w:spacing w:val="-8"/>
        </w:rPr>
        <w:t xml:space="preserve"> </w:t>
      </w:r>
      <w:r>
        <w:t>lack</w:t>
      </w:r>
      <w:r>
        <w:rPr>
          <w:spacing w:val="-6"/>
        </w:rPr>
        <w:t xml:space="preserve"> </w:t>
      </w:r>
      <w:r>
        <w:t>of</w:t>
      </w:r>
      <w:r>
        <w:rPr>
          <w:spacing w:val="-5"/>
        </w:rPr>
        <w:t xml:space="preserve"> </w:t>
      </w:r>
      <w:r>
        <w:t>a</w:t>
      </w:r>
      <w:r>
        <w:rPr>
          <w:spacing w:val="-8"/>
        </w:rPr>
        <w:t xml:space="preserve"> </w:t>
      </w:r>
      <w:r>
        <w:t>real</w:t>
      </w:r>
      <w:r>
        <w:rPr>
          <w:spacing w:val="-5"/>
        </w:rPr>
        <w:t xml:space="preserve"> </w:t>
      </w:r>
      <w:r>
        <w:t>threat</w:t>
      </w:r>
      <w:r>
        <w:rPr>
          <w:spacing w:val="-5"/>
        </w:rPr>
        <w:t xml:space="preserve"> </w:t>
      </w:r>
      <w:r>
        <w:t>of</w:t>
      </w:r>
      <w:r>
        <w:rPr>
          <w:spacing w:val="-5"/>
        </w:rPr>
        <w:t xml:space="preserve"> </w:t>
      </w:r>
      <w:r>
        <w:t>legal</w:t>
      </w:r>
      <w:r>
        <w:rPr>
          <w:spacing w:val="-5"/>
        </w:rPr>
        <w:t xml:space="preserve"> </w:t>
      </w:r>
      <w:r>
        <w:t>proceedings</w:t>
      </w:r>
      <w:r>
        <w:rPr>
          <w:spacing w:val="-5"/>
        </w:rPr>
        <w:t xml:space="preserve"> </w:t>
      </w:r>
      <w:r>
        <w:t>undermines</w:t>
      </w:r>
      <w:r>
        <w:rPr>
          <w:spacing w:val="-5"/>
        </w:rPr>
        <w:t xml:space="preserve"> </w:t>
      </w:r>
      <w:r>
        <w:t>any</w:t>
      </w:r>
      <w:r>
        <w:rPr>
          <w:spacing w:val="-6"/>
        </w:rPr>
        <w:t xml:space="preserve"> </w:t>
      </w:r>
      <w:r>
        <w:t>incentive</w:t>
      </w:r>
      <w:r>
        <w:rPr>
          <w:spacing w:val="-6"/>
        </w:rPr>
        <w:t xml:space="preserve"> </w:t>
      </w:r>
      <w:r>
        <w:t>for</w:t>
      </w:r>
      <w:r>
        <w:rPr>
          <w:spacing w:val="-5"/>
        </w:rPr>
        <w:t xml:space="preserve"> </w:t>
      </w:r>
      <w:r>
        <w:t>public</w:t>
      </w:r>
      <w:r>
        <w:rPr>
          <w:spacing w:val="-6"/>
        </w:rPr>
        <w:t xml:space="preserve"> </w:t>
      </w:r>
      <w:r>
        <w:t>entities to resolve matters through conciliation.</w:t>
      </w:r>
      <w:r>
        <w:rPr>
          <w:position w:val="7"/>
          <w:sz w:val="13"/>
        </w:rPr>
        <w:t>114</w:t>
      </w:r>
    </w:p>
    <w:p w14:paraId="7CB25DD7" w14:textId="77777777" w:rsidR="008A4099" w:rsidRDefault="006A6EE2">
      <w:pPr>
        <w:pStyle w:val="ListParagraph"/>
        <w:numPr>
          <w:ilvl w:val="2"/>
          <w:numId w:val="9"/>
        </w:numPr>
        <w:tabs>
          <w:tab w:val="left" w:pos="879"/>
        </w:tabs>
        <w:spacing w:before="218"/>
        <w:ind w:right="674" w:firstLine="0"/>
        <w:jc w:val="both"/>
        <w:rPr>
          <w:sz w:val="13"/>
        </w:rPr>
      </w:pPr>
      <w:r>
        <w:t>A view expressed is that the advantages derived from a broad definition of public entity, and the capacity for organisations to elect to be recognised as public entities, are diminished by the broad- based exemption from the Act for religious organisations, particularly given the number of public services</w:t>
      </w:r>
      <w:r>
        <w:rPr>
          <w:spacing w:val="-11"/>
        </w:rPr>
        <w:t xml:space="preserve"> </w:t>
      </w:r>
      <w:r>
        <w:t>delivered</w:t>
      </w:r>
      <w:r>
        <w:rPr>
          <w:spacing w:val="-12"/>
        </w:rPr>
        <w:t xml:space="preserve"> </w:t>
      </w:r>
      <w:r>
        <w:t>on</w:t>
      </w:r>
      <w:r>
        <w:rPr>
          <w:spacing w:val="-12"/>
        </w:rPr>
        <w:t xml:space="preserve"> </w:t>
      </w:r>
      <w:r>
        <w:t>behalf</w:t>
      </w:r>
      <w:r>
        <w:rPr>
          <w:spacing w:val="-13"/>
        </w:rPr>
        <w:t xml:space="preserve"> </w:t>
      </w:r>
      <w:r>
        <w:t>of</w:t>
      </w:r>
      <w:r>
        <w:rPr>
          <w:spacing w:val="-11"/>
        </w:rPr>
        <w:t xml:space="preserve"> </w:t>
      </w:r>
      <w:r>
        <w:t>government</w:t>
      </w:r>
      <w:r>
        <w:rPr>
          <w:spacing w:val="-11"/>
        </w:rPr>
        <w:t xml:space="preserve"> </w:t>
      </w:r>
      <w:r>
        <w:t>by</w:t>
      </w:r>
      <w:r>
        <w:rPr>
          <w:spacing w:val="-12"/>
        </w:rPr>
        <w:t xml:space="preserve"> </w:t>
      </w:r>
      <w:r>
        <w:t>religious</w:t>
      </w:r>
      <w:r>
        <w:rPr>
          <w:spacing w:val="-14"/>
        </w:rPr>
        <w:t xml:space="preserve"> </w:t>
      </w:r>
      <w:r>
        <w:t>organisations.</w:t>
      </w:r>
      <w:r>
        <w:rPr>
          <w:position w:val="7"/>
          <w:sz w:val="13"/>
        </w:rPr>
        <w:t>115</w:t>
      </w:r>
      <w:r>
        <w:rPr>
          <w:spacing w:val="-5"/>
          <w:position w:val="7"/>
          <w:sz w:val="13"/>
        </w:rPr>
        <w:t xml:space="preserve"> </w:t>
      </w:r>
      <w:r>
        <w:t>Further,</w:t>
      </w:r>
      <w:r>
        <w:rPr>
          <w:spacing w:val="-14"/>
        </w:rPr>
        <w:t xml:space="preserve"> </w:t>
      </w:r>
      <w:r>
        <w:t>it</w:t>
      </w:r>
      <w:r>
        <w:rPr>
          <w:spacing w:val="-11"/>
        </w:rPr>
        <w:t xml:space="preserve"> </w:t>
      </w:r>
      <w:r>
        <w:t>has</w:t>
      </w:r>
      <w:r>
        <w:rPr>
          <w:spacing w:val="-11"/>
        </w:rPr>
        <w:t xml:space="preserve"> </w:t>
      </w:r>
      <w:r>
        <w:t>been</w:t>
      </w:r>
      <w:r>
        <w:rPr>
          <w:spacing w:val="-14"/>
        </w:rPr>
        <w:t xml:space="preserve"> </w:t>
      </w:r>
      <w:r>
        <w:t>argued</w:t>
      </w:r>
      <w:r>
        <w:rPr>
          <w:spacing w:val="-12"/>
        </w:rPr>
        <w:t xml:space="preserve"> </w:t>
      </w:r>
      <w:r>
        <w:t>that there</w:t>
      </w:r>
      <w:r>
        <w:rPr>
          <w:spacing w:val="-2"/>
        </w:rPr>
        <w:t xml:space="preserve"> </w:t>
      </w:r>
      <w:r>
        <w:t>is</w:t>
      </w:r>
      <w:r>
        <w:rPr>
          <w:spacing w:val="-2"/>
        </w:rPr>
        <w:t xml:space="preserve"> </w:t>
      </w:r>
      <w:r>
        <w:t>a</w:t>
      </w:r>
      <w:r>
        <w:rPr>
          <w:spacing w:val="-2"/>
        </w:rPr>
        <w:t xml:space="preserve"> </w:t>
      </w:r>
      <w:r>
        <w:t>risk</w:t>
      </w:r>
      <w:r>
        <w:rPr>
          <w:spacing w:val="-2"/>
        </w:rPr>
        <w:t xml:space="preserve"> </w:t>
      </w:r>
      <w:r>
        <w:t>that</w:t>
      </w:r>
      <w:r>
        <w:rPr>
          <w:spacing w:val="-1"/>
        </w:rPr>
        <w:t xml:space="preserve"> </w:t>
      </w:r>
      <w:r>
        <w:t>provisions</w:t>
      </w:r>
      <w:r>
        <w:rPr>
          <w:spacing w:val="-2"/>
        </w:rPr>
        <w:t xml:space="preserve"> </w:t>
      </w:r>
      <w:r>
        <w:t>allowing</w:t>
      </w:r>
      <w:r>
        <w:rPr>
          <w:spacing w:val="-2"/>
        </w:rPr>
        <w:t xml:space="preserve"> </w:t>
      </w:r>
      <w:r>
        <w:t>correctional</w:t>
      </w:r>
      <w:r>
        <w:rPr>
          <w:spacing w:val="-1"/>
        </w:rPr>
        <w:t xml:space="preserve"> </w:t>
      </w:r>
      <w:r>
        <w:t>facilities (including</w:t>
      </w:r>
      <w:r>
        <w:rPr>
          <w:spacing w:val="-2"/>
        </w:rPr>
        <w:t xml:space="preserve"> </w:t>
      </w:r>
      <w:r>
        <w:t>detention</w:t>
      </w:r>
      <w:r>
        <w:rPr>
          <w:spacing w:val="-2"/>
        </w:rPr>
        <w:t xml:space="preserve"> </w:t>
      </w:r>
      <w:r>
        <w:t>facilities</w:t>
      </w:r>
      <w:r>
        <w:rPr>
          <w:spacing w:val="-2"/>
        </w:rPr>
        <w:t xml:space="preserve"> </w:t>
      </w:r>
      <w:r>
        <w:t>for</w:t>
      </w:r>
      <w:r>
        <w:rPr>
          <w:spacing w:val="-2"/>
        </w:rPr>
        <w:t xml:space="preserve"> </w:t>
      </w:r>
      <w:r>
        <w:t>children and youths) to justify policies that limit human rights on the grounds of security, good management, and the safety and welfare of those held in detention</w:t>
      </w:r>
      <w:r>
        <w:rPr>
          <w:position w:val="7"/>
          <w:sz w:val="13"/>
        </w:rPr>
        <w:t>116</w:t>
      </w:r>
      <w:r>
        <w:rPr>
          <w:spacing w:val="26"/>
          <w:position w:val="7"/>
          <w:sz w:val="13"/>
        </w:rPr>
        <w:t xml:space="preserve"> </w:t>
      </w:r>
      <w:r>
        <w:t>may compromise the human rights protections of people in detention.</w:t>
      </w:r>
      <w:r>
        <w:rPr>
          <w:position w:val="7"/>
          <w:sz w:val="13"/>
        </w:rPr>
        <w:t>117</w:t>
      </w:r>
    </w:p>
    <w:p w14:paraId="7CB25DD8" w14:textId="77777777" w:rsidR="008A4099" w:rsidRDefault="008A4099">
      <w:pPr>
        <w:pStyle w:val="BodyText"/>
        <w:rPr>
          <w:sz w:val="20"/>
        </w:rPr>
      </w:pPr>
    </w:p>
    <w:p w14:paraId="7CB25DD9" w14:textId="77777777" w:rsidR="008A4099" w:rsidRDefault="008A4099">
      <w:pPr>
        <w:pStyle w:val="BodyText"/>
        <w:rPr>
          <w:sz w:val="20"/>
        </w:rPr>
      </w:pPr>
    </w:p>
    <w:p w14:paraId="7CB25DDA" w14:textId="77777777" w:rsidR="008A4099" w:rsidRDefault="008A4099">
      <w:pPr>
        <w:pStyle w:val="BodyText"/>
        <w:rPr>
          <w:sz w:val="20"/>
        </w:rPr>
      </w:pPr>
    </w:p>
    <w:p w14:paraId="7CB25DDB" w14:textId="77777777" w:rsidR="008A4099" w:rsidRDefault="006A6EE2">
      <w:pPr>
        <w:pStyle w:val="BodyText"/>
        <w:spacing w:before="202"/>
        <w:rPr>
          <w:sz w:val="20"/>
        </w:rPr>
      </w:pPr>
      <w:r>
        <w:rPr>
          <w:noProof/>
        </w:rPr>
        <mc:AlternateContent>
          <mc:Choice Requires="wps">
            <w:drawing>
              <wp:anchor distT="0" distB="0" distL="0" distR="0" simplePos="0" relativeHeight="487597056" behindDoc="1" locked="0" layoutInCell="1" allowOverlap="1" wp14:anchorId="7CB265FD" wp14:editId="7CB265FE">
                <wp:simplePos x="0" y="0"/>
                <wp:positionH relativeFrom="page">
                  <wp:posOffset>914704</wp:posOffset>
                </wp:positionH>
                <wp:positionV relativeFrom="paragraph">
                  <wp:posOffset>289929</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A29513" id="Graphic 54" o:spid="_x0000_s1026" style="position:absolute;margin-left:1in;margin-top:22.85pt;width:144.0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" path="m1829054,l,,,7619r1829054,l1829054,xe" fillcolor="black" stroked="f">
                <v:path arrowok="t"/>
                <w10:wrap type="topAndBottom" anchorx="page"/>
              </v:shape>
            </w:pict>
          </mc:Fallback>
        </mc:AlternateContent>
      </w:r>
    </w:p>
    <w:p w14:paraId="7CB25DDC" w14:textId="77777777" w:rsidR="008A4099" w:rsidRDefault="006A6EE2">
      <w:pPr>
        <w:spacing w:before="112"/>
        <w:ind w:left="160"/>
        <w:rPr>
          <w:sz w:val="18"/>
        </w:rPr>
      </w:pPr>
      <w:r>
        <w:rPr>
          <w:sz w:val="18"/>
          <w:vertAlign w:val="superscript"/>
        </w:rPr>
        <w:t>105</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5"/>
          <w:sz w:val="18"/>
        </w:rPr>
        <w:t>65.</w:t>
      </w:r>
    </w:p>
    <w:p w14:paraId="7CB25DDD" w14:textId="77777777" w:rsidR="008A4099" w:rsidRDefault="006A6EE2">
      <w:pPr>
        <w:spacing w:before="24"/>
        <w:ind w:left="160"/>
        <w:rPr>
          <w:sz w:val="18"/>
        </w:rPr>
      </w:pPr>
      <w:r>
        <w:rPr>
          <w:sz w:val="18"/>
          <w:vertAlign w:val="superscript"/>
        </w:rPr>
        <w:t>106</w:t>
      </w:r>
      <w:r>
        <w:rPr>
          <w:sz w:val="18"/>
        </w:rPr>
        <w:t xml:space="preserve"> Queensland</w:t>
      </w:r>
      <w:r>
        <w:rPr>
          <w:spacing w:val="1"/>
          <w:sz w:val="18"/>
        </w:rPr>
        <w:t xml:space="preserve"> </w:t>
      </w:r>
      <w:r>
        <w:rPr>
          <w:sz w:val="18"/>
        </w:rPr>
        <w:t>Human</w:t>
      </w:r>
      <w:r>
        <w:rPr>
          <w:spacing w:val="1"/>
          <w:sz w:val="18"/>
        </w:rPr>
        <w:t xml:space="preserve"> </w:t>
      </w:r>
      <w:r>
        <w:rPr>
          <w:sz w:val="18"/>
        </w:rPr>
        <w:t>Rights Commission,</w:t>
      </w:r>
      <w:r>
        <w:rPr>
          <w:spacing w:val="4"/>
          <w:sz w:val="18"/>
        </w:rPr>
        <w:t xml:space="preserve"> </w:t>
      </w:r>
      <w:r>
        <w:rPr>
          <w:i/>
          <w:sz w:val="18"/>
        </w:rPr>
        <w:t>Annual</w:t>
      </w:r>
      <w:r>
        <w:rPr>
          <w:i/>
          <w:spacing w:val="-2"/>
          <w:sz w:val="18"/>
        </w:rPr>
        <w:t xml:space="preserve"> </w:t>
      </w:r>
      <w:r>
        <w:rPr>
          <w:i/>
          <w:sz w:val="18"/>
        </w:rPr>
        <w:t>Report 2020-21</w:t>
      </w:r>
      <w:r>
        <w:rPr>
          <w:i/>
          <w:spacing w:val="-1"/>
          <w:sz w:val="18"/>
        </w:rPr>
        <w:t xml:space="preserve"> </w:t>
      </w:r>
      <w:r>
        <w:rPr>
          <w:spacing w:val="-2"/>
          <w:sz w:val="18"/>
        </w:rPr>
        <w:t>128–129.</w:t>
      </w:r>
    </w:p>
    <w:p w14:paraId="7CB25DDE" w14:textId="77777777" w:rsidR="008A4099" w:rsidRDefault="006A6EE2">
      <w:pPr>
        <w:spacing w:before="23" w:line="244" w:lineRule="auto"/>
        <w:ind w:left="160" w:right="680"/>
        <w:rPr>
          <w:sz w:val="18"/>
        </w:rPr>
      </w:pPr>
      <w:r>
        <w:rPr>
          <w:sz w:val="18"/>
          <w:vertAlign w:val="superscript"/>
        </w:rPr>
        <w:t>107</w:t>
      </w:r>
      <w:r>
        <w:rPr>
          <w:spacing w:val="-2"/>
          <w:sz w:val="18"/>
        </w:rPr>
        <w:t xml:space="preserve"> </w:t>
      </w:r>
      <w:r>
        <w:rPr>
          <w:i/>
          <w:sz w:val="18"/>
        </w:rPr>
        <w:t>Human</w:t>
      </w:r>
      <w:r>
        <w:rPr>
          <w:i/>
          <w:spacing w:val="-3"/>
          <w:sz w:val="18"/>
        </w:rPr>
        <w:t xml:space="preserve"> </w:t>
      </w:r>
      <w:r>
        <w:rPr>
          <w:i/>
          <w:sz w:val="18"/>
        </w:rPr>
        <w:t>Rights</w:t>
      </w:r>
      <w:r>
        <w:rPr>
          <w:i/>
          <w:spacing w:val="-5"/>
          <w:sz w:val="18"/>
        </w:rPr>
        <w:t xml:space="preserve"> </w:t>
      </w:r>
      <w:r>
        <w:rPr>
          <w:i/>
          <w:sz w:val="18"/>
        </w:rPr>
        <w:t>Act</w:t>
      </w:r>
      <w:r>
        <w:rPr>
          <w:i/>
          <w:spacing w:val="-4"/>
          <w:sz w:val="18"/>
        </w:rPr>
        <w:t xml:space="preserve"> </w:t>
      </w:r>
      <w:r>
        <w:rPr>
          <w:i/>
          <w:sz w:val="18"/>
        </w:rPr>
        <w:t>2019</w:t>
      </w:r>
      <w:r>
        <w:rPr>
          <w:i/>
          <w:spacing w:val="-2"/>
          <w:sz w:val="18"/>
        </w:rPr>
        <w:t xml:space="preserve"> </w:t>
      </w:r>
      <w:r>
        <w:rPr>
          <w:sz w:val="18"/>
        </w:rPr>
        <w:t>(Qld)</w:t>
      </w:r>
      <w:r>
        <w:rPr>
          <w:spacing w:val="-2"/>
          <w:sz w:val="18"/>
        </w:rPr>
        <w:t xml:space="preserve"> </w:t>
      </w:r>
      <w:r>
        <w:rPr>
          <w:sz w:val="18"/>
        </w:rPr>
        <w:t>s</w:t>
      </w:r>
      <w:r>
        <w:rPr>
          <w:spacing w:val="-5"/>
          <w:sz w:val="18"/>
        </w:rPr>
        <w:t xml:space="preserve"> </w:t>
      </w:r>
      <w:r>
        <w:rPr>
          <w:sz w:val="18"/>
        </w:rPr>
        <w:t>65(1).</w:t>
      </w:r>
      <w:r>
        <w:rPr>
          <w:spacing w:val="-4"/>
          <w:sz w:val="18"/>
        </w:rPr>
        <w:t xml:space="preserve"> </w:t>
      </w:r>
      <w:r>
        <w:rPr>
          <w:sz w:val="18"/>
        </w:rPr>
        <w:t>The</w:t>
      </w:r>
      <w:r>
        <w:rPr>
          <w:spacing w:val="-3"/>
          <w:sz w:val="18"/>
        </w:rPr>
        <w:t xml:space="preserve"> </w:t>
      </w:r>
      <w:r>
        <w:rPr>
          <w:sz w:val="18"/>
        </w:rPr>
        <w:t>Commission</w:t>
      </w:r>
      <w:r>
        <w:rPr>
          <w:spacing w:val="-3"/>
          <w:sz w:val="18"/>
        </w:rPr>
        <w:t xml:space="preserve"> </w:t>
      </w:r>
      <w:r>
        <w:rPr>
          <w:sz w:val="18"/>
        </w:rPr>
        <w:t>may</w:t>
      </w:r>
      <w:r>
        <w:rPr>
          <w:spacing w:val="-1"/>
          <w:sz w:val="18"/>
        </w:rPr>
        <w:t xml:space="preserve"> </w:t>
      </w:r>
      <w:r>
        <w:rPr>
          <w:sz w:val="18"/>
        </w:rPr>
        <w:t>accept</w:t>
      </w:r>
      <w:r>
        <w:rPr>
          <w:spacing w:val="-2"/>
          <w:sz w:val="18"/>
        </w:rPr>
        <w:t xml:space="preserve"> </w:t>
      </w:r>
      <w:r>
        <w:rPr>
          <w:sz w:val="18"/>
        </w:rPr>
        <w:t>complaints</w:t>
      </w:r>
      <w:r>
        <w:rPr>
          <w:spacing w:val="-2"/>
          <w:sz w:val="18"/>
        </w:rPr>
        <w:t xml:space="preserve"> </w:t>
      </w:r>
      <w:r>
        <w:rPr>
          <w:sz w:val="18"/>
        </w:rPr>
        <w:t>earlier</w:t>
      </w:r>
      <w:r>
        <w:rPr>
          <w:spacing w:val="-4"/>
          <w:sz w:val="18"/>
        </w:rPr>
        <w:t xml:space="preserve"> </w:t>
      </w:r>
      <w:r>
        <w:rPr>
          <w:sz w:val="18"/>
        </w:rPr>
        <w:t>than</w:t>
      </w:r>
      <w:r>
        <w:rPr>
          <w:spacing w:val="-1"/>
          <w:sz w:val="18"/>
        </w:rPr>
        <w:t xml:space="preserve"> </w:t>
      </w:r>
      <w:r>
        <w:rPr>
          <w:sz w:val="18"/>
        </w:rPr>
        <w:t>the</w:t>
      </w:r>
      <w:r>
        <w:rPr>
          <w:spacing w:val="-3"/>
          <w:sz w:val="18"/>
        </w:rPr>
        <w:t xml:space="preserve"> </w:t>
      </w:r>
      <w:r>
        <w:rPr>
          <w:sz w:val="18"/>
        </w:rPr>
        <w:t>expiry</w:t>
      </w:r>
      <w:r>
        <w:rPr>
          <w:spacing w:val="-3"/>
          <w:sz w:val="18"/>
        </w:rPr>
        <w:t xml:space="preserve"> </w:t>
      </w:r>
      <w:r>
        <w:rPr>
          <w:sz w:val="18"/>
        </w:rPr>
        <w:t>of</w:t>
      </w:r>
      <w:r>
        <w:rPr>
          <w:spacing w:val="-4"/>
          <w:sz w:val="18"/>
        </w:rPr>
        <w:t xml:space="preserve"> </w:t>
      </w:r>
      <w:r>
        <w:rPr>
          <w:sz w:val="18"/>
        </w:rPr>
        <w:t>45</w:t>
      </w:r>
      <w:r>
        <w:rPr>
          <w:spacing w:val="-6"/>
          <w:sz w:val="18"/>
        </w:rPr>
        <w:t xml:space="preserve"> </w:t>
      </w:r>
      <w:r>
        <w:rPr>
          <w:sz w:val="18"/>
        </w:rPr>
        <w:t>business</w:t>
      </w:r>
      <w:r>
        <w:rPr>
          <w:spacing w:val="-3"/>
          <w:sz w:val="18"/>
        </w:rPr>
        <w:t xml:space="preserve"> </w:t>
      </w:r>
      <w:r>
        <w:rPr>
          <w:sz w:val="18"/>
        </w:rPr>
        <w:t xml:space="preserve">days in exceptional circumstances: </w:t>
      </w:r>
      <w:r>
        <w:rPr>
          <w:i/>
          <w:sz w:val="18"/>
        </w:rPr>
        <w:t xml:space="preserve">Human Rights Act 2019 </w:t>
      </w:r>
      <w:r>
        <w:rPr>
          <w:sz w:val="18"/>
        </w:rPr>
        <w:t>(Qld) s 65(2).</w:t>
      </w:r>
    </w:p>
    <w:p w14:paraId="7CB25DDF" w14:textId="77777777" w:rsidR="008A4099" w:rsidRDefault="006A6EE2">
      <w:pPr>
        <w:spacing w:before="15" w:line="244" w:lineRule="auto"/>
        <w:ind w:left="160" w:right="680"/>
        <w:rPr>
          <w:sz w:val="18"/>
        </w:rPr>
      </w:pPr>
      <w:r>
        <w:rPr>
          <w:sz w:val="18"/>
          <w:vertAlign w:val="superscript"/>
        </w:rPr>
        <w:t>108</w:t>
      </w:r>
      <w:r>
        <w:rPr>
          <w:sz w:val="18"/>
        </w:rPr>
        <w:t xml:space="preserve"> </w:t>
      </w:r>
      <w:r>
        <w:rPr>
          <w:i/>
          <w:sz w:val="18"/>
        </w:rPr>
        <w:t xml:space="preserve">Human Rights Act 2019 </w:t>
      </w:r>
      <w:r>
        <w:rPr>
          <w:sz w:val="18"/>
        </w:rPr>
        <w:t xml:space="preserve">(Qld) s 65(1). For case studies of matters resolved through conciliation, see Queensland Human Rights Commission, </w:t>
      </w:r>
      <w:r>
        <w:rPr>
          <w:i/>
          <w:sz w:val="18"/>
        </w:rPr>
        <w:t xml:space="preserve">Annual Report 2020-21 </w:t>
      </w:r>
      <w:r>
        <w:rPr>
          <w:sz w:val="18"/>
        </w:rPr>
        <w:t>156–165.</w:t>
      </w:r>
    </w:p>
    <w:p w14:paraId="7CB25DE0" w14:textId="77777777" w:rsidR="008A4099" w:rsidRDefault="006A6EE2">
      <w:pPr>
        <w:spacing w:before="14"/>
        <w:ind w:left="160"/>
        <w:rPr>
          <w:sz w:val="18"/>
        </w:rPr>
      </w:pPr>
      <w:r>
        <w:rPr>
          <w:sz w:val="18"/>
          <w:vertAlign w:val="superscript"/>
        </w:rPr>
        <w:t>109</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2"/>
          <w:sz w:val="18"/>
        </w:rPr>
        <w:t>70(1)(d).</w:t>
      </w:r>
    </w:p>
    <w:p w14:paraId="7CB25DE1" w14:textId="77777777" w:rsidR="008A4099" w:rsidRDefault="006A6EE2">
      <w:pPr>
        <w:spacing w:before="24"/>
        <w:ind w:left="160" w:right="674"/>
        <w:jc w:val="both"/>
        <w:rPr>
          <w:sz w:val="18"/>
        </w:rPr>
      </w:pPr>
      <w:r>
        <w:rPr>
          <w:sz w:val="18"/>
          <w:vertAlign w:val="superscript"/>
        </w:rPr>
        <w:t>110</w:t>
      </w:r>
      <w:r>
        <w:rPr>
          <w:sz w:val="18"/>
        </w:rPr>
        <w:t xml:space="preserve"> Pursuant to s 70 of the </w:t>
      </w:r>
      <w:r>
        <w:rPr>
          <w:i/>
          <w:sz w:val="18"/>
        </w:rPr>
        <w:t xml:space="preserve">Human Rights Act 2019 </w:t>
      </w:r>
      <w:r>
        <w:rPr>
          <w:sz w:val="18"/>
        </w:rPr>
        <w:t>(Qld), complaints may not be accepted for conciliation on a range of grounds,</w:t>
      </w:r>
      <w:r>
        <w:rPr>
          <w:spacing w:val="-5"/>
          <w:sz w:val="18"/>
        </w:rPr>
        <w:t xml:space="preserve"> </w:t>
      </w:r>
      <w:r>
        <w:rPr>
          <w:sz w:val="18"/>
        </w:rPr>
        <w:t>including:</w:t>
      </w:r>
      <w:r>
        <w:rPr>
          <w:spacing w:val="-8"/>
          <w:sz w:val="18"/>
        </w:rPr>
        <w:t xml:space="preserve"> </w:t>
      </w:r>
      <w:r>
        <w:rPr>
          <w:sz w:val="18"/>
        </w:rPr>
        <w:t>because</w:t>
      </w:r>
      <w:r>
        <w:rPr>
          <w:spacing w:val="-7"/>
          <w:sz w:val="18"/>
        </w:rPr>
        <w:t xml:space="preserve"> </w:t>
      </w:r>
      <w:r>
        <w:rPr>
          <w:sz w:val="18"/>
        </w:rPr>
        <w:t>no</w:t>
      </w:r>
      <w:r>
        <w:rPr>
          <w:spacing w:val="-5"/>
          <w:sz w:val="18"/>
        </w:rPr>
        <w:t xml:space="preserve"> </w:t>
      </w:r>
      <w:r>
        <w:rPr>
          <w:sz w:val="18"/>
        </w:rPr>
        <w:t>internal</w:t>
      </w:r>
      <w:r>
        <w:rPr>
          <w:spacing w:val="-5"/>
          <w:sz w:val="18"/>
        </w:rPr>
        <w:t xml:space="preserve"> </w:t>
      </w:r>
      <w:r>
        <w:rPr>
          <w:sz w:val="18"/>
        </w:rPr>
        <w:t>complaint</w:t>
      </w:r>
      <w:r>
        <w:rPr>
          <w:spacing w:val="-5"/>
          <w:sz w:val="18"/>
        </w:rPr>
        <w:t xml:space="preserve"> </w:t>
      </w:r>
      <w:r>
        <w:rPr>
          <w:sz w:val="18"/>
        </w:rPr>
        <w:t>has</w:t>
      </w:r>
      <w:r>
        <w:rPr>
          <w:spacing w:val="-6"/>
          <w:sz w:val="18"/>
        </w:rPr>
        <w:t xml:space="preserve"> </w:t>
      </w:r>
      <w:r>
        <w:rPr>
          <w:sz w:val="18"/>
        </w:rPr>
        <w:t>been</w:t>
      </w:r>
      <w:r>
        <w:rPr>
          <w:spacing w:val="-5"/>
          <w:sz w:val="18"/>
        </w:rPr>
        <w:t xml:space="preserve"> </w:t>
      </w:r>
      <w:r>
        <w:rPr>
          <w:sz w:val="18"/>
        </w:rPr>
        <w:t>made</w:t>
      </w:r>
      <w:r>
        <w:rPr>
          <w:spacing w:val="-6"/>
          <w:sz w:val="18"/>
        </w:rPr>
        <w:t xml:space="preserve"> </w:t>
      </w:r>
      <w:r>
        <w:rPr>
          <w:sz w:val="18"/>
        </w:rPr>
        <w:t>to</w:t>
      </w:r>
      <w:r>
        <w:rPr>
          <w:spacing w:val="-7"/>
          <w:sz w:val="18"/>
        </w:rPr>
        <w:t xml:space="preserve"> </w:t>
      </w:r>
      <w:r>
        <w:rPr>
          <w:sz w:val="18"/>
        </w:rPr>
        <w:t>the</w:t>
      </w:r>
      <w:r>
        <w:rPr>
          <w:spacing w:val="-6"/>
          <w:sz w:val="18"/>
        </w:rPr>
        <w:t xml:space="preserve"> </w:t>
      </w:r>
      <w:r>
        <w:rPr>
          <w:sz w:val="18"/>
        </w:rPr>
        <w:t>public</w:t>
      </w:r>
      <w:r>
        <w:rPr>
          <w:spacing w:val="-6"/>
          <w:sz w:val="18"/>
        </w:rPr>
        <w:t xml:space="preserve"> </w:t>
      </w:r>
      <w:r>
        <w:rPr>
          <w:sz w:val="18"/>
        </w:rPr>
        <w:t>entity</w:t>
      </w:r>
      <w:r>
        <w:rPr>
          <w:spacing w:val="-5"/>
          <w:sz w:val="18"/>
        </w:rPr>
        <w:t xml:space="preserve"> </w:t>
      </w:r>
      <w:r>
        <w:rPr>
          <w:sz w:val="18"/>
        </w:rPr>
        <w:t>alleged</w:t>
      </w:r>
      <w:r>
        <w:rPr>
          <w:spacing w:val="-5"/>
          <w:sz w:val="18"/>
        </w:rPr>
        <w:t xml:space="preserve"> </w:t>
      </w:r>
      <w:r>
        <w:rPr>
          <w:sz w:val="18"/>
        </w:rPr>
        <w:t>to</w:t>
      </w:r>
      <w:r>
        <w:rPr>
          <w:spacing w:val="-7"/>
          <w:sz w:val="18"/>
        </w:rPr>
        <w:t xml:space="preserve"> </w:t>
      </w:r>
      <w:r>
        <w:rPr>
          <w:sz w:val="18"/>
        </w:rPr>
        <w:t>be</w:t>
      </w:r>
      <w:r>
        <w:rPr>
          <w:spacing w:val="-6"/>
          <w:sz w:val="18"/>
        </w:rPr>
        <w:t xml:space="preserve"> </w:t>
      </w:r>
      <w:r>
        <w:rPr>
          <w:sz w:val="18"/>
        </w:rPr>
        <w:t>in</w:t>
      </w:r>
      <w:r>
        <w:rPr>
          <w:spacing w:val="-7"/>
          <w:sz w:val="18"/>
        </w:rPr>
        <w:t xml:space="preserve"> </w:t>
      </w:r>
      <w:r>
        <w:rPr>
          <w:sz w:val="18"/>
        </w:rPr>
        <w:t>contravention</w:t>
      </w:r>
      <w:r>
        <w:rPr>
          <w:spacing w:val="-5"/>
          <w:sz w:val="18"/>
        </w:rPr>
        <w:t xml:space="preserve"> </w:t>
      </w:r>
      <w:r>
        <w:rPr>
          <w:sz w:val="18"/>
        </w:rPr>
        <w:t>of</w:t>
      </w:r>
      <w:r>
        <w:rPr>
          <w:spacing w:val="-6"/>
          <w:sz w:val="18"/>
        </w:rPr>
        <w:t xml:space="preserve"> </w:t>
      </w:r>
      <w:r>
        <w:rPr>
          <w:sz w:val="18"/>
        </w:rPr>
        <w:t>the</w:t>
      </w:r>
      <w:r>
        <w:rPr>
          <w:spacing w:val="-6"/>
          <w:sz w:val="18"/>
        </w:rPr>
        <w:t xml:space="preserve"> </w:t>
      </w:r>
      <w:r>
        <w:rPr>
          <w:sz w:val="18"/>
        </w:rPr>
        <w:t>Act; that the complaint relates to a contravention which occurred more than one year prior</w:t>
      </w:r>
      <w:r>
        <w:rPr>
          <w:spacing w:val="-1"/>
          <w:sz w:val="18"/>
        </w:rPr>
        <w:t xml:space="preserve"> </w:t>
      </w:r>
      <w:r>
        <w:rPr>
          <w:sz w:val="18"/>
        </w:rPr>
        <w:t>to the making of the complaint;</w:t>
      </w:r>
      <w:r>
        <w:rPr>
          <w:spacing w:val="-1"/>
          <w:sz w:val="18"/>
        </w:rPr>
        <w:t xml:space="preserve"> </w:t>
      </w:r>
      <w:r>
        <w:rPr>
          <w:sz w:val="18"/>
        </w:rPr>
        <w:t>or that there is a more appropriate course of action under another law.</w:t>
      </w:r>
    </w:p>
    <w:p w14:paraId="7CB25DE2" w14:textId="77777777" w:rsidR="008A4099" w:rsidRDefault="006A6EE2">
      <w:pPr>
        <w:spacing w:before="22"/>
        <w:ind w:left="160"/>
        <w:rPr>
          <w:sz w:val="18"/>
        </w:rPr>
      </w:pPr>
      <w:r>
        <w:rPr>
          <w:sz w:val="18"/>
          <w:vertAlign w:val="superscript"/>
        </w:rPr>
        <w:t>111</w:t>
      </w:r>
      <w:r>
        <w:rPr>
          <w:spacing w:val="3"/>
          <w:sz w:val="18"/>
        </w:rPr>
        <w:t xml:space="preserve"> </w:t>
      </w:r>
      <w:r>
        <w:rPr>
          <w:sz w:val="18"/>
        </w:rPr>
        <w:t>See</w:t>
      </w:r>
      <w:r>
        <w:rPr>
          <w:spacing w:val="3"/>
          <w:sz w:val="18"/>
        </w:rPr>
        <w:t xml:space="preserve"> </w:t>
      </w:r>
      <w:r>
        <w:rPr>
          <w:sz w:val="18"/>
        </w:rPr>
        <w:t>Appendix</w:t>
      </w:r>
      <w:r>
        <w:rPr>
          <w:spacing w:val="2"/>
          <w:sz w:val="18"/>
        </w:rPr>
        <w:t xml:space="preserve"> </w:t>
      </w:r>
      <w:r>
        <w:rPr>
          <w:spacing w:val="-5"/>
          <w:sz w:val="18"/>
        </w:rPr>
        <w:t>B.</w:t>
      </w:r>
    </w:p>
    <w:p w14:paraId="7CB25DE3" w14:textId="77777777" w:rsidR="008A4099" w:rsidRDefault="006A6EE2">
      <w:pPr>
        <w:spacing w:before="24"/>
        <w:ind w:left="160"/>
        <w:rPr>
          <w:i/>
          <w:sz w:val="18"/>
        </w:rPr>
      </w:pPr>
      <w:r>
        <w:rPr>
          <w:sz w:val="18"/>
          <w:vertAlign w:val="superscript"/>
        </w:rPr>
        <w:t>112</w:t>
      </w:r>
      <w:r>
        <w:rPr>
          <w:spacing w:val="3"/>
          <w:sz w:val="18"/>
        </w:rPr>
        <w:t xml:space="preserve"> </w:t>
      </w:r>
      <w:r>
        <w:rPr>
          <w:sz w:val="18"/>
        </w:rPr>
        <w:t>It</w:t>
      </w:r>
      <w:r>
        <w:rPr>
          <w:spacing w:val="3"/>
          <w:sz w:val="18"/>
        </w:rPr>
        <w:t xml:space="preserve"> </w:t>
      </w:r>
      <w:r>
        <w:rPr>
          <w:sz w:val="18"/>
        </w:rPr>
        <w:t>is</w:t>
      </w:r>
      <w:r>
        <w:rPr>
          <w:spacing w:val="2"/>
          <w:sz w:val="18"/>
        </w:rPr>
        <w:t xml:space="preserve"> </w:t>
      </w:r>
      <w:r>
        <w:rPr>
          <w:sz w:val="18"/>
        </w:rPr>
        <w:t>noted</w:t>
      </w:r>
      <w:r>
        <w:rPr>
          <w:spacing w:val="3"/>
          <w:sz w:val="18"/>
        </w:rPr>
        <w:t xml:space="preserve"> </w:t>
      </w:r>
      <w:r>
        <w:rPr>
          <w:sz w:val="18"/>
        </w:rPr>
        <w:t>that</w:t>
      </w:r>
      <w:r>
        <w:rPr>
          <w:spacing w:val="3"/>
          <w:sz w:val="18"/>
        </w:rPr>
        <w:t xml:space="preserve"> </w:t>
      </w:r>
      <w:r>
        <w:rPr>
          <w:sz w:val="18"/>
        </w:rPr>
        <w:t>there</w:t>
      </w:r>
      <w:r>
        <w:rPr>
          <w:spacing w:val="2"/>
          <w:sz w:val="18"/>
        </w:rPr>
        <w:t xml:space="preserve"> </w:t>
      </w:r>
      <w:r>
        <w:rPr>
          <w:sz w:val="18"/>
        </w:rPr>
        <w:t>is</w:t>
      </w:r>
      <w:r>
        <w:rPr>
          <w:spacing w:val="2"/>
          <w:sz w:val="18"/>
        </w:rPr>
        <w:t xml:space="preserve"> </w:t>
      </w:r>
      <w:r>
        <w:rPr>
          <w:sz w:val="18"/>
        </w:rPr>
        <w:t>a</w:t>
      </w:r>
      <w:r>
        <w:rPr>
          <w:spacing w:val="2"/>
          <w:sz w:val="18"/>
        </w:rPr>
        <w:t xml:space="preserve"> </w:t>
      </w:r>
      <w:r>
        <w:rPr>
          <w:sz w:val="18"/>
        </w:rPr>
        <w:t>direct</w:t>
      </w:r>
      <w:r>
        <w:rPr>
          <w:spacing w:val="3"/>
          <w:sz w:val="18"/>
        </w:rPr>
        <w:t xml:space="preserve"> </w:t>
      </w:r>
      <w:r>
        <w:rPr>
          <w:sz w:val="18"/>
        </w:rPr>
        <w:t>cause</w:t>
      </w:r>
      <w:r>
        <w:rPr>
          <w:spacing w:val="1"/>
          <w:sz w:val="18"/>
        </w:rPr>
        <w:t xml:space="preserve"> </w:t>
      </w:r>
      <w:r>
        <w:rPr>
          <w:sz w:val="18"/>
        </w:rPr>
        <w:t>of</w:t>
      </w:r>
      <w:r>
        <w:rPr>
          <w:spacing w:val="2"/>
          <w:sz w:val="18"/>
        </w:rPr>
        <w:t xml:space="preserve"> </w:t>
      </w:r>
      <w:r>
        <w:rPr>
          <w:sz w:val="18"/>
        </w:rPr>
        <w:t>action</w:t>
      </w:r>
      <w:r>
        <w:rPr>
          <w:spacing w:val="3"/>
          <w:sz w:val="18"/>
        </w:rPr>
        <w:t xml:space="preserve"> </w:t>
      </w:r>
      <w:r>
        <w:rPr>
          <w:sz w:val="18"/>
        </w:rPr>
        <w:t>in</w:t>
      </w:r>
      <w:r>
        <w:rPr>
          <w:spacing w:val="4"/>
          <w:sz w:val="18"/>
        </w:rPr>
        <w:t xml:space="preserve"> </w:t>
      </w:r>
      <w:r>
        <w:rPr>
          <w:sz w:val="18"/>
        </w:rPr>
        <w:t>the</w:t>
      </w:r>
      <w:r>
        <w:rPr>
          <w:spacing w:val="2"/>
          <w:sz w:val="18"/>
        </w:rPr>
        <w:t xml:space="preserve"> </w:t>
      </w:r>
      <w:r>
        <w:rPr>
          <w:sz w:val="18"/>
        </w:rPr>
        <w:t>ACT</w:t>
      </w:r>
      <w:r>
        <w:rPr>
          <w:spacing w:val="2"/>
          <w:sz w:val="18"/>
        </w:rPr>
        <w:t xml:space="preserve"> </w:t>
      </w:r>
      <w:r>
        <w:rPr>
          <w:sz w:val="18"/>
        </w:rPr>
        <w:t>for</w:t>
      </w:r>
      <w:r>
        <w:rPr>
          <w:spacing w:val="2"/>
          <w:sz w:val="18"/>
        </w:rPr>
        <w:t xml:space="preserve"> </w:t>
      </w:r>
      <w:r>
        <w:rPr>
          <w:sz w:val="18"/>
        </w:rPr>
        <w:t>a</w:t>
      </w:r>
      <w:r>
        <w:rPr>
          <w:spacing w:val="3"/>
          <w:sz w:val="18"/>
        </w:rPr>
        <w:t xml:space="preserve"> </w:t>
      </w:r>
      <w:r>
        <w:rPr>
          <w:sz w:val="18"/>
        </w:rPr>
        <w:t>breach</w:t>
      </w:r>
      <w:r>
        <w:rPr>
          <w:spacing w:val="3"/>
          <w:sz w:val="18"/>
        </w:rPr>
        <w:t xml:space="preserve"> </w:t>
      </w:r>
      <w:r>
        <w:rPr>
          <w:sz w:val="18"/>
        </w:rPr>
        <w:t>by</w:t>
      </w:r>
      <w:r>
        <w:rPr>
          <w:spacing w:val="3"/>
          <w:sz w:val="18"/>
        </w:rPr>
        <w:t xml:space="preserve"> </w:t>
      </w:r>
      <w:r>
        <w:rPr>
          <w:sz w:val="18"/>
        </w:rPr>
        <w:t>a</w:t>
      </w:r>
      <w:r>
        <w:rPr>
          <w:spacing w:val="2"/>
          <w:sz w:val="18"/>
        </w:rPr>
        <w:t xml:space="preserve"> </w:t>
      </w:r>
      <w:r>
        <w:rPr>
          <w:sz w:val="18"/>
        </w:rPr>
        <w:t>public</w:t>
      </w:r>
      <w:r>
        <w:rPr>
          <w:spacing w:val="2"/>
          <w:sz w:val="18"/>
        </w:rPr>
        <w:t xml:space="preserve"> </w:t>
      </w:r>
      <w:r>
        <w:rPr>
          <w:sz w:val="18"/>
        </w:rPr>
        <w:t>authority:</w:t>
      </w:r>
      <w:r>
        <w:rPr>
          <w:spacing w:val="3"/>
          <w:sz w:val="18"/>
        </w:rPr>
        <w:t xml:space="preserve"> </w:t>
      </w:r>
      <w:r>
        <w:rPr>
          <w:sz w:val="18"/>
        </w:rPr>
        <w:t>see</w:t>
      </w:r>
      <w:r>
        <w:rPr>
          <w:spacing w:val="10"/>
          <w:sz w:val="18"/>
        </w:rPr>
        <w:t xml:space="preserve"> </w:t>
      </w:r>
      <w:r>
        <w:rPr>
          <w:i/>
          <w:sz w:val="18"/>
        </w:rPr>
        <w:t>Human</w:t>
      </w:r>
      <w:r>
        <w:rPr>
          <w:i/>
          <w:spacing w:val="3"/>
          <w:sz w:val="18"/>
        </w:rPr>
        <w:t xml:space="preserve"> </w:t>
      </w:r>
      <w:r>
        <w:rPr>
          <w:i/>
          <w:sz w:val="18"/>
        </w:rPr>
        <w:t>Rights</w:t>
      </w:r>
      <w:r>
        <w:rPr>
          <w:i/>
          <w:spacing w:val="2"/>
          <w:sz w:val="18"/>
        </w:rPr>
        <w:t xml:space="preserve"> </w:t>
      </w:r>
      <w:r>
        <w:rPr>
          <w:i/>
          <w:sz w:val="18"/>
        </w:rPr>
        <w:t>Act</w:t>
      </w:r>
      <w:r>
        <w:rPr>
          <w:i/>
          <w:spacing w:val="2"/>
          <w:sz w:val="18"/>
        </w:rPr>
        <w:t xml:space="preserve"> </w:t>
      </w:r>
      <w:r>
        <w:rPr>
          <w:i/>
          <w:spacing w:val="-4"/>
          <w:sz w:val="18"/>
        </w:rPr>
        <w:t>2004</w:t>
      </w:r>
    </w:p>
    <w:p w14:paraId="7CB25DE4" w14:textId="77777777" w:rsidR="008A4099" w:rsidRDefault="006A6EE2">
      <w:pPr>
        <w:spacing w:before="4"/>
        <w:ind w:left="160"/>
        <w:rPr>
          <w:sz w:val="18"/>
        </w:rPr>
      </w:pPr>
      <w:r>
        <w:rPr>
          <w:sz w:val="18"/>
        </w:rPr>
        <w:t>(ACT) s 40C</w:t>
      </w:r>
      <w:r>
        <w:rPr>
          <w:spacing w:val="-3"/>
          <w:sz w:val="18"/>
        </w:rPr>
        <w:t xml:space="preserve"> </w:t>
      </w:r>
      <w:r>
        <w:rPr>
          <w:sz w:val="18"/>
        </w:rPr>
        <w:t>and</w:t>
      </w:r>
      <w:r>
        <w:rPr>
          <w:spacing w:val="-1"/>
          <w:sz w:val="18"/>
        </w:rPr>
        <w:t xml:space="preserve"> </w:t>
      </w:r>
      <w:r>
        <w:rPr>
          <w:sz w:val="18"/>
        </w:rPr>
        <w:t>discussion</w:t>
      </w:r>
      <w:r>
        <w:rPr>
          <w:spacing w:val="1"/>
          <w:sz w:val="18"/>
        </w:rPr>
        <w:t xml:space="preserve"> </w:t>
      </w:r>
      <w:r>
        <w:rPr>
          <w:sz w:val="18"/>
        </w:rPr>
        <w:t xml:space="preserve">at </w:t>
      </w:r>
      <w:r>
        <w:rPr>
          <w:spacing w:val="-2"/>
          <w:sz w:val="18"/>
        </w:rPr>
        <w:t>[4.5].</w:t>
      </w:r>
    </w:p>
    <w:p w14:paraId="7CB25DE5" w14:textId="77777777" w:rsidR="008A4099" w:rsidRDefault="006A6EE2">
      <w:pPr>
        <w:spacing w:before="18" w:line="244" w:lineRule="auto"/>
        <w:ind w:left="160" w:right="680"/>
        <w:rPr>
          <w:sz w:val="18"/>
        </w:rPr>
      </w:pPr>
      <w:r>
        <w:rPr>
          <w:sz w:val="18"/>
          <w:vertAlign w:val="superscript"/>
        </w:rPr>
        <w:t>113</w:t>
      </w:r>
      <w:r>
        <w:rPr>
          <w:spacing w:val="-6"/>
          <w:sz w:val="18"/>
        </w:rPr>
        <w:t xml:space="preserve"> </w:t>
      </w:r>
      <w:r>
        <w:rPr>
          <w:sz w:val="18"/>
        </w:rPr>
        <w:t>Louis</w:t>
      </w:r>
      <w:r>
        <w:rPr>
          <w:spacing w:val="-8"/>
          <w:sz w:val="18"/>
        </w:rPr>
        <w:t xml:space="preserve"> </w:t>
      </w:r>
      <w:r>
        <w:rPr>
          <w:sz w:val="18"/>
        </w:rPr>
        <w:t>Schetzer,</w:t>
      </w:r>
      <w:r>
        <w:rPr>
          <w:spacing w:val="-5"/>
          <w:sz w:val="18"/>
        </w:rPr>
        <w:t xml:space="preserve"> </w:t>
      </w:r>
      <w:r>
        <w:rPr>
          <w:sz w:val="18"/>
        </w:rPr>
        <w:t>‘Queensland’s</w:t>
      </w:r>
      <w:r>
        <w:rPr>
          <w:spacing w:val="-3"/>
          <w:sz w:val="18"/>
        </w:rPr>
        <w:t xml:space="preserve"> </w:t>
      </w:r>
      <w:r>
        <w:rPr>
          <w:i/>
          <w:sz w:val="18"/>
        </w:rPr>
        <w:t>Human</w:t>
      </w:r>
      <w:r>
        <w:rPr>
          <w:i/>
          <w:spacing w:val="-7"/>
          <w:sz w:val="18"/>
        </w:rPr>
        <w:t xml:space="preserve"> </w:t>
      </w:r>
      <w:r>
        <w:rPr>
          <w:i/>
          <w:sz w:val="18"/>
        </w:rPr>
        <w:t>Rights</w:t>
      </w:r>
      <w:r>
        <w:rPr>
          <w:i/>
          <w:spacing w:val="-6"/>
          <w:sz w:val="18"/>
        </w:rPr>
        <w:t xml:space="preserve"> </w:t>
      </w:r>
      <w:r>
        <w:rPr>
          <w:i/>
          <w:sz w:val="18"/>
        </w:rPr>
        <w:t xml:space="preserve">Act: </w:t>
      </w:r>
      <w:r>
        <w:rPr>
          <w:sz w:val="18"/>
        </w:rPr>
        <w:t>Perhaps</w:t>
      </w:r>
      <w:r>
        <w:rPr>
          <w:spacing w:val="-6"/>
          <w:sz w:val="18"/>
        </w:rPr>
        <w:t xml:space="preserve"> </w:t>
      </w:r>
      <w:r>
        <w:rPr>
          <w:sz w:val="18"/>
        </w:rPr>
        <w:t>Not</w:t>
      </w:r>
      <w:r>
        <w:rPr>
          <w:spacing w:val="-8"/>
          <w:sz w:val="18"/>
        </w:rPr>
        <w:t xml:space="preserve"> </w:t>
      </w:r>
      <w:r>
        <w:rPr>
          <w:sz w:val="18"/>
        </w:rPr>
        <w:t>Such</w:t>
      </w:r>
      <w:r>
        <w:rPr>
          <w:spacing w:val="-5"/>
          <w:sz w:val="18"/>
        </w:rPr>
        <w:t xml:space="preserve"> </w:t>
      </w:r>
      <w:r>
        <w:rPr>
          <w:sz w:val="18"/>
        </w:rPr>
        <w:t>a</w:t>
      </w:r>
      <w:r>
        <w:rPr>
          <w:spacing w:val="-6"/>
          <w:sz w:val="18"/>
        </w:rPr>
        <w:t xml:space="preserve"> </w:t>
      </w:r>
      <w:r>
        <w:rPr>
          <w:sz w:val="18"/>
        </w:rPr>
        <w:t>Great</w:t>
      </w:r>
      <w:r>
        <w:rPr>
          <w:spacing w:val="-5"/>
          <w:sz w:val="18"/>
        </w:rPr>
        <w:t xml:space="preserve"> </w:t>
      </w:r>
      <w:r>
        <w:rPr>
          <w:sz w:val="18"/>
        </w:rPr>
        <w:t>Step</w:t>
      </w:r>
      <w:r>
        <w:rPr>
          <w:spacing w:val="-5"/>
          <w:sz w:val="18"/>
        </w:rPr>
        <w:t xml:space="preserve"> </w:t>
      </w:r>
      <w:r>
        <w:rPr>
          <w:sz w:val="18"/>
        </w:rPr>
        <w:t>Forward?’</w:t>
      </w:r>
      <w:r>
        <w:rPr>
          <w:spacing w:val="-6"/>
          <w:sz w:val="18"/>
        </w:rPr>
        <w:t xml:space="preserve"> </w:t>
      </w:r>
      <w:r>
        <w:rPr>
          <w:sz w:val="18"/>
        </w:rPr>
        <w:t>(2020)</w:t>
      </w:r>
      <w:r>
        <w:rPr>
          <w:spacing w:val="-8"/>
          <w:sz w:val="18"/>
        </w:rPr>
        <w:t xml:space="preserve"> </w:t>
      </w:r>
      <w:r>
        <w:rPr>
          <w:sz w:val="18"/>
        </w:rPr>
        <w:t>45(1)</w:t>
      </w:r>
      <w:r>
        <w:rPr>
          <w:spacing w:val="-2"/>
          <w:sz w:val="18"/>
        </w:rPr>
        <w:t xml:space="preserve"> </w:t>
      </w:r>
      <w:r>
        <w:rPr>
          <w:i/>
          <w:sz w:val="18"/>
        </w:rPr>
        <w:t>Alternative</w:t>
      </w:r>
      <w:r>
        <w:rPr>
          <w:i/>
          <w:spacing w:val="-6"/>
          <w:sz w:val="18"/>
        </w:rPr>
        <w:t xml:space="preserve"> </w:t>
      </w:r>
      <w:r>
        <w:rPr>
          <w:i/>
          <w:sz w:val="18"/>
        </w:rPr>
        <w:t xml:space="preserve">Law Journal </w:t>
      </w:r>
      <w:r>
        <w:rPr>
          <w:sz w:val="18"/>
        </w:rPr>
        <w:t>12.</w:t>
      </w:r>
    </w:p>
    <w:p w14:paraId="7CB25DE6" w14:textId="77777777" w:rsidR="008A4099" w:rsidRDefault="006A6EE2">
      <w:pPr>
        <w:spacing w:before="15"/>
        <w:ind w:left="160"/>
        <w:rPr>
          <w:sz w:val="18"/>
        </w:rPr>
      </w:pPr>
      <w:r>
        <w:rPr>
          <w:sz w:val="18"/>
          <w:vertAlign w:val="superscript"/>
        </w:rPr>
        <w:t>114</w:t>
      </w:r>
      <w:r>
        <w:rPr>
          <w:sz w:val="18"/>
        </w:rPr>
        <w:t xml:space="preserve"> Queensland</w:t>
      </w:r>
      <w:r>
        <w:rPr>
          <w:spacing w:val="1"/>
          <w:sz w:val="18"/>
        </w:rPr>
        <w:t xml:space="preserve"> </w:t>
      </w:r>
      <w:r>
        <w:rPr>
          <w:sz w:val="18"/>
        </w:rPr>
        <w:t>Human</w:t>
      </w:r>
      <w:r>
        <w:rPr>
          <w:spacing w:val="1"/>
          <w:sz w:val="18"/>
        </w:rPr>
        <w:t xml:space="preserve"> </w:t>
      </w:r>
      <w:r>
        <w:rPr>
          <w:sz w:val="18"/>
        </w:rPr>
        <w:t>Rights Commission,</w:t>
      </w:r>
      <w:r>
        <w:rPr>
          <w:spacing w:val="4"/>
          <w:sz w:val="18"/>
        </w:rPr>
        <w:t xml:space="preserve"> </w:t>
      </w:r>
      <w:r>
        <w:rPr>
          <w:i/>
          <w:sz w:val="18"/>
        </w:rPr>
        <w:t>Annual</w:t>
      </w:r>
      <w:r>
        <w:rPr>
          <w:i/>
          <w:spacing w:val="-2"/>
          <w:sz w:val="18"/>
        </w:rPr>
        <w:t xml:space="preserve"> </w:t>
      </w:r>
      <w:r>
        <w:rPr>
          <w:i/>
          <w:sz w:val="18"/>
        </w:rPr>
        <w:t>Report 2020-21</w:t>
      </w:r>
      <w:r>
        <w:rPr>
          <w:i/>
          <w:spacing w:val="-1"/>
          <w:sz w:val="18"/>
        </w:rPr>
        <w:t xml:space="preserve"> </w:t>
      </w:r>
      <w:r>
        <w:rPr>
          <w:spacing w:val="-4"/>
          <w:sz w:val="18"/>
        </w:rPr>
        <w:t>140.</w:t>
      </w:r>
    </w:p>
    <w:p w14:paraId="7CB25DE7" w14:textId="77777777" w:rsidR="008A4099" w:rsidRDefault="006A6EE2">
      <w:pPr>
        <w:spacing w:before="23"/>
        <w:ind w:left="160"/>
        <w:rPr>
          <w:sz w:val="18"/>
        </w:rPr>
      </w:pPr>
      <w:r>
        <w:rPr>
          <w:sz w:val="18"/>
          <w:vertAlign w:val="superscript"/>
        </w:rPr>
        <w:t>115</w:t>
      </w:r>
      <w:r>
        <w:rPr>
          <w:spacing w:val="-1"/>
          <w:sz w:val="18"/>
        </w:rPr>
        <w:t xml:space="preserve"> </w:t>
      </w:r>
      <w:r>
        <w:rPr>
          <w:i/>
          <w:sz w:val="18"/>
        </w:rPr>
        <w:t>Human</w:t>
      </w:r>
      <w:r>
        <w:rPr>
          <w:i/>
          <w:spacing w:val="-1"/>
          <w:sz w:val="18"/>
        </w:rPr>
        <w:t xml:space="preserve"> </w:t>
      </w:r>
      <w:r>
        <w:rPr>
          <w:i/>
          <w:sz w:val="18"/>
        </w:rPr>
        <w:t>Rights Act</w:t>
      </w:r>
      <w:r>
        <w:rPr>
          <w:i/>
          <w:spacing w:val="-3"/>
          <w:sz w:val="18"/>
        </w:rPr>
        <w:t xml:space="preserve"> </w:t>
      </w:r>
      <w:r>
        <w:rPr>
          <w:i/>
          <w:sz w:val="18"/>
        </w:rPr>
        <w:t>2019</w:t>
      </w:r>
      <w:r>
        <w:rPr>
          <w:i/>
          <w:spacing w:val="3"/>
          <w:sz w:val="18"/>
        </w:rPr>
        <w:t xml:space="preserve"> </w:t>
      </w:r>
      <w:r>
        <w:rPr>
          <w:sz w:val="18"/>
        </w:rPr>
        <w:t>(Qld)</w:t>
      </w:r>
      <w:r>
        <w:rPr>
          <w:spacing w:val="-2"/>
          <w:sz w:val="18"/>
        </w:rPr>
        <w:t xml:space="preserve"> </w:t>
      </w:r>
      <w:r>
        <w:rPr>
          <w:sz w:val="18"/>
        </w:rPr>
        <w:t>s</w:t>
      </w:r>
      <w:r>
        <w:rPr>
          <w:spacing w:val="-1"/>
          <w:sz w:val="18"/>
        </w:rPr>
        <w:t xml:space="preserve"> </w:t>
      </w:r>
      <w:r>
        <w:rPr>
          <w:sz w:val="18"/>
        </w:rPr>
        <w:t xml:space="preserve">58(3) and </w:t>
      </w:r>
      <w:r>
        <w:rPr>
          <w:i/>
          <w:sz w:val="18"/>
        </w:rPr>
        <w:t>Youth Justice</w:t>
      </w:r>
      <w:r>
        <w:rPr>
          <w:i/>
          <w:spacing w:val="-1"/>
          <w:sz w:val="18"/>
        </w:rPr>
        <w:t xml:space="preserve"> </w:t>
      </w:r>
      <w:r>
        <w:rPr>
          <w:i/>
          <w:sz w:val="18"/>
        </w:rPr>
        <w:t>Act 1992</w:t>
      </w:r>
      <w:r>
        <w:rPr>
          <w:i/>
          <w:spacing w:val="2"/>
          <w:sz w:val="18"/>
        </w:rPr>
        <w:t xml:space="preserve"> </w:t>
      </w:r>
      <w:r>
        <w:rPr>
          <w:sz w:val="18"/>
        </w:rPr>
        <w:t>(Qld) s 263(7)</w:t>
      </w:r>
      <w:r>
        <w:rPr>
          <w:spacing w:val="-1"/>
          <w:sz w:val="18"/>
        </w:rPr>
        <w:t xml:space="preserve"> </w:t>
      </w:r>
      <w:r>
        <w:rPr>
          <w:sz w:val="18"/>
        </w:rPr>
        <w:t>&amp;</w:t>
      </w:r>
      <w:r>
        <w:rPr>
          <w:spacing w:val="-1"/>
          <w:sz w:val="18"/>
        </w:rPr>
        <w:t xml:space="preserve"> </w:t>
      </w:r>
      <w:r>
        <w:rPr>
          <w:spacing w:val="-4"/>
          <w:sz w:val="18"/>
        </w:rPr>
        <w:t>(8).</w:t>
      </w:r>
    </w:p>
    <w:p w14:paraId="7CB25DE8" w14:textId="77777777" w:rsidR="008A4099" w:rsidRDefault="006A6EE2">
      <w:pPr>
        <w:spacing w:before="24"/>
        <w:ind w:left="160"/>
        <w:rPr>
          <w:sz w:val="18"/>
        </w:rPr>
      </w:pPr>
      <w:r>
        <w:rPr>
          <w:sz w:val="18"/>
          <w:vertAlign w:val="superscript"/>
        </w:rPr>
        <w:t>116</w:t>
      </w:r>
      <w:r>
        <w:rPr>
          <w:sz w:val="18"/>
        </w:rPr>
        <w:t xml:space="preserve"> </w:t>
      </w:r>
      <w:r>
        <w:rPr>
          <w:i/>
          <w:sz w:val="18"/>
        </w:rPr>
        <w:t>Corrective Services Act</w:t>
      </w:r>
      <w:r>
        <w:rPr>
          <w:i/>
          <w:spacing w:val="1"/>
          <w:sz w:val="18"/>
        </w:rPr>
        <w:t xml:space="preserve"> </w:t>
      </w:r>
      <w:r>
        <w:rPr>
          <w:i/>
          <w:sz w:val="18"/>
        </w:rPr>
        <w:t>2006</w:t>
      </w:r>
      <w:r>
        <w:rPr>
          <w:i/>
          <w:spacing w:val="2"/>
          <w:sz w:val="18"/>
        </w:rPr>
        <w:t xml:space="preserve"> </w:t>
      </w:r>
      <w:r>
        <w:rPr>
          <w:sz w:val="18"/>
        </w:rPr>
        <w:t>(Qld) s</w:t>
      </w:r>
      <w:r>
        <w:rPr>
          <w:spacing w:val="1"/>
          <w:sz w:val="18"/>
        </w:rPr>
        <w:t xml:space="preserve"> </w:t>
      </w:r>
      <w:r>
        <w:rPr>
          <w:spacing w:val="-5"/>
          <w:sz w:val="18"/>
        </w:rPr>
        <w:t>5A.</w:t>
      </w:r>
    </w:p>
    <w:p w14:paraId="7CB25DE9" w14:textId="77777777" w:rsidR="008A4099" w:rsidRDefault="006A6EE2">
      <w:pPr>
        <w:spacing w:before="23" w:line="244" w:lineRule="auto"/>
        <w:ind w:left="160" w:right="679"/>
        <w:rPr>
          <w:sz w:val="18"/>
        </w:rPr>
      </w:pPr>
      <w:r>
        <w:rPr>
          <w:sz w:val="18"/>
          <w:vertAlign w:val="superscript"/>
        </w:rPr>
        <w:t>117</w:t>
      </w:r>
      <w:r>
        <w:rPr>
          <w:spacing w:val="21"/>
          <w:sz w:val="18"/>
        </w:rPr>
        <w:t xml:space="preserve"> </w:t>
      </w:r>
      <w:r>
        <w:rPr>
          <w:sz w:val="18"/>
        </w:rPr>
        <w:t>See</w:t>
      </w:r>
      <w:r>
        <w:rPr>
          <w:spacing w:val="20"/>
          <w:sz w:val="18"/>
        </w:rPr>
        <w:t xml:space="preserve"> </w:t>
      </w:r>
      <w:r>
        <w:rPr>
          <w:sz w:val="18"/>
        </w:rPr>
        <w:t>Chen,</w:t>
      </w:r>
      <w:r>
        <w:rPr>
          <w:spacing w:val="21"/>
          <w:sz w:val="18"/>
        </w:rPr>
        <w:t xml:space="preserve"> </w:t>
      </w:r>
      <w:r>
        <w:rPr>
          <w:sz w:val="18"/>
        </w:rPr>
        <w:t>‘The</w:t>
      </w:r>
      <w:r>
        <w:rPr>
          <w:spacing w:val="21"/>
          <w:sz w:val="18"/>
        </w:rPr>
        <w:t xml:space="preserve"> </w:t>
      </w:r>
      <w:r>
        <w:rPr>
          <w:i/>
          <w:sz w:val="18"/>
        </w:rPr>
        <w:t>Human</w:t>
      </w:r>
      <w:r>
        <w:rPr>
          <w:i/>
          <w:spacing w:val="22"/>
          <w:sz w:val="18"/>
        </w:rPr>
        <w:t xml:space="preserve"> </w:t>
      </w:r>
      <w:r>
        <w:rPr>
          <w:i/>
          <w:sz w:val="18"/>
        </w:rPr>
        <w:t>Rights</w:t>
      </w:r>
      <w:r>
        <w:rPr>
          <w:i/>
          <w:spacing w:val="18"/>
          <w:sz w:val="18"/>
        </w:rPr>
        <w:t xml:space="preserve"> </w:t>
      </w:r>
      <w:r>
        <w:rPr>
          <w:i/>
          <w:sz w:val="18"/>
        </w:rPr>
        <w:t>Act</w:t>
      </w:r>
      <w:r>
        <w:rPr>
          <w:i/>
          <w:spacing w:val="21"/>
          <w:sz w:val="18"/>
        </w:rPr>
        <w:t xml:space="preserve"> </w:t>
      </w:r>
      <w:r>
        <w:rPr>
          <w:i/>
          <w:sz w:val="18"/>
        </w:rPr>
        <w:t>2019</w:t>
      </w:r>
      <w:r>
        <w:rPr>
          <w:i/>
          <w:spacing w:val="24"/>
          <w:sz w:val="18"/>
        </w:rPr>
        <w:t xml:space="preserve"> </w:t>
      </w:r>
      <w:r>
        <w:rPr>
          <w:sz w:val="18"/>
        </w:rPr>
        <w:t>(Qld):</w:t>
      </w:r>
      <w:r>
        <w:rPr>
          <w:spacing w:val="21"/>
          <w:sz w:val="18"/>
        </w:rPr>
        <w:t xml:space="preserve"> </w:t>
      </w:r>
      <w:r>
        <w:rPr>
          <w:sz w:val="18"/>
        </w:rPr>
        <w:t>Some</w:t>
      </w:r>
      <w:r>
        <w:rPr>
          <w:spacing w:val="20"/>
          <w:sz w:val="18"/>
        </w:rPr>
        <w:t xml:space="preserve"> </w:t>
      </w:r>
      <w:r>
        <w:rPr>
          <w:sz w:val="18"/>
        </w:rPr>
        <w:t>Perspectives</w:t>
      </w:r>
      <w:r>
        <w:rPr>
          <w:spacing w:val="20"/>
          <w:sz w:val="18"/>
        </w:rPr>
        <w:t xml:space="preserve"> </w:t>
      </w:r>
      <w:r>
        <w:rPr>
          <w:sz w:val="18"/>
        </w:rPr>
        <w:t>from</w:t>
      </w:r>
      <w:r>
        <w:rPr>
          <w:spacing w:val="22"/>
          <w:sz w:val="18"/>
        </w:rPr>
        <w:t xml:space="preserve"> </w:t>
      </w:r>
      <w:r>
        <w:rPr>
          <w:sz w:val="18"/>
        </w:rPr>
        <w:t>Victoria’</w:t>
      </w:r>
      <w:r>
        <w:rPr>
          <w:spacing w:val="20"/>
          <w:sz w:val="18"/>
        </w:rPr>
        <w:t xml:space="preserve"> </w:t>
      </w:r>
      <w:r>
        <w:rPr>
          <w:sz w:val="18"/>
        </w:rPr>
        <w:t>10.</w:t>
      </w:r>
      <w:r>
        <w:rPr>
          <w:spacing w:val="19"/>
          <w:sz w:val="18"/>
        </w:rPr>
        <w:t xml:space="preserve"> </w:t>
      </w:r>
      <w:r>
        <w:rPr>
          <w:sz w:val="18"/>
        </w:rPr>
        <w:t>See</w:t>
      </w:r>
      <w:r>
        <w:rPr>
          <w:spacing w:val="20"/>
          <w:sz w:val="18"/>
        </w:rPr>
        <w:t xml:space="preserve"> </w:t>
      </w:r>
      <w:r>
        <w:rPr>
          <w:sz w:val="18"/>
        </w:rPr>
        <w:t>also</w:t>
      </w:r>
      <w:r>
        <w:rPr>
          <w:spacing w:val="23"/>
          <w:sz w:val="18"/>
        </w:rPr>
        <w:t xml:space="preserve"> </w:t>
      </w:r>
      <w:r>
        <w:rPr>
          <w:i/>
          <w:sz w:val="18"/>
        </w:rPr>
        <w:t>Owen-D’Arcy</w:t>
      </w:r>
      <w:r>
        <w:rPr>
          <w:i/>
          <w:spacing w:val="20"/>
          <w:sz w:val="18"/>
        </w:rPr>
        <w:t xml:space="preserve"> </w:t>
      </w:r>
      <w:r>
        <w:rPr>
          <w:i/>
          <w:sz w:val="18"/>
        </w:rPr>
        <w:t>v</w:t>
      </w:r>
      <w:r>
        <w:rPr>
          <w:i/>
          <w:spacing w:val="20"/>
          <w:sz w:val="18"/>
        </w:rPr>
        <w:t xml:space="preserve"> </w:t>
      </w:r>
      <w:r>
        <w:rPr>
          <w:i/>
          <w:sz w:val="18"/>
        </w:rPr>
        <w:t xml:space="preserve">Chief Executive of QCS </w:t>
      </w:r>
      <w:r>
        <w:rPr>
          <w:sz w:val="18"/>
        </w:rPr>
        <w:t>[2021] QSC 273.</w:t>
      </w:r>
    </w:p>
    <w:p w14:paraId="7CB25DEA" w14:textId="77777777" w:rsidR="008A4099" w:rsidRDefault="008A4099">
      <w:pPr>
        <w:spacing w:line="244" w:lineRule="auto"/>
        <w:rPr>
          <w:sz w:val="18"/>
        </w:rPr>
        <w:sectPr w:rsidR="008A4099" w:rsidSect="00D43B2D">
          <w:pgSz w:w="11910" w:h="16840"/>
          <w:pgMar w:top="980" w:right="760" w:bottom="940" w:left="1280" w:header="718" w:footer="753" w:gutter="0"/>
          <w:cols w:space="720"/>
        </w:sectPr>
      </w:pPr>
    </w:p>
    <w:p w14:paraId="7CB25DEB" w14:textId="77777777" w:rsidR="008A4099" w:rsidRDefault="008A4099">
      <w:pPr>
        <w:pStyle w:val="BodyText"/>
        <w:spacing w:before="194"/>
      </w:pPr>
    </w:p>
    <w:p w14:paraId="7CB25DEC" w14:textId="77777777" w:rsidR="008A4099" w:rsidRDefault="006A6EE2">
      <w:pPr>
        <w:pStyle w:val="ListParagraph"/>
        <w:numPr>
          <w:ilvl w:val="2"/>
          <w:numId w:val="9"/>
        </w:numPr>
        <w:tabs>
          <w:tab w:val="left" w:pos="879"/>
        </w:tabs>
        <w:spacing w:before="1"/>
        <w:ind w:right="675" w:firstLine="0"/>
        <w:jc w:val="both"/>
      </w:pPr>
      <w:r>
        <w:t>As set out in the Qld Human Rights Act, the first review of the Act should occur as soon as practicable after 1 July 2023 to consider: whether additional rights should be protected;</w:t>
      </w:r>
      <w:r>
        <w:rPr>
          <w:position w:val="7"/>
          <w:sz w:val="13"/>
        </w:rPr>
        <w:t xml:space="preserve">118 </w:t>
      </w:r>
      <w:r>
        <w:t xml:space="preserve">whether further opportunities to commence legal proceedings or remedies should be provided; and whether provisions relating to the </w:t>
      </w:r>
      <w:r>
        <w:rPr>
          <w:i/>
        </w:rPr>
        <w:t xml:space="preserve">Corrective Services Act 2006 </w:t>
      </w:r>
      <w:r>
        <w:t>(Qld)</w:t>
      </w:r>
      <w:r>
        <w:rPr>
          <w:spacing w:val="-1"/>
        </w:rPr>
        <w:t xml:space="preserve"> </w:t>
      </w:r>
      <w:r>
        <w:t xml:space="preserve">and the </w:t>
      </w:r>
      <w:r>
        <w:rPr>
          <w:i/>
        </w:rPr>
        <w:t xml:space="preserve">Youth Justice Act 1992 </w:t>
      </w:r>
      <w:r>
        <w:t>(Qld) are operating as intended and not resulting in unjustifiable incursions on human rights.</w:t>
      </w:r>
      <w:r>
        <w:rPr>
          <w:position w:val="7"/>
          <w:sz w:val="13"/>
        </w:rPr>
        <w:t>119</w:t>
      </w:r>
      <w:r>
        <w:rPr>
          <w:spacing w:val="27"/>
          <w:position w:val="7"/>
          <w:sz w:val="13"/>
        </w:rPr>
        <w:t xml:space="preserve"> </w:t>
      </w:r>
      <w:r>
        <w:t>The review will be conducted by the Queensland Human Rights Commission.</w:t>
      </w:r>
    </w:p>
    <w:p w14:paraId="7CB25DED" w14:textId="77777777" w:rsidR="008A4099" w:rsidRDefault="006A6EE2">
      <w:pPr>
        <w:pStyle w:val="ListParagraph"/>
        <w:numPr>
          <w:ilvl w:val="2"/>
          <w:numId w:val="9"/>
        </w:numPr>
        <w:tabs>
          <w:tab w:val="left" w:pos="879"/>
        </w:tabs>
        <w:spacing w:before="218" w:line="237" w:lineRule="auto"/>
        <w:ind w:right="683" w:firstLine="0"/>
        <w:jc w:val="both"/>
      </w:pPr>
      <w:r>
        <w:t>The approach</w:t>
      </w:r>
      <w:r>
        <w:rPr>
          <w:spacing w:val="-2"/>
        </w:rPr>
        <w:t xml:space="preserve"> </w:t>
      </w:r>
      <w:r>
        <w:t>adopted</w:t>
      </w:r>
      <w:r>
        <w:rPr>
          <w:spacing w:val="-2"/>
        </w:rPr>
        <w:t xml:space="preserve"> </w:t>
      </w:r>
      <w:r>
        <w:t>in</w:t>
      </w:r>
      <w:r>
        <w:rPr>
          <w:spacing w:val="-3"/>
        </w:rPr>
        <w:t xml:space="preserve"> </w:t>
      </w:r>
      <w:r>
        <w:t>Queensland, and</w:t>
      </w:r>
      <w:r>
        <w:rPr>
          <w:spacing w:val="-2"/>
        </w:rPr>
        <w:t xml:space="preserve"> </w:t>
      </w:r>
      <w:r>
        <w:t>its</w:t>
      </w:r>
      <w:r>
        <w:rPr>
          <w:spacing w:val="-2"/>
        </w:rPr>
        <w:t xml:space="preserve"> </w:t>
      </w:r>
      <w:r>
        <w:t>implications</w:t>
      </w:r>
      <w:r>
        <w:rPr>
          <w:spacing w:val="-2"/>
        </w:rPr>
        <w:t xml:space="preserve"> </w:t>
      </w:r>
      <w:r>
        <w:t>for</w:t>
      </w:r>
      <w:r>
        <w:rPr>
          <w:spacing w:val="-2"/>
        </w:rPr>
        <w:t xml:space="preserve"> </w:t>
      </w:r>
      <w:r>
        <w:t>any</w:t>
      </w:r>
      <w:r>
        <w:rPr>
          <w:spacing w:val="-2"/>
        </w:rPr>
        <w:t xml:space="preserve"> </w:t>
      </w:r>
      <w:r>
        <w:t>reforms</w:t>
      </w:r>
      <w:r>
        <w:rPr>
          <w:spacing w:val="-2"/>
        </w:rPr>
        <w:t xml:space="preserve"> </w:t>
      </w:r>
      <w:r>
        <w:t>to</w:t>
      </w:r>
      <w:r>
        <w:rPr>
          <w:spacing w:val="-2"/>
        </w:rPr>
        <w:t xml:space="preserve"> </w:t>
      </w:r>
      <w:r>
        <w:t>the</w:t>
      </w:r>
      <w:r>
        <w:rPr>
          <w:spacing w:val="-4"/>
        </w:rPr>
        <w:t xml:space="preserve"> </w:t>
      </w:r>
      <w:r>
        <w:t>TLRI</w:t>
      </w:r>
      <w:r>
        <w:rPr>
          <w:spacing w:val="-2"/>
        </w:rPr>
        <w:t xml:space="preserve"> </w:t>
      </w:r>
      <w:r>
        <w:t>model, are discussed in Parts 3 and 4.</w:t>
      </w:r>
    </w:p>
    <w:p w14:paraId="7CB25DEE" w14:textId="77777777" w:rsidR="008A4099" w:rsidRDefault="008A4099">
      <w:pPr>
        <w:pStyle w:val="BodyText"/>
      </w:pPr>
    </w:p>
    <w:p w14:paraId="7CB25DEF" w14:textId="77777777" w:rsidR="008A4099" w:rsidRDefault="008A4099">
      <w:pPr>
        <w:pStyle w:val="BodyText"/>
        <w:spacing w:before="132"/>
      </w:pPr>
    </w:p>
    <w:p w14:paraId="7CB25DF0" w14:textId="77777777" w:rsidR="008A4099" w:rsidRDefault="006A6EE2">
      <w:pPr>
        <w:pStyle w:val="Heading2"/>
        <w:numPr>
          <w:ilvl w:val="1"/>
          <w:numId w:val="9"/>
        </w:numPr>
        <w:tabs>
          <w:tab w:val="left" w:pos="878"/>
        </w:tabs>
        <w:ind w:left="878" w:hanging="718"/>
        <w:jc w:val="both"/>
      </w:pPr>
      <w:bookmarkStart w:id="14" w:name="_TOC_250046"/>
      <w:r>
        <w:t>Updates</w:t>
      </w:r>
      <w:r>
        <w:rPr>
          <w:spacing w:val="-7"/>
        </w:rPr>
        <w:t xml:space="preserve"> </w:t>
      </w:r>
      <w:r>
        <w:t>from</w:t>
      </w:r>
      <w:r>
        <w:rPr>
          <w:spacing w:val="-8"/>
        </w:rPr>
        <w:t xml:space="preserve"> </w:t>
      </w:r>
      <w:r>
        <w:t>the</w:t>
      </w:r>
      <w:r>
        <w:rPr>
          <w:spacing w:val="-6"/>
        </w:rPr>
        <w:t xml:space="preserve"> </w:t>
      </w:r>
      <w:bookmarkEnd w:id="14"/>
      <w:r>
        <w:rPr>
          <w:spacing w:val="-2"/>
        </w:rPr>
        <w:t>Commonwealth</w:t>
      </w:r>
    </w:p>
    <w:p w14:paraId="7CB25DF1" w14:textId="77777777" w:rsidR="008A4099" w:rsidRDefault="006A6EE2">
      <w:pPr>
        <w:pStyle w:val="ListParagraph"/>
        <w:numPr>
          <w:ilvl w:val="2"/>
          <w:numId w:val="9"/>
        </w:numPr>
        <w:tabs>
          <w:tab w:val="left" w:pos="879"/>
        </w:tabs>
        <w:ind w:right="680" w:firstLine="0"/>
        <w:jc w:val="both"/>
      </w:pPr>
      <w:r>
        <w:t>In November 2008, the Australian Government established a National Human Rights Consultation Committee (‘NHRCC’), chaired by Father Frank Brennan, to undertake consultation on preferred models for Commonwealth protection of human rights.</w:t>
      </w:r>
    </w:p>
    <w:p w14:paraId="7CB25DF2" w14:textId="77777777" w:rsidR="008A4099" w:rsidRDefault="006A6EE2">
      <w:pPr>
        <w:pStyle w:val="ListParagraph"/>
        <w:numPr>
          <w:ilvl w:val="2"/>
          <w:numId w:val="9"/>
        </w:numPr>
        <w:tabs>
          <w:tab w:val="left" w:pos="879"/>
        </w:tabs>
        <w:spacing w:before="217"/>
        <w:ind w:right="677" w:firstLine="0"/>
        <w:jc w:val="both"/>
      </w:pPr>
      <w:r>
        <w:t>The NHRCC recommended adopting a Commonwealth Human Rights Act, along the lines of legislation in the Australian Capital Territory and Victoria, to protect rights identified in international treaties and ensure that legislation is compatible with human rights.</w:t>
      </w:r>
      <w:r>
        <w:rPr>
          <w:position w:val="7"/>
          <w:sz w:val="13"/>
        </w:rPr>
        <w:t xml:space="preserve">120 </w:t>
      </w:r>
      <w:r>
        <w:t>Consistent with the ‘dialogue’ approach,</w:t>
      </w:r>
      <w:r>
        <w:rPr>
          <w:spacing w:val="-7"/>
        </w:rPr>
        <w:t xml:space="preserve"> </w:t>
      </w:r>
      <w:r>
        <w:t>the</w:t>
      </w:r>
      <w:r>
        <w:rPr>
          <w:spacing w:val="-5"/>
        </w:rPr>
        <w:t xml:space="preserve"> </w:t>
      </w:r>
      <w:r>
        <w:t>proposed</w:t>
      </w:r>
      <w:r>
        <w:rPr>
          <w:spacing w:val="-7"/>
        </w:rPr>
        <w:t xml:space="preserve"> </w:t>
      </w:r>
      <w:r>
        <w:t>model</w:t>
      </w:r>
      <w:r>
        <w:rPr>
          <w:spacing w:val="-6"/>
        </w:rPr>
        <w:t xml:space="preserve"> </w:t>
      </w:r>
      <w:r>
        <w:t>allowed</w:t>
      </w:r>
      <w:r>
        <w:rPr>
          <w:spacing w:val="-7"/>
        </w:rPr>
        <w:t xml:space="preserve"> </w:t>
      </w:r>
      <w:r>
        <w:t>the</w:t>
      </w:r>
      <w:r>
        <w:rPr>
          <w:spacing w:val="-5"/>
        </w:rPr>
        <w:t xml:space="preserve"> </w:t>
      </w:r>
      <w:r>
        <w:t>High</w:t>
      </w:r>
      <w:r>
        <w:rPr>
          <w:spacing w:val="-6"/>
        </w:rPr>
        <w:t xml:space="preserve"> </w:t>
      </w:r>
      <w:r>
        <w:t>Court</w:t>
      </w:r>
      <w:r>
        <w:rPr>
          <w:spacing w:val="-8"/>
        </w:rPr>
        <w:t xml:space="preserve"> </w:t>
      </w:r>
      <w:r>
        <w:t>to</w:t>
      </w:r>
      <w:r>
        <w:rPr>
          <w:spacing w:val="-6"/>
        </w:rPr>
        <w:t xml:space="preserve"> </w:t>
      </w:r>
      <w:r>
        <w:t>declare</w:t>
      </w:r>
      <w:r>
        <w:rPr>
          <w:spacing w:val="-7"/>
        </w:rPr>
        <w:t xml:space="preserve"> </w:t>
      </w:r>
      <w:r>
        <w:t>existing</w:t>
      </w:r>
      <w:r>
        <w:rPr>
          <w:spacing w:val="-6"/>
        </w:rPr>
        <w:t xml:space="preserve"> </w:t>
      </w:r>
      <w:r>
        <w:t>legislation</w:t>
      </w:r>
      <w:r>
        <w:rPr>
          <w:spacing w:val="-6"/>
        </w:rPr>
        <w:t xml:space="preserve"> </w:t>
      </w:r>
      <w:r>
        <w:t>incompatible</w:t>
      </w:r>
      <w:r>
        <w:rPr>
          <w:spacing w:val="-5"/>
        </w:rPr>
        <w:t xml:space="preserve"> </w:t>
      </w:r>
      <w:r>
        <w:t>with the Act and to refer it to Parliament for possible amendment.</w:t>
      </w:r>
    </w:p>
    <w:p w14:paraId="7CB25DF3" w14:textId="77777777" w:rsidR="008A4099" w:rsidRDefault="006A6EE2">
      <w:pPr>
        <w:pStyle w:val="ListParagraph"/>
        <w:numPr>
          <w:ilvl w:val="2"/>
          <w:numId w:val="9"/>
        </w:numPr>
        <w:tabs>
          <w:tab w:val="left" w:pos="879"/>
        </w:tabs>
        <w:spacing w:before="215"/>
        <w:ind w:right="674" w:firstLine="0"/>
        <w:jc w:val="both"/>
        <w:rPr>
          <w:sz w:val="13"/>
        </w:rPr>
      </w:pPr>
      <w:r>
        <w:t>In</w:t>
      </w:r>
      <w:r>
        <w:rPr>
          <w:spacing w:val="-2"/>
        </w:rPr>
        <w:t xml:space="preserve"> </w:t>
      </w:r>
      <w:r>
        <w:t>April</w:t>
      </w:r>
      <w:r>
        <w:rPr>
          <w:spacing w:val="-1"/>
        </w:rPr>
        <w:t xml:space="preserve"> </w:t>
      </w:r>
      <w:r>
        <w:t>2010,</w:t>
      </w:r>
      <w:r>
        <w:rPr>
          <w:spacing w:val="-2"/>
        </w:rPr>
        <w:t xml:space="preserve"> </w:t>
      </w:r>
      <w:r>
        <w:t>in</w:t>
      </w:r>
      <w:r>
        <w:rPr>
          <w:spacing w:val="-2"/>
        </w:rPr>
        <w:t xml:space="preserve"> </w:t>
      </w:r>
      <w:r>
        <w:t>response</w:t>
      </w:r>
      <w:r>
        <w:rPr>
          <w:spacing w:val="-2"/>
        </w:rPr>
        <w:t xml:space="preserve"> </w:t>
      </w:r>
      <w:r>
        <w:t>to</w:t>
      </w:r>
      <w:r>
        <w:rPr>
          <w:spacing w:val="-2"/>
        </w:rPr>
        <w:t xml:space="preserve"> </w:t>
      </w:r>
      <w:r>
        <w:t>the</w:t>
      </w:r>
      <w:r>
        <w:rPr>
          <w:spacing w:val="-2"/>
        </w:rPr>
        <w:t xml:space="preserve"> </w:t>
      </w:r>
      <w:r>
        <w:t>NHRCC</w:t>
      </w:r>
      <w:r>
        <w:rPr>
          <w:spacing w:val="-3"/>
        </w:rPr>
        <w:t xml:space="preserve"> </w:t>
      </w:r>
      <w:r>
        <w:t>report,</w:t>
      </w:r>
      <w:r>
        <w:rPr>
          <w:spacing w:val="-2"/>
        </w:rPr>
        <w:t xml:space="preserve"> </w:t>
      </w:r>
      <w:r>
        <w:t>the</w:t>
      </w:r>
      <w:r>
        <w:rPr>
          <w:spacing w:val="-2"/>
        </w:rPr>
        <w:t xml:space="preserve"> </w:t>
      </w:r>
      <w:r>
        <w:t>Government</w:t>
      </w:r>
      <w:r>
        <w:rPr>
          <w:spacing w:val="-1"/>
        </w:rPr>
        <w:t xml:space="preserve"> </w:t>
      </w:r>
      <w:r>
        <w:t xml:space="preserve">released </w:t>
      </w:r>
      <w:r>
        <w:rPr>
          <w:i/>
        </w:rPr>
        <w:t>Australia’s</w:t>
      </w:r>
      <w:r>
        <w:rPr>
          <w:i/>
          <w:spacing w:val="-2"/>
        </w:rPr>
        <w:t xml:space="preserve"> </w:t>
      </w:r>
      <w:r>
        <w:rPr>
          <w:i/>
        </w:rPr>
        <w:t xml:space="preserve">Human Rights Framework </w:t>
      </w:r>
      <w:r>
        <w:t>(‘the Framework’).</w:t>
      </w:r>
      <w:r>
        <w:rPr>
          <w:position w:val="7"/>
          <w:sz w:val="13"/>
        </w:rPr>
        <w:t>121</w:t>
      </w:r>
      <w:r>
        <w:rPr>
          <w:spacing w:val="40"/>
          <w:position w:val="7"/>
          <w:sz w:val="13"/>
        </w:rPr>
        <w:t xml:space="preserve"> </w:t>
      </w:r>
      <w:r>
        <w:t>The NHRCC’s recommendation to implement a Commonwealth Human Rights Act was not adopted; instead, the Framework proposed increasing scrutiny</w:t>
      </w:r>
      <w:r>
        <w:rPr>
          <w:spacing w:val="-14"/>
        </w:rPr>
        <w:t xml:space="preserve"> </w:t>
      </w:r>
      <w:r>
        <w:t>of</w:t>
      </w:r>
      <w:r>
        <w:rPr>
          <w:spacing w:val="-14"/>
        </w:rPr>
        <w:t xml:space="preserve"> </w:t>
      </w:r>
      <w:r>
        <w:t>laws</w:t>
      </w:r>
      <w:r>
        <w:rPr>
          <w:spacing w:val="-14"/>
        </w:rPr>
        <w:t xml:space="preserve"> </w:t>
      </w:r>
      <w:r>
        <w:t>with</w:t>
      </w:r>
      <w:r>
        <w:rPr>
          <w:spacing w:val="-13"/>
        </w:rPr>
        <w:t xml:space="preserve"> </w:t>
      </w:r>
      <w:r>
        <w:t>a</w:t>
      </w:r>
      <w:r>
        <w:rPr>
          <w:spacing w:val="-14"/>
        </w:rPr>
        <w:t xml:space="preserve"> </w:t>
      </w:r>
      <w:r>
        <w:t>view</w:t>
      </w:r>
      <w:r>
        <w:rPr>
          <w:spacing w:val="-14"/>
        </w:rPr>
        <w:t xml:space="preserve"> </w:t>
      </w:r>
      <w:r>
        <w:t>to</w:t>
      </w:r>
      <w:r>
        <w:rPr>
          <w:spacing w:val="-14"/>
        </w:rPr>
        <w:t xml:space="preserve"> </w:t>
      </w:r>
      <w:r>
        <w:t>ensuring</w:t>
      </w:r>
      <w:r>
        <w:rPr>
          <w:spacing w:val="-13"/>
        </w:rPr>
        <w:t xml:space="preserve"> </w:t>
      </w:r>
      <w:r>
        <w:t>that</w:t>
      </w:r>
      <w:r>
        <w:rPr>
          <w:spacing w:val="-14"/>
        </w:rPr>
        <w:t xml:space="preserve"> </w:t>
      </w:r>
      <w:r>
        <w:t>Parliament</w:t>
      </w:r>
      <w:r>
        <w:rPr>
          <w:spacing w:val="-14"/>
        </w:rPr>
        <w:t xml:space="preserve"> </w:t>
      </w:r>
      <w:r>
        <w:t>is</w:t>
      </w:r>
      <w:r>
        <w:rPr>
          <w:spacing w:val="-14"/>
        </w:rPr>
        <w:t xml:space="preserve"> </w:t>
      </w:r>
      <w:r>
        <w:t>properly</w:t>
      </w:r>
      <w:r>
        <w:rPr>
          <w:spacing w:val="-13"/>
        </w:rPr>
        <w:t xml:space="preserve"> </w:t>
      </w:r>
      <w:r>
        <w:t>informed</w:t>
      </w:r>
      <w:r>
        <w:rPr>
          <w:spacing w:val="-14"/>
        </w:rPr>
        <w:t xml:space="preserve"> </w:t>
      </w:r>
      <w:r>
        <w:t>on</w:t>
      </w:r>
      <w:r>
        <w:rPr>
          <w:spacing w:val="-14"/>
        </w:rPr>
        <w:t xml:space="preserve"> </w:t>
      </w:r>
      <w:r>
        <w:t>the</w:t>
      </w:r>
      <w:r>
        <w:rPr>
          <w:spacing w:val="-14"/>
        </w:rPr>
        <w:t xml:space="preserve"> </w:t>
      </w:r>
      <w:r>
        <w:t>human</w:t>
      </w:r>
      <w:r>
        <w:rPr>
          <w:spacing w:val="-13"/>
        </w:rPr>
        <w:t xml:space="preserve"> </w:t>
      </w:r>
      <w:r>
        <w:t>rights</w:t>
      </w:r>
      <w:r>
        <w:rPr>
          <w:spacing w:val="-14"/>
        </w:rPr>
        <w:t xml:space="preserve"> </w:t>
      </w:r>
      <w:r>
        <w:t>impact of proposed legislation. The Framework also included a suite of proposals to improve protection of human</w:t>
      </w:r>
      <w:r>
        <w:rPr>
          <w:spacing w:val="-12"/>
        </w:rPr>
        <w:t xml:space="preserve"> </w:t>
      </w:r>
      <w:r>
        <w:t>rights,</w:t>
      </w:r>
      <w:r>
        <w:rPr>
          <w:spacing w:val="-9"/>
        </w:rPr>
        <w:t xml:space="preserve"> </w:t>
      </w:r>
      <w:r>
        <w:t>including:</w:t>
      </w:r>
      <w:r>
        <w:rPr>
          <w:spacing w:val="-9"/>
        </w:rPr>
        <w:t xml:space="preserve"> </w:t>
      </w:r>
      <w:r>
        <w:t>consolidation</w:t>
      </w:r>
      <w:r>
        <w:rPr>
          <w:spacing w:val="-10"/>
        </w:rPr>
        <w:t xml:space="preserve"> </w:t>
      </w:r>
      <w:r>
        <w:t>and</w:t>
      </w:r>
      <w:r>
        <w:rPr>
          <w:spacing w:val="-12"/>
        </w:rPr>
        <w:t xml:space="preserve"> </w:t>
      </w:r>
      <w:r>
        <w:t>simplification</w:t>
      </w:r>
      <w:r>
        <w:rPr>
          <w:spacing w:val="-10"/>
        </w:rPr>
        <w:t xml:space="preserve"> </w:t>
      </w:r>
      <w:r>
        <w:t>of</w:t>
      </w:r>
      <w:r>
        <w:rPr>
          <w:spacing w:val="-9"/>
        </w:rPr>
        <w:t xml:space="preserve"> </w:t>
      </w:r>
      <w:r>
        <w:t>federal</w:t>
      </w:r>
      <w:r>
        <w:rPr>
          <w:spacing w:val="-9"/>
        </w:rPr>
        <w:t xml:space="preserve"> </w:t>
      </w:r>
      <w:r>
        <w:t>anti-discrimination</w:t>
      </w:r>
      <w:r>
        <w:rPr>
          <w:spacing w:val="-10"/>
        </w:rPr>
        <w:t xml:space="preserve"> </w:t>
      </w:r>
      <w:r>
        <w:t>laws;</w:t>
      </w:r>
      <w:r>
        <w:rPr>
          <w:spacing w:val="-11"/>
        </w:rPr>
        <w:t xml:space="preserve"> </w:t>
      </w:r>
      <w:r>
        <w:t>an</w:t>
      </w:r>
      <w:r>
        <w:rPr>
          <w:spacing w:val="-9"/>
        </w:rPr>
        <w:t xml:space="preserve"> </w:t>
      </w:r>
      <w:r>
        <w:t>annual Non</w:t>
      </w:r>
      <w:r>
        <w:rPr>
          <w:spacing w:val="-6"/>
        </w:rPr>
        <w:t xml:space="preserve"> </w:t>
      </w:r>
      <w:r>
        <w:t>Government</w:t>
      </w:r>
      <w:r>
        <w:rPr>
          <w:spacing w:val="-5"/>
        </w:rPr>
        <w:t xml:space="preserve"> </w:t>
      </w:r>
      <w:r>
        <w:t>Organisation</w:t>
      </w:r>
      <w:r>
        <w:rPr>
          <w:spacing w:val="-6"/>
        </w:rPr>
        <w:t xml:space="preserve"> </w:t>
      </w:r>
      <w:r>
        <w:t>Human</w:t>
      </w:r>
      <w:r>
        <w:rPr>
          <w:spacing w:val="-5"/>
        </w:rPr>
        <w:t xml:space="preserve"> </w:t>
      </w:r>
      <w:r>
        <w:t>Rights</w:t>
      </w:r>
      <w:r>
        <w:rPr>
          <w:spacing w:val="-5"/>
        </w:rPr>
        <w:t xml:space="preserve"> </w:t>
      </w:r>
      <w:r>
        <w:t>Forum;</w:t>
      </w:r>
      <w:r>
        <w:rPr>
          <w:spacing w:val="-7"/>
        </w:rPr>
        <w:t xml:space="preserve"> </w:t>
      </w:r>
      <w:r>
        <w:t>and</w:t>
      </w:r>
      <w:r>
        <w:rPr>
          <w:spacing w:val="-5"/>
        </w:rPr>
        <w:t xml:space="preserve"> </w:t>
      </w:r>
      <w:r>
        <w:t>increased</w:t>
      </w:r>
      <w:r>
        <w:rPr>
          <w:spacing w:val="-6"/>
        </w:rPr>
        <w:t xml:space="preserve"> </w:t>
      </w:r>
      <w:r>
        <w:t>resources</w:t>
      </w:r>
      <w:r>
        <w:rPr>
          <w:spacing w:val="-1"/>
        </w:rPr>
        <w:t xml:space="preserve"> </w:t>
      </w:r>
      <w:r>
        <w:t>to</w:t>
      </w:r>
      <w:r>
        <w:rPr>
          <w:spacing w:val="-8"/>
        </w:rPr>
        <w:t xml:space="preserve"> </w:t>
      </w:r>
      <w:r>
        <w:t>enable</w:t>
      </w:r>
      <w:r>
        <w:rPr>
          <w:spacing w:val="-5"/>
        </w:rPr>
        <w:t xml:space="preserve"> </w:t>
      </w:r>
      <w:r>
        <w:t>the</w:t>
      </w:r>
      <w:r>
        <w:rPr>
          <w:spacing w:val="-5"/>
        </w:rPr>
        <w:t xml:space="preserve"> </w:t>
      </w:r>
      <w:r>
        <w:t>Australian Human Rights Commission to promote understanding of human rights across the community.</w:t>
      </w:r>
      <w:r>
        <w:rPr>
          <w:position w:val="7"/>
          <w:sz w:val="13"/>
        </w:rPr>
        <w:t>122</w:t>
      </w:r>
    </w:p>
    <w:p w14:paraId="7CB25DF4" w14:textId="77777777" w:rsidR="008A4099" w:rsidRDefault="006A6EE2">
      <w:pPr>
        <w:pStyle w:val="ListParagraph"/>
        <w:numPr>
          <w:ilvl w:val="2"/>
          <w:numId w:val="9"/>
        </w:numPr>
        <w:tabs>
          <w:tab w:val="left" w:pos="879"/>
        </w:tabs>
        <w:spacing w:before="219" w:line="237" w:lineRule="auto"/>
        <w:ind w:right="679" w:firstLine="0"/>
        <w:jc w:val="both"/>
      </w:pPr>
      <w:r>
        <w:t xml:space="preserve">The </w:t>
      </w:r>
      <w:r>
        <w:rPr>
          <w:i/>
        </w:rPr>
        <w:t xml:space="preserve">Human Rights (Parliamentary Scrutiny) Act 2011 </w:t>
      </w:r>
      <w:r>
        <w:t>(Cth) (‘Cth Scrutiny Act’) gave effect to scrutiny commitments made in the Framework by:</w:t>
      </w:r>
    </w:p>
    <w:p w14:paraId="7CB25DF5" w14:textId="77777777" w:rsidR="008A4099" w:rsidRDefault="006A6EE2">
      <w:pPr>
        <w:pStyle w:val="ListParagraph"/>
        <w:numPr>
          <w:ilvl w:val="3"/>
          <w:numId w:val="9"/>
        </w:numPr>
        <w:tabs>
          <w:tab w:val="left" w:pos="1012"/>
        </w:tabs>
        <w:spacing w:before="219" w:line="276" w:lineRule="auto"/>
        <w:ind w:left="1012" w:right="675" w:hanging="286"/>
      </w:pPr>
      <w:r>
        <w:t>establishing the Parliamentary Joint Committee on Human Rights (‘PJCHR’)</w:t>
      </w:r>
      <w:r>
        <w:rPr>
          <w:position w:val="7"/>
          <w:sz w:val="13"/>
        </w:rPr>
        <w:t>123</w:t>
      </w:r>
      <w:r>
        <w:rPr>
          <w:spacing w:val="26"/>
          <w:position w:val="7"/>
          <w:sz w:val="13"/>
        </w:rPr>
        <w:t xml:space="preserve"> </w:t>
      </w:r>
      <w:r>
        <w:t>to scrutinise all</w:t>
      </w:r>
      <w:r>
        <w:rPr>
          <w:spacing w:val="-11"/>
        </w:rPr>
        <w:t xml:space="preserve"> </w:t>
      </w:r>
      <w:r>
        <w:t>new</w:t>
      </w:r>
      <w:r>
        <w:rPr>
          <w:spacing w:val="-12"/>
        </w:rPr>
        <w:t xml:space="preserve"> </w:t>
      </w:r>
      <w:r>
        <w:t>legislation</w:t>
      </w:r>
      <w:r>
        <w:rPr>
          <w:spacing w:val="-12"/>
        </w:rPr>
        <w:t xml:space="preserve"> </w:t>
      </w:r>
      <w:r>
        <w:t>for</w:t>
      </w:r>
      <w:r>
        <w:rPr>
          <w:spacing w:val="-11"/>
        </w:rPr>
        <w:t xml:space="preserve"> </w:t>
      </w:r>
      <w:r>
        <w:t>compatibility</w:t>
      </w:r>
      <w:r>
        <w:rPr>
          <w:spacing w:val="-12"/>
        </w:rPr>
        <w:t xml:space="preserve"> </w:t>
      </w:r>
      <w:r>
        <w:t>with</w:t>
      </w:r>
      <w:r>
        <w:rPr>
          <w:spacing w:val="-12"/>
        </w:rPr>
        <w:t xml:space="preserve"> </w:t>
      </w:r>
      <w:r>
        <w:t>human</w:t>
      </w:r>
      <w:r>
        <w:rPr>
          <w:spacing w:val="-12"/>
        </w:rPr>
        <w:t xml:space="preserve"> </w:t>
      </w:r>
      <w:r>
        <w:t>rights</w:t>
      </w:r>
      <w:r>
        <w:rPr>
          <w:spacing w:val="-11"/>
        </w:rPr>
        <w:t xml:space="preserve"> </w:t>
      </w:r>
      <w:r>
        <w:t>treaties</w:t>
      </w:r>
      <w:r>
        <w:rPr>
          <w:spacing w:val="-11"/>
        </w:rPr>
        <w:t xml:space="preserve"> </w:t>
      </w:r>
      <w:r>
        <w:t>to</w:t>
      </w:r>
      <w:r>
        <w:rPr>
          <w:spacing w:val="-12"/>
        </w:rPr>
        <w:t xml:space="preserve"> </w:t>
      </w:r>
      <w:r>
        <w:t>which</w:t>
      </w:r>
      <w:r>
        <w:rPr>
          <w:spacing w:val="-12"/>
        </w:rPr>
        <w:t xml:space="preserve"> </w:t>
      </w:r>
      <w:r>
        <w:t>Australia</w:t>
      </w:r>
      <w:r>
        <w:rPr>
          <w:spacing w:val="-12"/>
        </w:rPr>
        <w:t xml:space="preserve"> </w:t>
      </w:r>
      <w:r>
        <w:t>is</w:t>
      </w:r>
      <w:r>
        <w:rPr>
          <w:spacing w:val="-14"/>
        </w:rPr>
        <w:t xml:space="preserve"> </w:t>
      </w:r>
      <w:r>
        <w:t>a</w:t>
      </w:r>
      <w:r>
        <w:rPr>
          <w:spacing w:val="-11"/>
        </w:rPr>
        <w:t xml:space="preserve"> </w:t>
      </w:r>
      <w:r>
        <w:t>party;</w:t>
      </w:r>
      <w:r>
        <w:rPr>
          <w:position w:val="7"/>
          <w:sz w:val="13"/>
        </w:rPr>
        <w:t>124</w:t>
      </w:r>
      <w:r>
        <w:rPr>
          <w:spacing w:val="40"/>
          <w:position w:val="7"/>
          <w:sz w:val="13"/>
        </w:rPr>
        <w:t xml:space="preserve"> </w:t>
      </w:r>
      <w:r>
        <w:rPr>
          <w:spacing w:val="-4"/>
        </w:rPr>
        <w:t>and</w:t>
      </w:r>
    </w:p>
    <w:p w14:paraId="7CB25DF6" w14:textId="77777777" w:rsidR="008A4099" w:rsidRDefault="006A6EE2">
      <w:pPr>
        <w:pStyle w:val="BodyText"/>
        <w:spacing w:before="8"/>
        <w:rPr>
          <w:sz w:val="20"/>
        </w:rPr>
      </w:pPr>
      <w:r>
        <w:rPr>
          <w:noProof/>
        </w:rPr>
        <mc:AlternateContent>
          <mc:Choice Requires="wps">
            <w:drawing>
              <wp:anchor distT="0" distB="0" distL="0" distR="0" simplePos="0" relativeHeight="487597568" behindDoc="1" locked="0" layoutInCell="1" allowOverlap="1" wp14:anchorId="7CB265FF" wp14:editId="7CB26600">
                <wp:simplePos x="0" y="0"/>
                <wp:positionH relativeFrom="page">
                  <wp:posOffset>914704</wp:posOffset>
                </wp:positionH>
                <wp:positionV relativeFrom="paragraph">
                  <wp:posOffset>166906</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7CA90A" id="Graphic 55" o:spid="_x0000_s1026" style="position:absolute;margin-left:1in;margin-top:13.15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" path="m1829054,l,,,7619r1829054,l1829054,xe" fillcolor="black" stroked="f">
                <v:path arrowok="t"/>
                <w10:wrap type="topAndBottom" anchorx="page"/>
              </v:shape>
            </w:pict>
          </mc:Fallback>
        </mc:AlternateContent>
      </w:r>
    </w:p>
    <w:p w14:paraId="7CB25DF7" w14:textId="77777777" w:rsidR="008A4099" w:rsidRDefault="006A6EE2">
      <w:pPr>
        <w:spacing w:before="112" w:line="242" w:lineRule="auto"/>
        <w:ind w:left="160" w:right="673"/>
        <w:jc w:val="both"/>
        <w:rPr>
          <w:sz w:val="18"/>
        </w:rPr>
      </w:pPr>
      <w:r>
        <w:rPr>
          <w:sz w:val="18"/>
          <w:vertAlign w:val="superscript"/>
        </w:rPr>
        <w:t>118</w:t>
      </w:r>
      <w:r>
        <w:rPr>
          <w:sz w:val="18"/>
        </w:rPr>
        <w:t xml:space="preserve"> Including, but not limited to, rights under the </w:t>
      </w:r>
      <w:r>
        <w:rPr>
          <w:i/>
          <w:sz w:val="18"/>
        </w:rPr>
        <w:t xml:space="preserve">International Covenant on Economic, Social and Cultural Rights, </w:t>
      </w:r>
      <w:r>
        <w:rPr>
          <w:sz w:val="18"/>
        </w:rPr>
        <w:t xml:space="preserve">the </w:t>
      </w:r>
      <w:r>
        <w:rPr>
          <w:i/>
          <w:sz w:val="18"/>
        </w:rPr>
        <w:t>Convention on the Rights of the Child</w:t>
      </w:r>
      <w:r>
        <w:rPr>
          <w:sz w:val="18"/>
        </w:rPr>
        <w:t xml:space="preserve">, the </w:t>
      </w:r>
      <w:r>
        <w:rPr>
          <w:i/>
          <w:sz w:val="18"/>
        </w:rPr>
        <w:t>Convention on the Rights of Persons with Disabilities</w:t>
      </w:r>
      <w:r>
        <w:rPr>
          <w:sz w:val="18"/>
        </w:rPr>
        <w:t xml:space="preserve">, and the </w:t>
      </w:r>
      <w:r>
        <w:rPr>
          <w:i/>
          <w:sz w:val="18"/>
        </w:rPr>
        <w:t xml:space="preserve">Convention on the Elimination of All Forms of Discrimination against Women </w:t>
      </w:r>
      <w:r>
        <w:rPr>
          <w:sz w:val="18"/>
        </w:rPr>
        <w:t>s 95(4)(a).</w:t>
      </w:r>
    </w:p>
    <w:p w14:paraId="7CB25DF8" w14:textId="77777777" w:rsidR="008A4099" w:rsidRDefault="006A6EE2">
      <w:pPr>
        <w:spacing w:before="19"/>
        <w:ind w:left="160"/>
        <w:jc w:val="both"/>
        <w:rPr>
          <w:sz w:val="18"/>
        </w:rPr>
      </w:pPr>
      <w:r>
        <w:rPr>
          <w:sz w:val="18"/>
          <w:vertAlign w:val="superscript"/>
        </w:rPr>
        <w:t>119</w:t>
      </w:r>
      <w:r>
        <w:rPr>
          <w:sz w:val="18"/>
        </w:rPr>
        <w:t xml:space="preserve"> </w:t>
      </w:r>
      <w:r>
        <w:rPr>
          <w:i/>
          <w:sz w:val="18"/>
        </w:rPr>
        <w:t>Convention</w:t>
      </w:r>
      <w:r>
        <w:rPr>
          <w:i/>
          <w:spacing w:val="-1"/>
          <w:sz w:val="18"/>
        </w:rPr>
        <w:t xml:space="preserve"> </w:t>
      </w:r>
      <w:r>
        <w:rPr>
          <w:i/>
          <w:sz w:val="18"/>
        </w:rPr>
        <w:t>on</w:t>
      </w:r>
      <w:r>
        <w:rPr>
          <w:i/>
          <w:spacing w:val="1"/>
          <w:sz w:val="18"/>
        </w:rPr>
        <w:t xml:space="preserve"> </w:t>
      </w:r>
      <w:r>
        <w:rPr>
          <w:i/>
          <w:sz w:val="18"/>
        </w:rPr>
        <w:t>the</w:t>
      </w:r>
      <w:r>
        <w:rPr>
          <w:i/>
          <w:spacing w:val="-1"/>
          <w:sz w:val="18"/>
        </w:rPr>
        <w:t xml:space="preserve"> </w:t>
      </w:r>
      <w:r>
        <w:rPr>
          <w:i/>
          <w:sz w:val="18"/>
        </w:rPr>
        <w:t>Elimination</w:t>
      </w:r>
      <w:r>
        <w:rPr>
          <w:i/>
          <w:spacing w:val="-1"/>
          <w:sz w:val="18"/>
        </w:rPr>
        <w:t xml:space="preserve"> </w:t>
      </w:r>
      <w:r>
        <w:rPr>
          <w:i/>
          <w:sz w:val="18"/>
        </w:rPr>
        <w:t>of</w:t>
      </w:r>
      <w:r>
        <w:rPr>
          <w:i/>
          <w:spacing w:val="-2"/>
          <w:sz w:val="18"/>
        </w:rPr>
        <w:t xml:space="preserve"> </w:t>
      </w:r>
      <w:r>
        <w:rPr>
          <w:i/>
          <w:sz w:val="18"/>
        </w:rPr>
        <w:t>All Forms of Discrimination</w:t>
      </w:r>
      <w:r>
        <w:rPr>
          <w:i/>
          <w:spacing w:val="-1"/>
          <w:sz w:val="18"/>
        </w:rPr>
        <w:t xml:space="preserve"> </w:t>
      </w:r>
      <w:r>
        <w:rPr>
          <w:i/>
          <w:sz w:val="18"/>
        </w:rPr>
        <w:t>against Women</w:t>
      </w:r>
      <w:r>
        <w:rPr>
          <w:i/>
          <w:spacing w:val="7"/>
          <w:sz w:val="18"/>
        </w:rPr>
        <w:t xml:space="preserve"> </w:t>
      </w:r>
      <w:r>
        <w:rPr>
          <w:sz w:val="18"/>
        </w:rPr>
        <w:t>s</w:t>
      </w:r>
      <w:r>
        <w:rPr>
          <w:spacing w:val="-3"/>
          <w:sz w:val="18"/>
        </w:rPr>
        <w:t xml:space="preserve"> </w:t>
      </w:r>
      <w:r>
        <w:rPr>
          <w:spacing w:val="-5"/>
          <w:sz w:val="18"/>
        </w:rPr>
        <w:t>95.</w:t>
      </w:r>
    </w:p>
    <w:p w14:paraId="7CB25DF9" w14:textId="77777777" w:rsidR="008A4099" w:rsidRDefault="006A6EE2">
      <w:pPr>
        <w:spacing w:before="24" w:line="242" w:lineRule="auto"/>
        <w:ind w:left="160" w:right="673"/>
        <w:jc w:val="both"/>
        <w:rPr>
          <w:sz w:val="18"/>
        </w:rPr>
      </w:pPr>
      <w:r>
        <w:rPr>
          <w:sz w:val="18"/>
          <w:vertAlign w:val="superscript"/>
        </w:rPr>
        <w:t>120</w:t>
      </w:r>
      <w:r>
        <w:rPr>
          <w:sz w:val="18"/>
        </w:rPr>
        <w:t xml:space="preserve"> National Human Rights Consultation Committee, </w:t>
      </w:r>
      <w:r>
        <w:rPr>
          <w:i/>
          <w:sz w:val="18"/>
        </w:rPr>
        <w:t xml:space="preserve">National Human Rights Consultation Report </w:t>
      </w:r>
      <w:r>
        <w:rPr>
          <w:sz w:val="18"/>
        </w:rPr>
        <w:t xml:space="preserve">(Commonwealth of Australia, 2009), Recommendation 18 &lt;https://alhr.org.au/wp/wp-content/uploads/2018/02/National-Human-Rights- </w:t>
      </w:r>
      <w:r>
        <w:rPr>
          <w:spacing w:val="-2"/>
          <w:sz w:val="18"/>
        </w:rPr>
        <w:t>Consultation-Report-2009-copy.pdf&gt;.</w:t>
      </w:r>
    </w:p>
    <w:p w14:paraId="7CB25DFA" w14:textId="77777777" w:rsidR="008A4099" w:rsidRDefault="006A6EE2">
      <w:pPr>
        <w:spacing w:before="16"/>
        <w:ind w:left="160"/>
        <w:rPr>
          <w:sz w:val="18"/>
        </w:rPr>
      </w:pPr>
      <w:r>
        <w:rPr>
          <w:sz w:val="18"/>
          <w:vertAlign w:val="superscript"/>
        </w:rPr>
        <w:t>121</w:t>
      </w:r>
      <w:r>
        <w:rPr>
          <w:spacing w:val="-1"/>
          <w:sz w:val="18"/>
        </w:rPr>
        <w:t xml:space="preserve"> </w:t>
      </w:r>
      <w:r>
        <w:rPr>
          <w:sz w:val="18"/>
        </w:rPr>
        <w:t>Attorney-General’s</w:t>
      </w:r>
      <w:r>
        <w:rPr>
          <w:spacing w:val="31"/>
          <w:sz w:val="18"/>
        </w:rPr>
        <w:t xml:space="preserve">  </w:t>
      </w:r>
      <w:r>
        <w:rPr>
          <w:sz w:val="18"/>
        </w:rPr>
        <w:t>Department,</w:t>
      </w:r>
      <w:r>
        <w:rPr>
          <w:spacing w:val="32"/>
          <w:sz w:val="18"/>
        </w:rPr>
        <w:t xml:space="preserve">  </w:t>
      </w:r>
      <w:r>
        <w:rPr>
          <w:i/>
          <w:sz w:val="18"/>
        </w:rPr>
        <w:t>Australia’s</w:t>
      </w:r>
      <w:r>
        <w:rPr>
          <w:i/>
          <w:spacing w:val="31"/>
          <w:sz w:val="18"/>
        </w:rPr>
        <w:t xml:space="preserve">  </w:t>
      </w:r>
      <w:r>
        <w:rPr>
          <w:i/>
          <w:sz w:val="18"/>
        </w:rPr>
        <w:t>Human</w:t>
      </w:r>
      <w:r>
        <w:rPr>
          <w:i/>
          <w:spacing w:val="30"/>
          <w:sz w:val="18"/>
        </w:rPr>
        <w:t xml:space="preserve">  </w:t>
      </w:r>
      <w:r>
        <w:rPr>
          <w:i/>
          <w:sz w:val="18"/>
        </w:rPr>
        <w:t>Rights</w:t>
      </w:r>
      <w:r>
        <w:rPr>
          <w:i/>
          <w:spacing w:val="30"/>
          <w:sz w:val="18"/>
        </w:rPr>
        <w:t xml:space="preserve">  </w:t>
      </w:r>
      <w:r>
        <w:rPr>
          <w:i/>
          <w:sz w:val="18"/>
        </w:rPr>
        <w:t>Framework</w:t>
      </w:r>
      <w:r>
        <w:rPr>
          <w:i/>
          <w:spacing w:val="32"/>
          <w:sz w:val="18"/>
        </w:rPr>
        <w:t xml:space="preserve">  </w:t>
      </w:r>
      <w:r>
        <w:rPr>
          <w:sz w:val="18"/>
        </w:rPr>
        <w:t>(Commonwealth</w:t>
      </w:r>
      <w:r>
        <w:rPr>
          <w:spacing w:val="31"/>
          <w:sz w:val="18"/>
        </w:rPr>
        <w:t xml:space="preserve">  </w:t>
      </w:r>
      <w:r>
        <w:rPr>
          <w:sz w:val="18"/>
        </w:rPr>
        <w:t>of</w:t>
      </w:r>
      <w:r>
        <w:rPr>
          <w:spacing w:val="31"/>
          <w:sz w:val="18"/>
        </w:rPr>
        <w:t xml:space="preserve">  </w:t>
      </w:r>
      <w:r>
        <w:rPr>
          <w:sz w:val="18"/>
        </w:rPr>
        <w:t>Australia,</w:t>
      </w:r>
      <w:r>
        <w:rPr>
          <w:spacing w:val="31"/>
          <w:sz w:val="18"/>
        </w:rPr>
        <w:t xml:space="preserve">  </w:t>
      </w:r>
      <w:r>
        <w:rPr>
          <w:spacing w:val="-2"/>
          <w:sz w:val="18"/>
        </w:rPr>
        <w:t>2010)</w:t>
      </w:r>
    </w:p>
    <w:p w14:paraId="7CB25DFB" w14:textId="77777777" w:rsidR="008A4099" w:rsidRDefault="006A6EE2">
      <w:pPr>
        <w:spacing w:before="4"/>
        <w:ind w:left="160"/>
        <w:rPr>
          <w:sz w:val="18"/>
        </w:rPr>
      </w:pPr>
      <w:r>
        <w:rPr>
          <w:spacing w:val="-2"/>
          <w:sz w:val="18"/>
        </w:rPr>
        <w:t>&lt;https://nswbar.asn.au/circulars/2010/april/hr.pdf&gt;.</w:t>
      </w:r>
    </w:p>
    <w:p w14:paraId="7CB25DFC" w14:textId="77777777" w:rsidR="008A4099" w:rsidRDefault="006A6EE2">
      <w:pPr>
        <w:spacing w:before="19"/>
        <w:ind w:left="160"/>
        <w:rPr>
          <w:sz w:val="18"/>
        </w:rPr>
      </w:pPr>
      <w:r>
        <w:rPr>
          <w:w w:val="105"/>
          <w:sz w:val="18"/>
          <w:vertAlign w:val="superscript"/>
        </w:rPr>
        <w:t>122</w:t>
      </w:r>
      <w:r>
        <w:rPr>
          <w:spacing w:val="1"/>
          <w:w w:val="105"/>
          <w:sz w:val="18"/>
        </w:rPr>
        <w:t xml:space="preserve"> </w:t>
      </w:r>
      <w:r>
        <w:rPr>
          <w:spacing w:val="-2"/>
          <w:w w:val="105"/>
          <w:sz w:val="18"/>
        </w:rPr>
        <w:t>Ibid.</w:t>
      </w:r>
    </w:p>
    <w:p w14:paraId="7CB25DFD" w14:textId="77777777" w:rsidR="008A4099" w:rsidRDefault="006A6EE2">
      <w:pPr>
        <w:spacing w:before="23" w:line="242" w:lineRule="auto"/>
        <w:ind w:left="160" w:right="681"/>
        <w:jc w:val="both"/>
        <w:rPr>
          <w:sz w:val="18"/>
        </w:rPr>
      </w:pPr>
      <w:r>
        <w:rPr>
          <w:sz w:val="18"/>
          <w:vertAlign w:val="superscript"/>
        </w:rPr>
        <w:t>123</w:t>
      </w:r>
      <w:r>
        <w:rPr>
          <w:sz w:val="18"/>
        </w:rPr>
        <w:t xml:space="preserve"> </w:t>
      </w:r>
      <w:r>
        <w:rPr>
          <w:i/>
          <w:sz w:val="18"/>
        </w:rPr>
        <w:t xml:space="preserve">Human Rights (Parliamentary Scrutiny) Act 2011 </w:t>
      </w:r>
      <w:r>
        <w:rPr>
          <w:sz w:val="18"/>
        </w:rPr>
        <w:t>(Cth) s 4. The Committee has 10 members (five from the House of Representatives and five from</w:t>
      </w:r>
      <w:r>
        <w:rPr>
          <w:spacing w:val="-3"/>
          <w:sz w:val="18"/>
        </w:rPr>
        <w:t xml:space="preserve"> </w:t>
      </w:r>
      <w:r>
        <w:rPr>
          <w:sz w:val="18"/>
        </w:rPr>
        <w:t>the</w:t>
      </w:r>
      <w:r>
        <w:rPr>
          <w:spacing w:val="-3"/>
          <w:sz w:val="18"/>
        </w:rPr>
        <w:t xml:space="preserve"> </w:t>
      </w:r>
      <w:r>
        <w:rPr>
          <w:sz w:val="18"/>
        </w:rPr>
        <w:t>Senate); of</w:t>
      </w:r>
      <w:r>
        <w:rPr>
          <w:spacing w:val="-2"/>
          <w:sz w:val="18"/>
        </w:rPr>
        <w:t xml:space="preserve"> </w:t>
      </w:r>
      <w:r>
        <w:rPr>
          <w:sz w:val="18"/>
        </w:rPr>
        <w:t>these, five are Government members, four</w:t>
      </w:r>
      <w:r>
        <w:rPr>
          <w:spacing w:val="-2"/>
          <w:sz w:val="18"/>
        </w:rPr>
        <w:t xml:space="preserve"> </w:t>
      </w:r>
      <w:r>
        <w:rPr>
          <w:sz w:val="18"/>
        </w:rPr>
        <w:t>are Opposition members, and one is a member from the minority parties or independents.</w:t>
      </w:r>
    </w:p>
    <w:p w14:paraId="7CB25DFE" w14:textId="77777777" w:rsidR="008A4099" w:rsidRDefault="006A6EE2">
      <w:pPr>
        <w:spacing w:before="16" w:line="242" w:lineRule="auto"/>
        <w:ind w:left="160" w:right="677"/>
        <w:jc w:val="both"/>
        <w:rPr>
          <w:sz w:val="18"/>
        </w:rPr>
      </w:pPr>
      <w:r>
        <w:rPr>
          <w:sz w:val="18"/>
          <w:vertAlign w:val="superscript"/>
        </w:rPr>
        <w:t>124</w:t>
      </w:r>
      <w:r>
        <w:rPr>
          <w:spacing w:val="-1"/>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(Parliamentary</w:t>
      </w:r>
      <w:r>
        <w:rPr>
          <w:i/>
          <w:spacing w:val="-2"/>
          <w:sz w:val="18"/>
        </w:rPr>
        <w:t xml:space="preserve"> </w:t>
      </w:r>
      <w:r>
        <w:rPr>
          <w:i/>
          <w:sz w:val="18"/>
        </w:rPr>
        <w:t>Scrutiny)</w:t>
      </w:r>
      <w:r>
        <w:rPr>
          <w:i/>
          <w:spacing w:val="-1"/>
          <w:sz w:val="18"/>
        </w:rPr>
        <w:t xml:space="preserve"> </w:t>
      </w:r>
      <w:r>
        <w:rPr>
          <w:i/>
          <w:sz w:val="18"/>
        </w:rPr>
        <w:t>Act</w:t>
      </w:r>
      <w:r>
        <w:rPr>
          <w:i/>
          <w:spacing w:val="-3"/>
          <w:sz w:val="18"/>
        </w:rPr>
        <w:t xml:space="preserve"> </w:t>
      </w:r>
      <w:r>
        <w:rPr>
          <w:i/>
          <w:sz w:val="18"/>
        </w:rPr>
        <w:t xml:space="preserve">2011 </w:t>
      </w:r>
      <w:r>
        <w:rPr>
          <w:sz w:val="18"/>
        </w:rPr>
        <w:t>(Cth)</w:t>
      </w:r>
      <w:r>
        <w:rPr>
          <w:spacing w:val="-1"/>
          <w:sz w:val="18"/>
        </w:rPr>
        <w:t xml:space="preserve"> </w:t>
      </w:r>
      <w:r>
        <w:rPr>
          <w:sz w:val="18"/>
        </w:rPr>
        <w:t>s</w:t>
      </w:r>
      <w:r>
        <w:rPr>
          <w:spacing w:val="-4"/>
          <w:sz w:val="18"/>
        </w:rPr>
        <w:t xml:space="preserve"> </w:t>
      </w:r>
      <w:r>
        <w:rPr>
          <w:sz w:val="18"/>
        </w:rPr>
        <w:t>7.</w:t>
      </w:r>
      <w:r>
        <w:rPr>
          <w:spacing w:val="-1"/>
          <w:sz w:val="18"/>
        </w:rPr>
        <w:t xml:space="preserve"> </w:t>
      </w:r>
      <w:r>
        <w:rPr>
          <w:sz w:val="18"/>
        </w:rPr>
        <w:t>The</w:t>
      </w:r>
      <w:r>
        <w:rPr>
          <w:spacing w:val="-2"/>
          <w:sz w:val="18"/>
        </w:rPr>
        <w:t xml:space="preserve"> </w:t>
      </w:r>
      <w:r>
        <w:rPr>
          <w:sz w:val="18"/>
        </w:rPr>
        <w:t>treaties</w:t>
      </w:r>
      <w:r>
        <w:rPr>
          <w:spacing w:val="-1"/>
          <w:sz w:val="18"/>
        </w:rPr>
        <w:t xml:space="preserve"> </w:t>
      </w:r>
      <w:r>
        <w:rPr>
          <w:sz w:val="18"/>
        </w:rPr>
        <w:t>covered by</w:t>
      </w:r>
      <w:r>
        <w:rPr>
          <w:spacing w:val="-2"/>
          <w:sz w:val="18"/>
        </w:rPr>
        <w:t xml:space="preserve"> </w:t>
      </w:r>
      <w:r>
        <w:rPr>
          <w:sz w:val="18"/>
        </w:rPr>
        <w:t>the</w:t>
      </w:r>
      <w:r>
        <w:rPr>
          <w:spacing w:val="-2"/>
          <w:sz w:val="18"/>
        </w:rPr>
        <w:t xml:space="preserve"> </w:t>
      </w:r>
      <w:r>
        <w:rPr>
          <w:sz w:val="18"/>
        </w:rPr>
        <w:t>scrutiny</w:t>
      </w:r>
      <w:r>
        <w:rPr>
          <w:spacing w:val="-2"/>
          <w:sz w:val="18"/>
        </w:rPr>
        <w:t xml:space="preserve"> </w:t>
      </w:r>
      <w:r>
        <w:rPr>
          <w:sz w:val="18"/>
        </w:rPr>
        <w:t>requirements</w:t>
      </w:r>
      <w:r>
        <w:rPr>
          <w:spacing w:val="-1"/>
          <w:sz w:val="18"/>
        </w:rPr>
        <w:t xml:space="preserve"> </w:t>
      </w:r>
      <w:r>
        <w:rPr>
          <w:sz w:val="18"/>
        </w:rPr>
        <w:t>are</w:t>
      </w:r>
      <w:r>
        <w:rPr>
          <w:spacing w:val="-2"/>
          <w:sz w:val="18"/>
        </w:rPr>
        <w:t xml:space="preserve"> </w:t>
      </w:r>
      <w:r>
        <w:rPr>
          <w:sz w:val="18"/>
        </w:rPr>
        <w:t>ICCPR, ICESCR,</w:t>
      </w:r>
      <w:r>
        <w:rPr>
          <w:spacing w:val="-2"/>
          <w:sz w:val="18"/>
        </w:rPr>
        <w:t xml:space="preserve"> </w:t>
      </w:r>
      <w:hyperlink r:id="rId56">
        <w:r>
          <w:rPr>
            <w:i/>
            <w:sz w:val="18"/>
          </w:rPr>
          <w:t>International</w:t>
        </w:r>
        <w:r>
          <w:rPr>
            <w:i/>
            <w:spacing w:val="-3"/>
            <w:sz w:val="18"/>
          </w:rPr>
          <w:t xml:space="preserve"> </w:t>
        </w:r>
        <w:r>
          <w:rPr>
            <w:i/>
            <w:sz w:val="18"/>
          </w:rPr>
          <w:t>Convention</w:t>
        </w:r>
        <w:r>
          <w:rPr>
            <w:i/>
            <w:spacing w:val="-2"/>
            <w:sz w:val="18"/>
          </w:rPr>
          <w:t xml:space="preserve"> </w:t>
        </w:r>
        <w:r>
          <w:rPr>
            <w:i/>
            <w:sz w:val="18"/>
          </w:rPr>
          <w:t>on</w:t>
        </w:r>
        <w:r>
          <w:rPr>
            <w:i/>
            <w:spacing w:val="-2"/>
            <w:sz w:val="18"/>
          </w:rPr>
          <w:t xml:space="preserve"> </w:t>
        </w:r>
        <w:r>
          <w:rPr>
            <w:i/>
            <w:sz w:val="18"/>
          </w:rPr>
          <w:t>the</w:t>
        </w:r>
        <w:r>
          <w:rPr>
            <w:i/>
            <w:spacing w:val="-3"/>
            <w:sz w:val="18"/>
          </w:rPr>
          <w:t xml:space="preserve"> </w:t>
        </w:r>
        <w:r>
          <w:rPr>
            <w:i/>
            <w:sz w:val="18"/>
          </w:rPr>
          <w:t>Elimination</w:t>
        </w:r>
        <w:r>
          <w:rPr>
            <w:i/>
            <w:spacing w:val="-4"/>
            <w:sz w:val="18"/>
          </w:rPr>
          <w:t xml:space="preserve"> </w:t>
        </w:r>
        <w:r>
          <w:rPr>
            <w:i/>
            <w:sz w:val="18"/>
          </w:rPr>
          <w:t>of</w:t>
        </w:r>
        <w:r>
          <w:rPr>
            <w:i/>
            <w:spacing w:val="-4"/>
            <w:sz w:val="18"/>
          </w:rPr>
          <w:t xml:space="preserve"> </w:t>
        </w:r>
        <w:r>
          <w:rPr>
            <w:i/>
            <w:sz w:val="18"/>
          </w:rPr>
          <w:t>All</w:t>
        </w:r>
        <w:r>
          <w:rPr>
            <w:i/>
            <w:spacing w:val="-3"/>
            <w:sz w:val="18"/>
          </w:rPr>
          <w:t xml:space="preserve"> </w:t>
        </w:r>
        <w:r>
          <w:rPr>
            <w:i/>
            <w:sz w:val="18"/>
          </w:rPr>
          <w:t>Forms</w:t>
        </w:r>
        <w:r>
          <w:rPr>
            <w:i/>
            <w:spacing w:val="-3"/>
            <w:sz w:val="18"/>
          </w:rPr>
          <w:t xml:space="preserve"> </w:t>
        </w:r>
        <w:r>
          <w:rPr>
            <w:i/>
            <w:sz w:val="18"/>
          </w:rPr>
          <w:t>of</w:t>
        </w:r>
        <w:r>
          <w:rPr>
            <w:i/>
            <w:spacing w:val="-3"/>
            <w:sz w:val="18"/>
          </w:rPr>
          <w:t xml:space="preserve"> </w:t>
        </w:r>
        <w:r>
          <w:rPr>
            <w:i/>
            <w:sz w:val="18"/>
          </w:rPr>
          <w:t>Racial</w:t>
        </w:r>
        <w:r>
          <w:rPr>
            <w:i/>
            <w:spacing w:val="-3"/>
            <w:sz w:val="18"/>
          </w:rPr>
          <w:t xml:space="preserve"> </w:t>
        </w:r>
        <w:r>
          <w:rPr>
            <w:i/>
            <w:sz w:val="18"/>
          </w:rPr>
          <w:t>Discrimination</w:t>
        </w:r>
        <w:r>
          <w:rPr>
            <w:sz w:val="18"/>
          </w:rPr>
          <w:t>,</w:t>
        </w:r>
      </w:hyperlink>
      <w:r>
        <w:rPr>
          <w:spacing w:val="-2"/>
          <w:sz w:val="18"/>
        </w:rPr>
        <w:t xml:space="preserve"> </w:t>
      </w:r>
      <w:hyperlink r:id="rId57">
        <w:r>
          <w:rPr>
            <w:i/>
            <w:sz w:val="18"/>
          </w:rPr>
          <w:t>Convention</w:t>
        </w:r>
        <w:r>
          <w:rPr>
            <w:i/>
            <w:spacing w:val="-3"/>
            <w:sz w:val="18"/>
          </w:rPr>
          <w:t xml:space="preserve"> </w:t>
        </w:r>
        <w:r>
          <w:rPr>
            <w:i/>
            <w:sz w:val="18"/>
          </w:rPr>
          <w:t>on</w:t>
        </w:r>
        <w:r>
          <w:rPr>
            <w:i/>
            <w:spacing w:val="-2"/>
            <w:sz w:val="18"/>
          </w:rPr>
          <w:t xml:space="preserve"> </w:t>
        </w:r>
        <w:r>
          <w:rPr>
            <w:i/>
            <w:sz w:val="18"/>
          </w:rPr>
          <w:t>the</w:t>
        </w:r>
        <w:r>
          <w:rPr>
            <w:i/>
            <w:spacing w:val="-3"/>
            <w:sz w:val="18"/>
          </w:rPr>
          <w:t xml:space="preserve"> </w:t>
        </w:r>
        <w:r>
          <w:rPr>
            <w:i/>
            <w:sz w:val="18"/>
          </w:rPr>
          <w:t>Elimination</w:t>
        </w:r>
      </w:hyperlink>
      <w:r>
        <w:rPr>
          <w:i/>
          <w:sz w:val="18"/>
        </w:rPr>
        <w:t xml:space="preserve"> </w:t>
      </w:r>
      <w:hyperlink r:id="rId58">
        <w:r>
          <w:rPr>
            <w:i/>
            <w:sz w:val="18"/>
          </w:rPr>
          <w:t>of All Forms of Discrimination against Women</w:t>
        </w:r>
        <w:r>
          <w:rPr>
            <w:sz w:val="18"/>
          </w:rPr>
          <w:t>,</w:t>
        </w:r>
      </w:hyperlink>
      <w:r>
        <w:rPr>
          <w:sz w:val="18"/>
        </w:rPr>
        <w:t xml:space="preserve"> </w:t>
      </w:r>
      <w:hyperlink r:id="rId59">
        <w:r>
          <w:rPr>
            <w:i/>
            <w:sz w:val="18"/>
          </w:rPr>
          <w:t>Convention against Torture and Other Cruel, Inhuman or Degrading</w:t>
        </w:r>
      </w:hyperlink>
      <w:r>
        <w:rPr>
          <w:i/>
          <w:sz w:val="18"/>
        </w:rPr>
        <w:t xml:space="preserve"> </w:t>
      </w:r>
      <w:hyperlink r:id="rId60">
        <w:r>
          <w:rPr>
            <w:i/>
            <w:sz w:val="18"/>
          </w:rPr>
          <w:t>Treatment or</w:t>
        </w:r>
        <w:r>
          <w:rPr>
            <w:i/>
            <w:spacing w:val="-1"/>
            <w:sz w:val="18"/>
          </w:rPr>
          <w:t xml:space="preserve"> </w:t>
        </w:r>
        <w:r>
          <w:rPr>
            <w:i/>
            <w:sz w:val="18"/>
          </w:rPr>
          <w:t>Punishment</w:t>
        </w:r>
        <w:r>
          <w:rPr>
            <w:sz w:val="18"/>
          </w:rPr>
          <w:t>,</w:t>
        </w:r>
      </w:hyperlink>
      <w:r>
        <w:rPr>
          <w:sz w:val="18"/>
        </w:rPr>
        <w:t xml:space="preserve"> </w:t>
      </w:r>
      <w:hyperlink r:id="rId61">
        <w:r>
          <w:rPr>
            <w:i/>
            <w:sz w:val="18"/>
          </w:rPr>
          <w:t>Convention on the Rights of the Child</w:t>
        </w:r>
        <w:r>
          <w:rPr>
            <w:sz w:val="18"/>
          </w:rPr>
          <w:t>,</w:t>
        </w:r>
      </w:hyperlink>
      <w:r>
        <w:rPr>
          <w:sz w:val="18"/>
        </w:rPr>
        <w:t xml:space="preserve"> and </w:t>
      </w:r>
      <w:hyperlink r:id="rId62">
        <w:r>
          <w:rPr>
            <w:i/>
            <w:sz w:val="18"/>
          </w:rPr>
          <w:t>Convention on the Rights of Persons with Disabilities</w:t>
        </w:r>
        <w:r>
          <w:rPr>
            <w:sz w:val="18"/>
          </w:rPr>
          <w:t>.</w:t>
        </w:r>
      </w:hyperlink>
    </w:p>
    <w:p w14:paraId="7CB25DFF"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E00" w14:textId="77777777" w:rsidR="008A4099" w:rsidRDefault="008A4099">
      <w:pPr>
        <w:pStyle w:val="BodyText"/>
        <w:spacing w:before="195"/>
      </w:pPr>
    </w:p>
    <w:p w14:paraId="7CB25E01" w14:textId="77777777" w:rsidR="008A4099" w:rsidRDefault="006A6EE2">
      <w:pPr>
        <w:pStyle w:val="ListParagraph"/>
        <w:numPr>
          <w:ilvl w:val="3"/>
          <w:numId w:val="9"/>
        </w:numPr>
        <w:tabs>
          <w:tab w:val="left" w:pos="1012"/>
        </w:tabs>
        <w:spacing w:before="0" w:line="276" w:lineRule="auto"/>
        <w:ind w:left="1012" w:right="681" w:hanging="286"/>
        <w:jc w:val="left"/>
        <w:rPr>
          <w:sz w:val="13"/>
        </w:rPr>
      </w:pPr>
      <w:r>
        <w:t>requiring</w:t>
      </w:r>
      <w:r>
        <w:rPr>
          <w:spacing w:val="-6"/>
        </w:rPr>
        <w:t xml:space="preserve"> </w:t>
      </w:r>
      <w:r>
        <w:t>all</w:t>
      </w:r>
      <w:r>
        <w:rPr>
          <w:spacing w:val="-2"/>
        </w:rPr>
        <w:t xml:space="preserve"> </w:t>
      </w:r>
      <w:r>
        <w:t>new</w:t>
      </w:r>
      <w:r>
        <w:rPr>
          <w:spacing w:val="-3"/>
        </w:rPr>
        <w:t xml:space="preserve"> </w:t>
      </w:r>
      <w:r>
        <w:t>Bills</w:t>
      </w:r>
      <w:r>
        <w:rPr>
          <w:spacing w:val="-5"/>
        </w:rPr>
        <w:t xml:space="preserve"> </w:t>
      </w:r>
      <w:r>
        <w:t>or</w:t>
      </w:r>
      <w:r>
        <w:rPr>
          <w:spacing w:val="-5"/>
        </w:rPr>
        <w:t xml:space="preserve"> </w:t>
      </w:r>
      <w:r>
        <w:t>legislative</w:t>
      </w:r>
      <w:r>
        <w:rPr>
          <w:spacing w:val="-5"/>
        </w:rPr>
        <w:t xml:space="preserve"> </w:t>
      </w:r>
      <w:r>
        <w:t>instruments</w:t>
      </w:r>
      <w:r>
        <w:rPr>
          <w:spacing w:val="-5"/>
        </w:rPr>
        <w:t xml:space="preserve"> </w:t>
      </w:r>
      <w:r>
        <w:t>introduced</w:t>
      </w:r>
      <w:r>
        <w:rPr>
          <w:spacing w:val="-6"/>
        </w:rPr>
        <w:t xml:space="preserve"> </w:t>
      </w:r>
      <w:r>
        <w:t>in</w:t>
      </w:r>
      <w:r>
        <w:rPr>
          <w:spacing w:val="-6"/>
        </w:rPr>
        <w:t xml:space="preserve"> </w:t>
      </w:r>
      <w:r>
        <w:t>Parliament</w:t>
      </w:r>
      <w:r>
        <w:rPr>
          <w:spacing w:val="-7"/>
        </w:rPr>
        <w:t xml:space="preserve"> </w:t>
      </w:r>
      <w:r>
        <w:t>to</w:t>
      </w:r>
      <w:r>
        <w:rPr>
          <w:spacing w:val="-3"/>
        </w:rPr>
        <w:t xml:space="preserve"> </w:t>
      </w:r>
      <w:r>
        <w:t>be</w:t>
      </w:r>
      <w:r>
        <w:rPr>
          <w:spacing w:val="-3"/>
        </w:rPr>
        <w:t xml:space="preserve"> </w:t>
      </w:r>
      <w:r>
        <w:t>accompanied by a statement of compatibility with human rights.</w:t>
      </w:r>
      <w:r>
        <w:rPr>
          <w:position w:val="7"/>
          <w:sz w:val="13"/>
        </w:rPr>
        <w:t>125</w:t>
      </w:r>
    </w:p>
    <w:p w14:paraId="7CB25E02" w14:textId="77777777" w:rsidR="008A4099" w:rsidRDefault="008A4099">
      <w:pPr>
        <w:pStyle w:val="BodyText"/>
      </w:pPr>
    </w:p>
    <w:p w14:paraId="7CB25E03" w14:textId="77777777" w:rsidR="008A4099" w:rsidRDefault="008A4099">
      <w:pPr>
        <w:pStyle w:val="BodyText"/>
        <w:spacing w:before="2"/>
      </w:pPr>
    </w:p>
    <w:p w14:paraId="7CB25E04" w14:textId="77777777" w:rsidR="008A4099" w:rsidRDefault="006A6EE2">
      <w:pPr>
        <w:pStyle w:val="ListParagraph"/>
        <w:numPr>
          <w:ilvl w:val="2"/>
          <w:numId w:val="9"/>
        </w:numPr>
        <w:tabs>
          <w:tab w:val="left" w:pos="879"/>
        </w:tabs>
        <w:spacing w:before="0"/>
        <w:ind w:right="675" w:firstLine="0"/>
        <w:jc w:val="both"/>
        <w:rPr>
          <w:sz w:val="13"/>
        </w:rPr>
      </w:pPr>
      <w:r>
        <w:t>In</w:t>
      </w:r>
      <w:r>
        <w:rPr>
          <w:spacing w:val="-1"/>
        </w:rPr>
        <w:t xml:space="preserve"> </w:t>
      </w:r>
      <w:r>
        <w:t>relation</w:t>
      </w:r>
      <w:r>
        <w:rPr>
          <w:spacing w:val="-4"/>
        </w:rPr>
        <w:t xml:space="preserve"> </w:t>
      </w:r>
      <w:r>
        <w:t>to</w:t>
      </w:r>
      <w:r>
        <w:rPr>
          <w:spacing w:val="-4"/>
        </w:rPr>
        <w:t xml:space="preserve"> </w:t>
      </w:r>
      <w:r>
        <w:t>the</w:t>
      </w:r>
      <w:r>
        <w:rPr>
          <w:spacing w:val="-3"/>
        </w:rPr>
        <w:t xml:space="preserve"> </w:t>
      </w:r>
      <w:r>
        <w:t>obligation</w:t>
      </w:r>
      <w:r>
        <w:rPr>
          <w:spacing w:val="-4"/>
        </w:rPr>
        <w:t xml:space="preserve"> </w:t>
      </w:r>
      <w:r>
        <w:t>for</w:t>
      </w:r>
      <w:r>
        <w:rPr>
          <w:spacing w:val="-3"/>
        </w:rPr>
        <w:t xml:space="preserve"> </w:t>
      </w:r>
      <w:r>
        <w:t>the</w:t>
      </w:r>
      <w:r>
        <w:rPr>
          <w:spacing w:val="-3"/>
        </w:rPr>
        <w:t xml:space="preserve"> </w:t>
      </w:r>
      <w:r>
        <w:t>PJCHR</w:t>
      </w:r>
      <w:r>
        <w:rPr>
          <w:spacing w:val="-5"/>
        </w:rPr>
        <w:t xml:space="preserve"> </w:t>
      </w:r>
      <w:r>
        <w:t>to</w:t>
      </w:r>
      <w:r>
        <w:rPr>
          <w:spacing w:val="-4"/>
        </w:rPr>
        <w:t xml:space="preserve"> </w:t>
      </w:r>
      <w:r>
        <w:t>scrutinise</w:t>
      </w:r>
      <w:r>
        <w:rPr>
          <w:spacing w:val="-1"/>
        </w:rPr>
        <w:t xml:space="preserve"> </w:t>
      </w:r>
      <w:r>
        <w:t>legislation,</w:t>
      </w:r>
      <w:r>
        <w:rPr>
          <w:spacing w:val="-4"/>
        </w:rPr>
        <w:t xml:space="preserve"> </w:t>
      </w:r>
      <w:r>
        <w:t>on</w:t>
      </w:r>
      <w:r>
        <w:rPr>
          <w:spacing w:val="-4"/>
        </w:rPr>
        <w:t xml:space="preserve"> </w:t>
      </w:r>
      <w:r>
        <w:t>the</w:t>
      </w:r>
      <w:r>
        <w:rPr>
          <w:spacing w:val="-3"/>
        </w:rPr>
        <w:t xml:space="preserve"> </w:t>
      </w:r>
      <w:r>
        <w:t>tenth</w:t>
      </w:r>
      <w:r>
        <w:rPr>
          <w:spacing w:val="-1"/>
        </w:rPr>
        <w:t xml:space="preserve"> </w:t>
      </w:r>
      <w:r>
        <w:t>anniversary</w:t>
      </w:r>
      <w:r>
        <w:rPr>
          <w:spacing w:val="-4"/>
        </w:rPr>
        <w:t xml:space="preserve"> </w:t>
      </w:r>
      <w:r>
        <w:t>of the</w:t>
      </w:r>
      <w:r>
        <w:rPr>
          <w:spacing w:val="-12"/>
        </w:rPr>
        <w:t xml:space="preserve"> </w:t>
      </w:r>
      <w:r>
        <w:t>PJCHR,</w:t>
      </w:r>
      <w:r>
        <w:rPr>
          <w:spacing w:val="-12"/>
        </w:rPr>
        <w:t xml:space="preserve"> </w:t>
      </w:r>
      <w:r>
        <w:t>it</w:t>
      </w:r>
      <w:r>
        <w:rPr>
          <w:spacing w:val="-11"/>
        </w:rPr>
        <w:t xml:space="preserve"> </w:t>
      </w:r>
      <w:r>
        <w:t>was</w:t>
      </w:r>
      <w:r>
        <w:rPr>
          <w:spacing w:val="-14"/>
        </w:rPr>
        <w:t xml:space="preserve"> </w:t>
      </w:r>
      <w:r>
        <w:t>noted</w:t>
      </w:r>
      <w:r>
        <w:rPr>
          <w:spacing w:val="-12"/>
        </w:rPr>
        <w:t xml:space="preserve"> </w:t>
      </w:r>
      <w:r>
        <w:t>that</w:t>
      </w:r>
      <w:r>
        <w:rPr>
          <w:spacing w:val="-11"/>
        </w:rPr>
        <w:t xml:space="preserve"> </w:t>
      </w:r>
      <w:r>
        <w:t>the</w:t>
      </w:r>
      <w:r>
        <w:rPr>
          <w:spacing w:val="-12"/>
        </w:rPr>
        <w:t xml:space="preserve"> </w:t>
      </w:r>
      <w:r>
        <w:t>Committee</w:t>
      </w:r>
      <w:r>
        <w:rPr>
          <w:spacing w:val="-11"/>
        </w:rPr>
        <w:t xml:space="preserve"> </w:t>
      </w:r>
      <w:r>
        <w:t>had</w:t>
      </w:r>
      <w:r>
        <w:rPr>
          <w:spacing w:val="-12"/>
        </w:rPr>
        <w:t xml:space="preserve"> </w:t>
      </w:r>
      <w:r>
        <w:t>considered</w:t>
      </w:r>
      <w:r>
        <w:rPr>
          <w:spacing w:val="-14"/>
        </w:rPr>
        <w:t xml:space="preserve"> </w:t>
      </w:r>
      <w:r>
        <w:t>(on</w:t>
      </w:r>
      <w:r>
        <w:rPr>
          <w:spacing w:val="-12"/>
        </w:rPr>
        <w:t xml:space="preserve"> </w:t>
      </w:r>
      <w:r>
        <w:t>average)</w:t>
      </w:r>
      <w:r>
        <w:rPr>
          <w:spacing w:val="-11"/>
        </w:rPr>
        <w:t xml:space="preserve"> </w:t>
      </w:r>
      <w:r>
        <w:t>225</w:t>
      </w:r>
      <w:r>
        <w:rPr>
          <w:spacing w:val="-9"/>
        </w:rPr>
        <w:t xml:space="preserve"> </w:t>
      </w:r>
      <w:r>
        <w:t>Bills</w:t>
      </w:r>
      <w:r>
        <w:rPr>
          <w:spacing w:val="-14"/>
        </w:rPr>
        <w:t xml:space="preserve"> </w:t>
      </w:r>
      <w:r>
        <w:t>and</w:t>
      </w:r>
      <w:r>
        <w:rPr>
          <w:spacing w:val="-12"/>
        </w:rPr>
        <w:t xml:space="preserve"> </w:t>
      </w:r>
      <w:r>
        <w:t>1,827</w:t>
      </w:r>
      <w:r>
        <w:rPr>
          <w:spacing w:val="-14"/>
        </w:rPr>
        <w:t xml:space="preserve"> </w:t>
      </w:r>
      <w:r>
        <w:t>legislative instruments per year.</w:t>
      </w:r>
      <w:r>
        <w:rPr>
          <w:position w:val="7"/>
          <w:sz w:val="13"/>
        </w:rPr>
        <w:t>126</w:t>
      </w:r>
      <w:r>
        <w:rPr>
          <w:spacing w:val="30"/>
          <w:position w:val="7"/>
          <w:sz w:val="13"/>
        </w:rPr>
        <w:t xml:space="preserve"> </w:t>
      </w:r>
      <w:r>
        <w:t>In total, the PJCHR examined 2,254 Bills, of which 602 (27%) raised human rights</w:t>
      </w:r>
      <w:r>
        <w:rPr>
          <w:spacing w:val="-6"/>
        </w:rPr>
        <w:t xml:space="preserve"> </w:t>
      </w:r>
      <w:r>
        <w:t>concerns</w:t>
      </w:r>
      <w:r>
        <w:rPr>
          <w:spacing w:val="-7"/>
        </w:rPr>
        <w:t xml:space="preserve"> </w:t>
      </w:r>
      <w:r>
        <w:t>requiring</w:t>
      </w:r>
      <w:r>
        <w:rPr>
          <w:spacing w:val="-5"/>
        </w:rPr>
        <w:t xml:space="preserve"> </w:t>
      </w:r>
      <w:r>
        <w:t>the</w:t>
      </w:r>
      <w:r>
        <w:rPr>
          <w:spacing w:val="-4"/>
        </w:rPr>
        <w:t xml:space="preserve"> </w:t>
      </w:r>
      <w:r>
        <w:t>Committee</w:t>
      </w:r>
      <w:r>
        <w:rPr>
          <w:spacing w:val="-7"/>
        </w:rPr>
        <w:t xml:space="preserve"> </w:t>
      </w:r>
      <w:r>
        <w:t>to</w:t>
      </w:r>
      <w:r>
        <w:rPr>
          <w:spacing w:val="-5"/>
        </w:rPr>
        <w:t xml:space="preserve"> </w:t>
      </w:r>
      <w:r>
        <w:t>comment.</w:t>
      </w:r>
      <w:r>
        <w:rPr>
          <w:position w:val="7"/>
          <w:sz w:val="13"/>
        </w:rPr>
        <w:t>127</w:t>
      </w:r>
      <w:r>
        <w:rPr>
          <w:spacing w:val="18"/>
          <w:position w:val="7"/>
          <w:sz w:val="13"/>
        </w:rPr>
        <w:t xml:space="preserve"> </w:t>
      </w:r>
      <w:r>
        <w:t>The</w:t>
      </w:r>
      <w:r>
        <w:rPr>
          <w:spacing w:val="-5"/>
        </w:rPr>
        <w:t xml:space="preserve"> </w:t>
      </w:r>
      <w:r>
        <w:t>PJCHR</w:t>
      </w:r>
      <w:r>
        <w:rPr>
          <w:spacing w:val="-6"/>
        </w:rPr>
        <w:t xml:space="preserve"> </w:t>
      </w:r>
      <w:r>
        <w:t>also</w:t>
      </w:r>
      <w:r>
        <w:rPr>
          <w:spacing w:val="-4"/>
        </w:rPr>
        <w:t xml:space="preserve"> </w:t>
      </w:r>
      <w:r>
        <w:t>considered</w:t>
      </w:r>
      <w:r>
        <w:rPr>
          <w:spacing w:val="-5"/>
        </w:rPr>
        <w:t xml:space="preserve"> </w:t>
      </w:r>
      <w:r>
        <w:t>18,000</w:t>
      </w:r>
      <w:r>
        <w:rPr>
          <w:spacing w:val="-7"/>
        </w:rPr>
        <w:t xml:space="preserve"> </w:t>
      </w:r>
      <w:r>
        <w:t>legislative instruments, commenting on 466 (3%).</w:t>
      </w:r>
      <w:r>
        <w:rPr>
          <w:position w:val="7"/>
          <w:sz w:val="13"/>
        </w:rPr>
        <w:t>128</w:t>
      </w:r>
    </w:p>
    <w:p w14:paraId="7CB25E05" w14:textId="77777777" w:rsidR="008A4099" w:rsidRDefault="006A6EE2">
      <w:pPr>
        <w:pStyle w:val="ListParagraph"/>
        <w:numPr>
          <w:ilvl w:val="2"/>
          <w:numId w:val="9"/>
        </w:numPr>
        <w:tabs>
          <w:tab w:val="left" w:pos="879"/>
        </w:tabs>
        <w:spacing w:before="215"/>
        <w:ind w:right="680" w:firstLine="0"/>
        <w:jc w:val="both"/>
        <w:rPr>
          <w:sz w:val="13"/>
        </w:rPr>
      </w:pPr>
      <w:r>
        <w:t>The PJCHR also undertakes an education function and has released guidance on the expectations for statements</w:t>
      </w:r>
      <w:r>
        <w:rPr>
          <w:spacing w:val="-2"/>
        </w:rPr>
        <w:t xml:space="preserve"> </w:t>
      </w:r>
      <w:r>
        <w:t>of compatibility</w:t>
      </w:r>
      <w:r>
        <w:rPr>
          <w:spacing w:val="-2"/>
        </w:rPr>
        <w:t xml:space="preserve"> </w:t>
      </w:r>
      <w:r>
        <w:t>and also key human rights compatibility</w:t>
      </w:r>
      <w:r>
        <w:rPr>
          <w:spacing w:val="-2"/>
        </w:rPr>
        <w:t xml:space="preserve"> </w:t>
      </w:r>
      <w:r>
        <w:t>issues in relation to provisions that create offences and civil penalties.</w:t>
      </w:r>
      <w:r>
        <w:rPr>
          <w:position w:val="7"/>
          <w:sz w:val="13"/>
        </w:rPr>
        <w:t>129</w:t>
      </w:r>
      <w:r>
        <w:rPr>
          <w:spacing w:val="35"/>
          <w:position w:val="7"/>
          <w:sz w:val="13"/>
        </w:rPr>
        <w:t xml:space="preserve"> </w:t>
      </w:r>
      <w:r>
        <w:t>These expectations are that the statements of compatibility</w:t>
      </w:r>
      <w:r>
        <w:rPr>
          <w:spacing w:val="-16"/>
        </w:rPr>
        <w:t xml:space="preserve"> </w:t>
      </w:r>
      <w:r>
        <w:t>are</w:t>
      </w:r>
      <w:r>
        <w:rPr>
          <w:spacing w:val="-14"/>
        </w:rPr>
        <w:t xml:space="preserve"> </w:t>
      </w:r>
      <w:r>
        <w:t>readily</w:t>
      </w:r>
      <w:r>
        <w:rPr>
          <w:spacing w:val="-14"/>
        </w:rPr>
        <w:t xml:space="preserve"> </w:t>
      </w:r>
      <w:r>
        <w:t>understandable;</w:t>
      </w:r>
      <w:r>
        <w:rPr>
          <w:spacing w:val="-13"/>
        </w:rPr>
        <w:t xml:space="preserve"> </w:t>
      </w:r>
      <w:r>
        <w:t>should</w:t>
      </w:r>
      <w:r>
        <w:rPr>
          <w:spacing w:val="-14"/>
        </w:rPr>
        <w:t xml:space="preserve"> </w:t>
      </w:r>
      <w:r>
        <w:t>identify</w:t>
      </w:r>
      <w:r>
        <w:rPr>
          <w:spacing w:val="-14"/>
        </w:rPr>
        <w:t xml:space="preserve"> </w:t>
      </w:r>
      <w:r>
        <w:t>whether</w:t>
      </w:r>
      <w:r>
        <w:rPr>
          <w:spacing w:val="-14"/>
        </w:rPr>
        <w:t xml:space="preserve"> </w:t>
      </w:r>
      <w:r>
        <w:t>any</w:t>
      </w:r>
      <w:r>
        <w:rPr>
          <w:spacing w:val="-13"/>
        </w:rPr>
        <w:t xml:space="preserve"> </w:t>
      </w:r>
      <w:r>
        <w:t>human</w:t>
      </w:r>
      <w:r>
        <w:rPr>
          <w:spacing w:val="-14"/>
        </w:rPr>
        <w:t xml:space="preserve"> </w:t>
      </w:r>
      <w:r>
        <w:t>rights</w:t>
      </w:r>
      <w:r>
        <w:rPr>
          <w:spacing w:val="-14"/>
        </w:rPr>
        <w:t xml:space="preserve"> </w:t>
      </w:r>
      <w:r>
        <w:t>are</w:t>
      </w:r>
      <w:r>
        <w:rPr>
          <w:spacing w:val="-14"/>
        </w:rPr>
        <w:t xml:space="preserve"> </w:t>
      </w:r>
      <w:r>
        <w:t>directly</w:t>
      </w:r>
      <w:r>
        <w:rPr>
          <w:spacing w:val="-13"/>
        </w:rPr>
        <w:t xml:space="preserve"> </w:t>
      </w:r>
      <w:r>
        <w:t>engaged in the legislation; and, where legislation limits human rights, the statement of compatibility should ‘provide a detailed, reasoned and evidence-based assessment of each measure that limits rights’.</w:t>
      </w:r>
      <w:r>
        <w:rPr>
          <w:position w:val="7"/>
          <w:sz w:val="13"/>
        </w:rPr>
        <w:t>130</w:t>
      </w:r>
    </w:p>
    <w:p w14:paraId="7CB25E06" w14:textId="77777777" w:rsidR="008A4099" w:rsidRDefault="006A6EE2">
      <w:pPr>
        <w:pStyle w:val="ListParagraph"/>
        <w:numPr>
          <w:ilvl w:val="2"/>
          <w:numId w:val="9"/>
        </w:numPr>
        <w:tabs>
          <w:tab w:val="left" w:pos="879"/>
        </w:tabs>
        <w:spacing w:before="216"/>
        <w:ind w:right="672" w:firstLine="0"/>
        <w:jc w:val="both"/>
        <w:rPr>
          <w:sz w:val="13"/>
        </w:rPr>
      </w:pPr>
      <w:r>
        <w:t>The PJCHR usually releases a scrutiny report during each joint sitting week,</w:t>
      </w:r>
      <w:r>
        <w:rPr>
          <w:position w:val="7"/>
          <w:sz w:val="13"/>
        </w:rPr>
        <w:t xml:space="preserve">131 </w:t>
      </w:r>
      <w:r>
        <w:t>providing an overview</w:t>
      </w:r>
      <w:r>
        <w:rPr>
          <w:spacing w:val="-5"/>
        </w:rPr>
        <w:t xml:space="preserve"> </w:t>
      </w:r>
      <w:r>
        <w:t>of</w:t>
      </w:r>
      <w:r>
        <w:rPr>
          <w:spacing w:val="-4"/>
        </w:rPr>
        <w:t xml:space="preserve"> </w:t>
      </w:r>
      <w:r>
        <w:t>human</w:t>
      </w:r>
      <w:r>
        <w:rPr>
          <w:spacing w:val="-5"/>
        </w:rPr>
        <w:t xml:space="preserve"> </w:t>
      </w:r>
      <w:r>
        <w:t>rights</w:t>
      </w:r>
      <w:r>
        <w:rPr>
          <w:spacing w:val="-4"/>
        </w:rPr>
        <w:t xml:space="preserve"> </w:t>
      </w:r>
      <w:r>
        <w:t>considerations</w:t>
      </w:r>
      <w:r>
        <w:rPr>
          <w:spacing w:val="-4"/>
        </w:rPr>
        <w:t xml:space="preserve"> </w:t>
      </w:r>
      <w:r>
        <w:t>for</w:t>
      </w:r>
      <w:r>
        <w:rPr>
          <w:spacing w:val="-4"/>
        </w:rPr>
        <w:t xml:space="preserve"> </w:t>
      </w:r>
      <w:r>
        <w:t>new</w:t>
      </w:r>
      <w:r>
        <w:rPr>
          <w:spacing w:val="-5"/>
        </w:rPr>
        <w:t xml:space="preserve"> </w:t>
      </w:r>
      <w:r>
        <w:t>Bills</w:t>
      </w:r>
      <w:r>
        <w:rPr>
          <w:spacing w:val="-4"/>
        </w:rPr>
        <w:t xml:space="preserve"> </w:t>
      </w:r>
      <w:r>
        <w:t>or</w:t>
      </w:r>
      <w:r>
        <w:rPr>
          <w:spacing w:val="-4"/>
        </w:rPr>
        <w:t xml:space="preserve"> </w:t>
      </w:r>
      <w:r>
        <w:t>instruments,</w:t>
      </w:r>
      <w:r>
        <w:rPr>
          <w:spacing w:val="-4"/>
        </w:rPr>
        <w:t xml:space="preserve"> </w:t>
      </w:r>
      <w:r>
        <w:t>the</w:t>
      </w:r>
      <w:r>
        <w:rPr>
          <w:spacing w:val="-4"/>
        </w:rPr>
        <w:t xml:space="preserve"> </w:t>
      </w:r>
      <w:r>
        <w:t>Committee’s</w:t>
      </w:r>
      <w:r>
        <w:rPr>
          <w:spacing w:val="-4"/>
        </w:rPr>
        <w:t xml:space="preserve"> </w:t>
      </w:r>
      <w:r>
        <w:t>views</w:t>
      </w:r>
      <w:r>
        <w:rPr>
          <w:spacing w:val="-5"/>
        </w:rPr>
        <w:t xml:space="preserve"> </w:t>
      </w:r>
      <w:r>
        <w:t>on</w:t>
      </w:r>
      <w:r>
        <w:rPr>
          <w:spacing w:val="-5"/>
        </w:rPr>
        <w:t xml:space="preserve"> </w:t>
      </w:r>
      <w:r>
        <w:t>those instruments’ compatibility with Australia’s human rights obligations, and any further information required for the Committee to make final recommendations.</w:t>
      </w:r>
      <w:r>
        <w:rPr>
          <w:position w:val="7"/>
          <w:sz w:val="13"/>
        </w:rPr>
        <w:t>132</w:t>
      </w:r>
      <w:r>
        <w:rPr>
          <w:spacing w:val="40"/>
          <w:position w:val="7"/>
          <w:sz w:val="13"/>
        </w:rPr>
        <w:t xml:space="preserve"> </w:t>
      </w:r>
      <w:r>
        <w:t>The PJCHR observes that it seeks to include</w:t>
      </w:r>
      <w:r>
        <w:rPr>
          <w:spacing w:val="-3"/>
        </w:rPr>
        <w:t xml:space="preserve"> </w:t>
      </w:r>
      <w:r>
        <w:t>its</w:t>
      </w:r>
      <w:r>
        <w:rPr>
          <w:spacing w:val="-1"/>
        </w:rPr>
        <w:t xml:space="preserve"> </w:t>
      </w:r>
      <w:r>
        <w:t>assessment of</w:t>
      </w:r>
      <w:r>
        <w:rPr>
          <w:spacing w:val="-1"/>
        </w:rPr>
        <w:t xml:space="preserve"> </w:t>
      </w:r>
      <w:r>
        <w:t>Bills</w:t>
      </w:r>
      <w:r>
        <w:rPr>
          <w:spacing w:val="-1"/>
        </w:rPr>
        <w:t xml:space="preserve"> </w:t>
      </w:r>
      <w:r>
        <w:t>while</w:t>
      </w:r>
      <w:r>
        <w:rPr>
          <w:spacing w:val="-1"/>
        </w:rPr>
        <w:t xml:space="preserve"> </w:t>
      </w:r>
      <w:r>
        <w:t>they</w:t>
      </w:r>
      <w:r>
        <w:rPr>
          <w:spacing w:val="-1"/>
        </w:rPr>
        <w:t xml:space="preserve"> </w:t>
      </w:r>
      <w:r>
        <w:t>are</w:t>
      </w:r>
      <w:r>
        <w:rPr>
          <w:spacing w:val="-1"/>
        </w:rPr>
        <w:t xml:space="preserve"> </w:t>
      </w:r>
      <w:r>
        <w:t>still before</w:t>
      </w:r>
      <w:r>
        <w:rPr>
          <w:spacing w:val="-1"/>
        </w:rPr>
        <w:t xml:space="preserve"> </w:t>
      </w:r>
      <w:r>
        <w:t>Parliament,</w:t>
      </w:r>
      <w:r>
        <w:rPr>
          <w:spacing w:val="-4"/>
        </w:rPr>
        <w:t xml:space="preserve"> </w:t>
      </w:r>
      <w:r>
        <w:t>so</w:t>
      </w:r>
      <w:r>
        <w:rPr>
          <w:spacing w:val="-1"/>
        </w:rPr>
        <w:t xml:space="preserve"> </w:t>
      </w:r>
      <w:r>
        <w:t>as</w:t>
      </w:r>
      <w:r>
        <w:rPr>
          <w:spacing w:val="-3"/>
        </w:rPr>
        <w:t xml:space="preserve"> </w:t>
      </w:r>
      <w:r>
        <w:t>to</w:t>
      </w:r>
      <w:r>
        <w:rPr>
          <w:spacing w:val="-4"/>
        </w:rPr>
        <w:t xml:space="preserve"> </w:t>
      </w:r>
      <w:r>
        <w:t>allow</w:t>
      </w:r>
      <w:r>
        <w:rPr>
          <w:spacing w:val="-5"/>
        </w:rPr>
        <w:t xml:space="preserve"> </w:t>
      </w:r>
      <w:r>
        <w:t>parliamentarians</w:t>
      </w:r>
      <w:r>
        <w:rPr>
          <w:spacing w:val="-3"/>
        </w:rPr>
        <w:t xml:space="preserve"> </w:t>
      </w:r>
      <w:r>
        <w:t>to consider human rights in making decisions on proposed legislation.</w:t>
      </w:r>
      <w:r>
        <w:rPr>
          <w:position w:val="7"/>
          <w:sz w:val="13"/>
        </w:rPr>
        <w:t>133</w:t>
      </w:r>
      <w:r>
        <w:rPr>
          <w:spacing w:val="40"/>
          <w:position w:val="7"/>
          <w:sz w:val="13"/>
        </w:rPr>
        <w:t xml:space="preserve"> </w:t>
      </w:r>
      <w:r>
        <w:t>This does not always occur, however.</w:t>
      </w:r>
      <w:r>
        <w:rPr>
          <w:spacing w:val="30"/>
        </w:rPr>
        <w:t xml:space="preserve"> </w:t>
      </w:r>
      <w:r>
        <w:t>The</w:t>
      </w:r>
      <w:r>
        <w:rPr>
          <w:spacing w:val="29"/>
        </w:rPr>
        <w:t xml:space="preserve"> </w:t>
      </w:r>
      <w:r>
        <w:t>Australian</w:t>
      </w:r>
      <w:r>
        <w:rPr>
          <w:spacing w:val="30"/>
        </w:rPr>
        <w:t xml:space="preserve"> </w:t>
      </w:r>
      <w:r>
        <w:t>Law</w:t>
      </w:r>
      <w:r>
        <w:rPr>
          <w:spacing w:val="31"/>
        </w:rPr>
        <w:t xml:space="preserve"> </w:t>
      </w:r>
      <w:r>
        <w:t>Reform</w:t>
      </w:r>
      <w:r>
        <w:rPr>
          <w:spacing w:val="33"/>
        </w:rPr>
        <w:t xml:space="preserve"> </w:t>
      </w:r>
      <w:r>
        <w:t>Commission</w:t>
      </w:r>
      <w:r>
        <w:rPr>
          <w:spacing w:val="27"/>
        </w:rPr>
        <w:t xml:space="preserve"> </w:t>
      </w:r>
      <w:r>
        <w:t>has</w:t>
      </w:r>
      <w:r>
        <w:rPr>
          <w:spacing w:val="30"/>
        </w:rPr>
        <w:t xml:space="preserve"> </w:t>
      </w:r>
      <w:r>
        <w:t>reported</w:t>
      </w:r>
      <w:r>
        <w:rPr>
          <w:spacing w:val="30"/>
        </w:rPr>
        <w:t xml:space="preserve"> </w:t>
      </w:r>
      <w:r>
        <w:t>that,</w:t>
      </w:r>
      <w:r>
        <w:rPr>
          <w:spacing w:val="30"/>
        </w:rPr>
        <w:t xml:space="preserve"> </w:t>
      </w:r>
      <w:r>
        <w:t>in</w:t>
      </w:r>
      <w:r>
        <w:rPr>
          <w:spacing w:val="30"/>
        </w:rPr>
        <w:t xml:space="preserve"> </w:t>
      </w:r>
      <w:r>
        <w:t>the</w:t>
      </w:r>
      <w:r>
        <w:rPr>
          <w:spacing w:val="30"/>
        </w:rPr>
        <w:t xml:space="preserve"> </w:t>
      </w:r>
      <w:r>
        <w:t>first</w:t>
      </w:r>
      <w:r>
        <w:rPr>
          <w:spacing w:val="31"/>
        </w:rPr>
        <w:t xml:space="preserve"> </w:t>
      </w:r>
      <w:r>
        <w:t>five</w:t>
      </w:r>
      <w:r>
        <w:rPr>
          <w:spacing w:val="30"/>
        </w:rPr>
        <w:t xml:space="preserve"> </w:t>
      </w:r>
      <w:r>
        <w:t>years</w:t>
      </w:r>
      <w:r>
        <w:rPr>
          <w:spacing w:val="30"/>
        </w:rPr>
        <w:t xml:space="preserve"> </w:t>
      </w:r>
      <w:r>
        <w:t>of</w:t>
      </w:r>
      <w:r>
        <w:rPr>
          <w:spacing w:val="31"/>
        </w:rPr>
        <w:t xml:space="preserve"> </w:t>
      </w:r>
      <w:r>
        <w:t>the Cth</w:t>
      </w:r>
      <w:r>
        <w:rPr>
          <w:spacing w:val="-2"/>
        </w:rPr>
        <w:t xml:space="preserve"> </w:t>
      </w:r>
      <w:r>
        <w:t>Scrutiny Act’s operation, more than 50 Bills were passed before the PJCHR had completed its review.</w:t>
      </w:r>
      <w:r>
        <w:rPr>
          <w:position w:val="7"/>
          <w:sz w:val="13"/>
        </w:rPr>
        <w:t>134</w:t>
      </w:r>
      <w:r>
        <w:rPr>
          <w:spacing w:val="11"/>
          <w:position w:val="7"/>
          <w:sz w:val="13"/>
        </w:rPr>
        <w:t xml:space="preserve"> </w:t>
      </w:r>
      <w:r>
        <w:t>The</w:t>
      </w:r>
      <w:r>
        <w:rPr>
          <w:spacing w:val="-12"/>
        </w:rPr>
        <w:t xml:space="preserve"> </w:t>
      </w:r>
      <w:r>
        <w:t>PJCHR</w:t>
      </w:r>
      <w:r>
        <w:rPr>
          <w:spacing w:val="-12"/>
        </w:rPr>
        <w:t xml:space="preserve"> </w:t>
      </w:r>
      <w:r>
        <w:t>reported</w:t>
      </w:r>
      <w:r>
        <w:rPr>
          <w:spacing w:val="-12"/>
        </w:rPr>
        <w:t xml:space="preserve"> </w:t>
      </w:r>
      <w:r>
        <w:t>that,</w:t>
      </w:r>
      <w:r>
        <w:rPr>
          <w:spacing w:val="-13"/>
        </w:rPr>
        <w:t xml:space="preserve"> </w:t>
      </w:r>
      <w:r>
        <w:t>between</w:t>
      </w:r>
      <w:r>
        <w:rPr>
          <w:spacing w:val="-12"/>
        </w:rPr>
        <w:t xml:space="preserve"> </w:t>
      </w:r>
      <w:r>
        <w:t>2012</w:t>
      </w:r>
      <w:r>
        <w:rPr>
          <w:spacing w:val="-13"/>
        </w:rPr>
        <w:t xml:space="preserve"> </w:t>
      </w:r>
      <w:r>
        <w:t>and</w:t>
      </w:r>
      <w:r>
        <w:rPr>
          <w:spacing w:val="-12"/>
        </w:rPr>
        <w:t xml:space="preserve"> </w:t>
      </w:r>
      <w:r>
        <w:t>2015,</w:t>
      </w:r>
      <w:r>
        <w:rPr>
          <w:spacing w:val="-12"/>
        </w:rPr>
        <w:t xml:space="preserve"> </w:t>
      </w:r>
      <w:r>
        <w:t>there</w:t>
      </w:r>
      <w:r>
        <w:rPr>
          <w:spacing w:val="-13"/>
        </w:rPr>
        <w:t xml:space="preserve"> </w:t>
      </w:r>
      <w:r>
        <w:t>was</w:t>
      </w:r>
      <w:r>
        <w:rPr>
          <w:spacing w:val="-12"/>
        </w:rPr>
        <w:t xml:space="preserve"> </w:t>
      </w:r>
      <w:r>
        <w:t>delay</w:t>
      </w:r>
      <w:r>
        <w:rPr>
          <w:spacing w:val="-13"/>
        </w:rPr>
        <w:t xml:space="preserve"> </w:t>
      </w:r>
      <w:r>
        <w:t>in</w:t>
      </w:r>
      <w:r>
        <w:rPr>
          <w:spacing w:val="-13"/>
        </w:rPr>
        <w:t xml:space="preserve"> </w:t>
      </w:r>
      <w:r>
        <w:t>reporting</w:t>
      </w:r>
      <w:r>
        <w:rPr>
          <w:spacing w:val="-12"/>
        </w:rPr>
        <w:t xml:space="preserve"> </w:t>
      </w:r>
      <w:r>
        <w:t>but</w:t>
      </w:r>
      <w:r>
        <w:rPr>
          <w:spacing w:val="-12"/>
        </w:rPr>
        <w:t xml:space="preserve"> </w:t>
      </w:r>
      <w:r>
        <w:t>that,</w:t>
      </w:r>
      <w:r>
        <w:rPr>
          <w:spacing w:val="-13"/>
        </w:rPr>
        <w:t xml:space="preserve"> </w:t>
      </w:r>
      <w:r>
        <w:t xml:space="preserve">since 2016, more than 90 per cent of all Bills have been reported on while they remained before the </w:t>
      </w:r>
      <w:r>
        <w:rPr>
          <w:spacing w:val="-2"/>
        </w:rPr>
        <w:t>Parliament.</w:t>
      </w:r>
      <w:r>
        <w:rPr>
          <w:spacing w:val="-2"/>
          <w:position w:val="7"/>
          <w:sz w:val="13"/>
        </w:rPr>
        <w:t>135</w:t>
      </w:r>
    </w:p>
    <w:p w14:paraId="7CB25E07" w14:textId="77777777" w:rsidR="008A4099" w:rsidRDefault="006A6EE2">
      <w:pPr>
        <w:pStyle w:val="ListParagraph"/>
        <w:numPr>
          <w:ilvl w:val="2"/>
          <w:numId w:val="9"/>
        </w:numPr>
        <w:tabs>
          <w:tab w:val="left" w:pos="879"/>
        </w:tabs>
        <w:spacing w:before="221" w:line="235" w:lineRule="auto"/>
        <w:ind w:right="680" w:firstLine="0"/>
        <w:jc w:val="both"/>
      </w:pPr>
      <w:r>
        <w:t>Critique</w:t>
      </w:r>
      <w:r>
        <w:rPr>
          <w:spacing w:val="-2"/>
        </w:rPr>
        <w:t xml:space="preserve"> </w:t>
      </w:r>
      <w:r>
        <w:t>of</w:t>
      </w:r>
      <w:r>
        <w:rPr>
          <w:spacing w:val="-3"/>
        </w:rPr>
        <w:t xml:space="preserve"> </w:t>
      </w:r>
      <w:r>
        <w:t>the</w:t>
      </w:r>
      <w:r>
        <w:rPr>
          <w:spacing w:val="-2"/>
        </w:rPr>
        <w:t xml:space="preserve"> </w:t>
      </w:r>
      <w:r>
        <w:t>Commonwealth</w:t>
      </w:r>
      <w:r>
        <w:rPr>
          <w:spacing w:val="-2"/>
        </w:rPr>
        <w:t xml:space="preserve"> </w:t>
      </w:r>
      <w:r>
        <w:t>approach</w:t>
      </w:r>
      <w:r>
        <w:rPr>
          <w:spacing w:val="-2"/>
        </w:rPr>
        <w:t xml:space="preserve"> </w:t>
      </w:r>
      <w:r>
        <w:t>to</w:t>
      </w:r>
      <w:r>
        <w:rPr>
          <w:spacing w:val="-2"/>
        </w:rPr>
        <w:t xml:space="preserve"> </w:t>
      </w:r>
      <w:r>
        <w:t>human</w:t>
      </w:r>
      <w:r>
        <w:rPr>
          <w:spacing w:val="-4"/>
        </w:rPr>
        <w:t xml:space="preserve"> </w:t>
      </w:r>
      <w:r>
        <w:t>rights</w:t>
      </w:r>
      <w:r>
        <w:rPr>
          <w:spacing w:val="-2"/>
        </w:rPr>
        <w:t xml:space="preserve"> </w:t>
      </w:r>
      <w:r>
        <w:t>protection</w:t>
      </w:r>
      <w:r>
        <w:rPr>
          <w:spacing w:val="-2"/>
        </w:rPr>
        <w:t xml:space="preserve"> </w:t>
      </w:r>
      <w:r>
        <w:t>relates</w:t>
      </w:r>
      <w:r>
        <w:rPr>
          <w:spacing w:val="-4"/>
        </w:rPr>
        <w:t xml:space="preserve"> </w:t>
      </w:r>
      <w:r>
        <w:t>to</w:t>
      </w:r>
      <w:r>
        <w:rPr>
          <w:spacing w:val="-5"/>
        </w:rPr>
        <w:t xml:space="preserve"> </w:t>
      </w:r>
      <w:r>
        <w:t>the</w:t>
      </w:r>
      <w:r>
        <w:rPr>
          <w:spacing w:val="-7"/>
        </w:rPr>
        <w:t xml:space="preserve"> </w:t>
      </w:r>
      <w:r>
        <w:t>absence</w:t>
      </w:r>
      <w:r>
        <w:rPr>
          <w:spacing w:val="-2"/>
        </w:rPr>
        <w:t xml:space="preserve"> </w:t>
      </w:r>
      <w:r>
        <w:t>of</w:t>
      </w:r>
      <w:r>
        <w:rPr>
          <w:spacing w:val="-2"/>
        </w:rPr>
        <w:t xml:space="preserve"> </w:t>
      </w:r>
      <w:r>
        <w:t>a human</w:t>
      </w:r>
      <w:r>
        <w:rPr>
          <w:spacing w:val="-7"/>
        </w:rPr>
        <w:t xml:space="preserve"> </w:t>
      </w:r>
      <w:r>
        <w:t>rights</w:t>
      </w:r>
      <w:r>
        <w:rPr>
          <w:spacing w:val="-7"/>
        </w:rPr>
        <w:t xml:space="preserve"> </w:t>
      </w:r>
      <w:r>
        <w:t>instrument,</w:t>
      </w:r>
      <w:r>
        <w:rPr>
          <w:spacing w:val="-7"/>
        </w:rPr>
        <w:t xml:space="preserve"> </w:t>
      </w:r>
      <w:r>
        <w:t>the</w:t>
      </w:r>
      <w:r>
        <w:rPr>
          <w:spacing w:val="-4"/>
        </w:rPr>
        <w:t xml:space="preserve"> </w:t>
      </w:r>
      <w:r>
        <w:t>lack</w:t>
      </w:r>
      <w:r>
        <w:rPr>
          <w:spacing w:val="-7"/>
        </w:rPr>
        <w:t xml:space="preserve"> </w:t>
      </w:r>
      <w:r>
        <w:t>of</w:t>
      </w:r>
      <w:r>
        <w:rPr>
          <w:spacing w:val="-6"/>
        </w:rPr>
        <w:t xml:space="preserve"> </w:t>
      </w:r>
      <w:r>
        <w:t>judicial</w:t>
      </w:r>
      <w:r>
        <w:rPr>
          <w:spacing w:val="-4"/>
        </w:rPr>
        <w:t xml:space="preserve"> </w:t>
      </w:r>
      <w:r>
        <w:t>supervision,</w:t>
      </w:r>
      <w:r>
        <w:rPr>
          <w:spacing w:val="-5"/>
        </w:rPr>
        <w:t xml:space="preserve"> </w:t>
      </w:r>
      <w:r>
        <w:t>and</w:t>
      </w:r>
      <w:r>
        <w:rPr>
          <w:spacing w:val="-7"/>
        </w:rPr>
        <w:t xml:space="preserve"> </w:t>
      </w:r>
      <w:r>
        <w:t>the</w:t>
      </w:r>
      <w:r>
        <w:rPr>
          <w:spacing w:val="-7"/>
        </w:rPr>
        <w:t xml:space="preserve"> </w:t>
      </w:r>
      <w:r>
        <w:t>ineffectiveness</w:t>
      </w:r>
      <w:r>
        <w:rPr>
          <w:spacing w:val="-7"/>
        </w:rPr>
        <w:t xml:space="preserve"> </w:t>
      </w:r>
      <w:r>
        <w:t>of</w:t>
      </w:r>
      <w:r>
        <w:rPr>
          <w:spacing w:val="-4"/>
        </w:rPr>
        <w:t xml:space="preserve"> </w:t>
      </w:r>
      <w:r>
        <w:t>the</w:t>
      </w:r>
      <w:r>
        <w:rPr>
          <w:spacing w:val="-7"/>
        </w:rPr>
        <w:t xml:space="preserve"> </w:t>
      </w:r>
      <w:r>
        <w:t>model</w:t>
      </w:r>
      <w:r>
        <w:rPr>
          <w:spacing w:val="-6"/>
        </w:rPr>
        <w:t xml:space="preserve"> </w:t>
      </w:r>
      <w:r>
        <w:t>as</w:t>
      </w:r>
      <w:r>
        <w:rPr>
          <w:spacing w:val="-6"/>
        </w:rPr>
        <w:t xml:space="preserve"> </w:t>
      </w:r>
      <w:r>
        <w:t>a</w:t>
      </w:r>
      <w:r>
        <w:rPr>
          <w:spacing w:val="-7"/>
        </w:rPr>
        <w:t xml:space="preserve"> </w:t>
      </w:r>
      <w:r>
        <w:t>way</w:t>
      </w:r>
    </w:p>
    <w:p w14:paraId="7CB25E08" w14:textId="77777777" w:rsidR="008A4099" w:rsidRDefault="008A4099">
      <w:pPr>
        <w:pStyle w:val="BodyText"/>
        <w:rPr>
          <w:sz w:val="20"/>
        </w:rPr>
      </w:pPr>
    </w:p>
    <w:p w14:paraId="7CB25E09" w14:textId="77777777" w:rsidR="008A4099" w:rsidRDefault="006A6EE2">
      <w:pPr>
        <w:pStyle w:val="BodyText"/>
        <w:spacing w:before="28"/>
        <w:rPr>
          <w:sz w:val="20"/>
        </w:rPr>
      </w:pPr>
      <w:r>
        <w:rPr>
          <w:noProof/>
        </w:rPr>
        <mc:AlternateContent>
          <mc:Choice Requires="wps">
            <w:drawing>
              <wp:anchor distT="0" distB="0" distL="0" distR="0" simplePos="0" relativeHeight="487598080" behindDoc="1" locked="0" layoutInCell="1" allowOverlap="1" wp14:anchorId="7CB26601" wp14:editId="7CB26602">
                <wp:simplePos x="0" y="0"/>
                <wp:positionH relativeFrom="page">
                  <wp:posOffset>914704</wp:posOffset>
                </wp:positionH>
                <wp:positionV relativeFrom="paragraph">
                  <wp:posOffset>179394</wp:posOffset>
                </wp:positionV>
                <wp:extent cx="1829435"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62B03" id="Graphic 56" o:spid="_x0000_s1026" style="position:absolute;margin-left:1in;margin-top:14.15pt;width:144.05pt;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" path="m1829054,l,,,7620r1829054,l1829054,xe" fillcolor="black" stroked="f">
                <v:path arrowok="t"/>
                <w10:wrap type="topAndBottom" anchorx="page"/>
              </v:shape>
            </w:pict>
          </mc:Fallback>
        </mc:AlternateContent>
      </w:r>
    </w:p>
    <w:p w14:paraId="7CB25E0A" w14:textId="77777777" w:rsidR="008A4099" w:rsidRDefault="006A6EE2">
      <w:pPr>
        <w:spacing w:before="112" w:line="244" w:lineRule="auto"/>
        <w:ind w:left="160" w:right="673"/>
        <w:rPr>
          <w:sz w:val="18"/>
        </w:rPr>
      </w:pPr>
      <w:r>
        <w:rPr>
          <w:sz w:val="18"/>
          <w:vertAlign w:val="superscript"/>
        </w:rPr>
        <w:t>125</w:t>
      </w:r>
      <w:r>
        <w:rPr>
          <w:spacing w:val="-12"/>
          <w:sz w:val="18"/>
        </w:rPr>
        <w:t xml:space="preserve"> </w:t>
      </w:r>
      <w:r>
        <w:rPr>
          <w:i/>
          <w:sz w:val="18"/>
        </w:rPr>
        <w:t>Human</w:t>
      </w:r>
      <w:r>
        <w:rPr>
          <w:i/>
          <w:spacing w:val="-11"/>
          <w:sz w:val="18"/>
        </w:rPr>
        <w:t xml:space="preserve"> </w:t>
      </w:r>
      <w:r>
        <w:rPr>
          <w:i/>
          <w:sz w:val="18"/>
        </w:rPr>
        <w:t>Rights</w:t>
      </w:r>
      <w:r>
        <w:rPr>
          <w:i/>
          <w:spacing w:val="-11"/>
          <w:sz w:val="18"/>
        </w:rPr>
        <w:t xml:space="preserve"> </w:t>
      </w:r>
      <w:r>
        <w:rPr>
          <w:i/>
          <w:sz w:val="18"/>
        </w:rPr>
        <w:t>(Parliamentary</w:t>
      </w:r>
      <w:r>
        <w:rPr>
          <w:i/>
          <w:spacing w:val="-11"/>
          <w:sz w:val="18"/>
        </w:rPr>
        <w:t xml:space="preserve"> </w:t>
      </w:r>
      <w:r>
        <w:rPr>
          <w:i/>
          <w:sz w:val="18"/>
        </w:rPr>
        <w:t>Scrutiny)</w:t>
      </w:r>
      <w:r>
        <w:rPr>
          <w:i/>
          <w:spacing w:val="-12"/>
          <w:sz w:val="18"/>
        </w:rPr>
        <w:t xml:space="preserve"> </w:t>
      </w:r>
      <w:r>
        <w:rPr>
          <w:i/>
          <w:sz w:val="18"/>
        </w:rPr>
        <w:t>Act</w:t>
      </w:r>
      <w:r>
        <w:rPr>
          <w:i/>
          <w:spacing w:val="-12"/>
          <w:sz w:val="18"/>
        </w:rPr>
        <w:t xml:space="preserve"> </w:t>
      </w:r>
      <w:r>
        <w:rPr>
          <w:i/>
          <w:sz w:val="18"/>
        </w:rPr>
        <w:t>2011</w:t>
      </w:r>
      <w:r>
        <w:rPr>
          <w:i/>
          <w:spacing w:val="-11"/>
          <w:sz w:val="18"/>
        </w:rPr>
        <w:t xml:space="preserve"> </w:t>
      </w:r>
      <w:r>
        <w:rPr>
          <w:sz w:val="18"/>
        </w:rPr>
        <w:t>(Cth)</w:t>
      </w:r>
      <w:r>
        <w:rPr>
          <w:spacing w:val="-12"/>
          <w:sz w:val="18"/>
        </w:rPr>
        <w:t xml:space="preserve"> </w:t>
      </w:r>
      <w:r>
        <w:rPr>
          <w:sz w:val="18"/>
        </w:rPr>
        <w:t>ss</w:t>
      </w:r>
      <w:r>
        <w:rPr>
          <w:spacing w:val="-11"/>
          <w:sz w:val="18"/>
        </w:rPr>
        <w:t xml:space="preserve"> </w:t>
      </w:r>
      <w:r>
        <w:rPr>
          <w:sz w:val="18"/>
        </w:rPr>
        <w:t>8,</w:t>
      </w:r>
      <w:r>
        <w:rPr>
          <w:spacing w:val="-11"/>
          <w:sz w:val="18"/>
        </w:rPr>
        <w:t xml:space="preserve"> </w:t>
      </w:r>
      <w:r>
        <w:rPr>
          <w:sz w:val="18"/>
        </w:rPr>
        <w:t>9;</w:t>
      </w:r>
      <w:r>
        <w:rPr>
          <w:spacing w:val="-12"/>
          <w:sz w:val="18"/>
        </w:rPr>
        <w:t xml:space="preserve"> </w:t>
      </w:r>
      <w:r>
        <w:rPr>
          <w:sz w:val="18"/>
        </w:rPr>
        <w:t>Parliamentary</w:t>
      </w:r>
      <w:r>
        <w:rPr>
          <w:spacing w:val="-11"/>
          <w:sz w:val="18"/>
        </w:rPr>
        <w:t xml:space="preserve"> </w:t>
      </w:r>
      <w:r>
        <w:rPr>
          <w:sz w:val="18"/>
        </w:rPr>
        <w:t>Joint</w:t>
      </w:r>
      <w:r>
        <w:rPr>
          <w:spacing w:val="-11"/>
          <w:sz w:val="18"/>
        </w:rPr>
        <w:t xml:space="preserve"> </w:t>
      </w:r>
      <w:r>
        <w:rPr>
          <w:sz w:val="18"/>
        </w:rPr>
        <w:t>Committee</w:t>
      </w:r>
      <w:r>
        <w:rPr>
          <w:spacing w:val="-11"/>
          <w:sz w:val="18"/>
        </w:rPr>
        <w:t xml:space="preserve"> </w:t>
      </w:r>
      <w:r>
        <w:rPr>
          <w:sz w:val="18"/>
        </w:rPr>
        <w:t>on</w:t>
      </w:r>
      <w:r>
        <w:rPr>
          <w:spacing w:val="-12"/>
          <w:sz w:val="18"/>
        </w:rPr>
        <w:t xml:space="preserve"> </w:t>
      </w:r>
      <w:r>
        <w:rPr>
          <w:sz w:val="18"/>
        </w:rPr>
        <w:t>Human</w:t>
      </w:r>
      <w:r>
        <w:rPr>
          <w:spacing w:val="-10"/>
          <w:sz w:val="18"/>
        </w:rPr>
        <w:t xml:space="preserve"> </w:t>
      </w:r>
      <w:r>
        <w:rPr>
          <w:sz w:val="18"/>
        </w:rPr>
        <w:t>Rights,</w:t>
      </w:r>
      <w:r>
        <w:rPr>
          <w:spacing w:val="-7"/>
          <w:sz w:val="18"/>
        </w:rPr>
        <w:t xml:space="preserve"> </w:t>
      </w:r>
      <w:r>
        <w:rPr>
          <w:i/>
          <w:sz w:val="18"/>
        </w:rPr>
        <w:t xml:space="preserve">Guidance Note 1: Drafting Statements of Compatibility </w:t>
      </w:r>
      <w:r>
        <w:rPr>
          <w:sz w:val="18"/>
        </w:rPr>
        <w:t>(Parliament of Australia, 2021)</w:t>
      </w:r>
    </w:p>
    <w:p w14:paraId="7CB25E0B" w14:textId="77777777" w:rsidR="008A4099" w:rsidRDefault="006A6EE2">
      <w:pPr>
        <w:spacing w:line="202" w:lineRule="exact"/>
        <w:ind w:left="160"/>
        <w:rPr>
          <w:sz w:val="18"/>
        </w:rPr>
      </w:pPr>
      <w:r>
        <w:rPr>
          <w:spacing w:val="-2"/>
          <w:sz w:val="18"/>
        </w:rPr>
        <w:t>&lt;https://</w:t>
      </w:r>
      <w:hyperlink r:id="rId63">
        <w:r>
          <w:rPr>
            <w:spacing w:val="-2"/>
            <w:sz w:val="18"/>
          </w:rPr>
          <w:t>www.aph.gov.au/Parliamentary_Business/Committees/Joint/Human_Rights/Guidance_Notes_and_Resources</w:t>
        </w:r>
      </w:hyperlink>
      <w:r>
        <w:rPr>
          <w:spacing w:val="-2"/>
          <w:sz w:val="18"/>
        </w:rPr>
        <w:t>&gt;.</w:t>
      </w:r>
    </w:p>
    <w:p w14:paraId="7CB25E0C" w14:textId="77777777" w:rsidR="008A4099" w:rsidRDefault="006A6EE2">
      <w:pPr>
        <w:spacing w:before="19" w:line="242" w:lineRule="auto"/>
        <w:ind w:left="160" w:right="680"/>
        <w:jc w:val="both"/>
        <w:rPr>
          <w:sz w:val="18"/>
        </w:rPr>
      </w:pPr>
      <w:r>
        <w:rPr>
          <w:sz w:val="18"/>
          <w:vertAlign w:val="superscript"/>
        </w:rPr>
        <w:t>126</w:t>
      </w:r>
      <w:r>
        <w:rPr>
          <w:spacing w:val="-4"/>
          <w:sz w:val="18"/>
        </w:rPr>
        <w:t xml:space="preserve"> </w:t>
      </w:r>
      <w:r>
        <w:rPr>
          <w:sz w:val="18"/>
        </w:rPr>
        <w:t>Charlotte</w:t>
      </w:r>
      <w:r>
        <w:rPr>
          <w:spacing w:val="-5"/>
          <w:sz w:val="18"/>
        </w:rPr>
        <w:t xml:space="preserve"> </w:t>
      </w:r>
      <w:r>
        <w:rPr>
          <w:sz w:val="18"/>
        </w:rPr>
        <w:t>Fletcher</w:t>
      </w:r>
      <w:r>
        <w:rPr>
          <w:spacing w:val="-4"/>
          <w:sz w:val="18"/>
        </w:rPr>
        <w:t xml:space="preserve"> </w:t>
      </w:r>
      <w:r>
        <w:rPr>
          <w:sz w:val="18"/>
        </w:rPr>
        <w:t>and</w:t>
      </w:r>
      <w:r>
        <w:rPr>
          <w:spacing w:val="-3"/>
          <w:sz w:val="18"/>
        </w:rPr>
        <w:t xml:space="preserve"> </w:t>
      </w:r>
      <w:r>
        <w:rPr>
          <w:sz w:val="18"/>
        </w:rPr>
        <w:t>Anita</w:t>
      </w:r>
      <w:r>
        <w:rPr>
          <w:spacing w:val="-5"/>
          <w:sz w:val="18"/>
        </w:rPr>
        <w:t xml:space="preserve"> </w:t>
      </w:r>
      <w:r>
        <w:rPr>
          <w:sz w:val="18"/>
        </w:rPr>
        <w:t>Coles,</w:t>
      </w:r>
      <w:r>
        <w:rPr>
          <w:spacing w:val="-4"/>
          <w:sz w:val="18"/>
        </w:rPr>
        <w:t xml:space="preserve"> </w:t>
      </w:r>
      <w:r>
        <w:rPr>
          <w:sz w:val="18"/>
        </w:rPr>
        <w:t>‘Reflections</w:t>
      </w:r>
      <w:r>
        <w:rPr>
          <w:spacing w:val="-5"/>
          <w:sz w:val="18"/>
        </w:rPr>
        <w:t xml:space="preserve"> </w:t>
      </w:r>
      <w:r>
        <w:rPr>
          <w:sz w:val="18"/>
        </w:rPr>
        <w:t>on</w:t>
      </w:r>
      <w:r>
        <w:rPr>
          <w:spacing w:val="-3"/>
          <w:sz w:val="18"/>
        </w:rPr>
        <w:t xml:space="preserve"> </w:t>
      </w:r>
      <w:r>
        <w:rPr>
          <w:sz w:val="18"/>
        </w:rPr>
        <w:t>the</w:t>
      </w:r>
      <w:r>
        <w:rPr>
          <w:spacing w:val="-7"/>
          <w:sz w:val="18"/>
        </w:rPr>
        <w:t xml:space="preserve"> </w:t>
      </w:r>
      <w:r>
        <w:rPr>
          <w:sz w:val="18"/>
        </w:rPr>
        <w:t>10th</w:t>
      </w:r>
      <w:r>
        <w:rPr>
          <w:spacing w:val="-3"/>
          <w:sz w:val="18"/>
        </w:rPr>
        <w:t xml:space="preserve"> </w:t>
      </w:r>
      <w:r>
        <w:rPr>
          <w:sz w:val="18"/>
        </w:rPr>
        <w:t>Anniversary</w:t>
      </w:r>
      <w:r>
        <w:rPr>
          <w:spacing w:val="-3"/>
          <w:sz w:val="18"/>
        </w:rPr>
        <w:t xml:space="preserve"> </w:t>
      </w:r>
      <w:r>
        <w:rPr>
          <w:sz w:val="18"/>
        </w:rPr>
        <w:t>of</w:t>
      </w:r>
      <w:r>
        <w:rPr>
          <w:spacing w:val="-4"/>
          <w:sz w:val="18"/>
        </w:rPr>
        <w:t xml:space="preserve"> </w:t>
      </w:r>
      <w:r>
        <w:rPr>
          <w:sz w:val="18"/>
        </w:rPr>
        <w:t>the</w:t>
      </w:r>
      <w:r>
        <w:rPr>
          <w:spacing w:val="-5"/>
          <w:sz w:val="18"/>
        </w:rPr>
        <w:t xml:space="preserve"> </w:t>
      </w:r>
      <w:r>
        <w:rPr>
          <w:sz w:val="18"/>
        </w:rPr>
        <w:t>Parliamentary</w:t>
      </w:r>
      <w:r>
        <w:rPr>
          <w:spacing w:val="-4"/>
          <w:sz w:val="18"/>
        </w:rPr>
        <w:t xml:space="preserve"> </w:t>
      </w:r>
      <w:r>
        <w:rPr>
          <w:sz w:val="18"/>
        </w:rPr>
        <w:t>Joint</w:t>
      </w:r>
      <w:r>
        <w:rPr>
          <w:spacing w:val="-6"/>
          <w:sz w:val="18"/>
        </w:rPr>
        <w:t xml:space="preserve"> </w:t>
      </w:r>
      <w:r>
        <w:rPr>
          <w:sz w:val="18"/>
        </w:rPr>
        <w:t>Committee</w:t>
      </w:r>
      <w:r>
        <w:rPr>
          <w:spacing w:val="-5"/>
          <w:sz w:val="18"/>
        </w:rPr>
        <w:t xml:space="preserve"> </w:t>
      </w:r>
      <w:r>
        <w:rPr>
          <w:sz w:val="18"/>
        </w:rPr>
        <w:t>on</w:t>
      </w:r>
      <w:r>
        <w:rPr>
          <w:spacing w:val="-3"/>
          <w:sz w:val="18"/>
        </w:rPr>
        <w:t xml:space="preserve"> </w:t>
      </w:r>
      <w:r>
        <w:rPr>
          <w:sz w:val="18"/>
        </w:rPr>
        <w:t>Human Rights’</w:t>
      </w:r>
      <w:r>
        <w:rPr>
          <w:spacing w:val="-3"/>
          <w:sz w:val="18"/>
        </w:rPr>
        <w:t xml:space="preserve"> </w:t>
      </w:r>
      <w:r>
        <w:rPr>
          <w:i/>
          <w:sz w:val="18"/>
        </w:rPr>
        <w:t>Senate</w:t>
      </w:r>
      <w:r>
        <w:rPr>
          <w:i/>
          <w:spacing w:val="-1"/>
          <w:sz w:val="18"/>
        </w:rPr>
        <w:t xml:space="preserve"> </w:t>
      </w:r>
      <w:r>
        <w:rPr>
          <w:i/>
          <w:sz w:val="18"/>
        </w:rPr>
        <w:t>Lecture</w:t>
      </w:r>
      <w:r>
        <w:rPr>
          <w:i/>
          <w:spacing w:val="-2"/>
          <w:sz w:val="18"/>
        </w:rPr>
        <w:t xml:space="preserve"> </w:t>
      </w:r>
      <w:r>
        <w:rPr>
          <w:i/>
          <w:sz w:val="18"/>
        </w:rPr>
        <w:t>Series</w:t>
      </w:r>
      <w:r>
        <w:rPr>
          <w:i/>
          <w:spacing w:val="-1"/>
          <w:sz w:val="18"/>
        </w:rPr>
        <w:t xml:space="preserve"> </w:t>
      </w:r>
      <w:r>
        <w:rPr>
          <w:sz w:val="18"/>
        </w:rPr>
        <w:t>(August</w:t>
      </w:r>
      <w:r>
        <w:rPr>
          <w:spacing w:val="-2"/>
          <w:sz w:val="18"/>
        </w:rPr>
        <w:t xml:space="preserve"> </w:t>
      </w:r>
      <w:r>
        <w:rPr>
          <w:sz w:val="18"/>
        </w:rPr>
        <w:t>2022) &lt;https://</w:t>
      </w:r>
      <w:hyperlink r:id="rId64">
        <w:r>
          <w:rPr>
            <w:sz w:val="18"/>
          </w:rPr>
          <w:t>www.aph.gov.au/Parliamentary_Business/Committees/Joint/Human_R</w:t>
        </w:r>
      </w:hyperlink>
      <w:r>
        <w:rPr>
          <w:sz w:val="18"/>
        </w:rPr>
        <w:t xml:space="preserve"> </w:t>
      </w:r>
      <w:r>
        <w:rPr>
          <w:spacing w:val="-2"/>
          <w:sz w:val="18"/>
        </w:rPr>
        <w:t>ights/10_year_anniversary_of_the_committee&gt;.</w:t>
      </w:r>
    </w:p>
    <w:p w14:paraId="7CB25E0D" w14:textId="77777777" w:rsidR="008A4099" w:rsidRDefault="006A6EE2">
      <w:pPr>
        <w:spacing w:before="19" w:line="242" w:lineRule="auto"/>
        <w:ind w:left="160" w:right="684"/>
        <w:jc w:val="both"/>
        <w:rPr>
          <w:sz w:val="18"/>
        </w:rPr>
      </w:pPr>
      <w:r>
        <w:rPr>
          <w:sz w:val="18"/>
          <w:vertAlign w:val="superscript"/>
        </w:rPr>
        <w:t>127</w:t>
      </w:r>
      <w:r>
        <w:rPr>
          <w:spacing w:val="-1"/>
          <w:sz w:val="18"/>
        </w:rPr>
        <w:t xml:space="preserve"> </w:t>
      </w:r>
      <w:r>
        <w:rPr>
          <w:sz w:val="18"/>
        </w:rPr>
        <w:t>Ibid.</w:t>
      </w:r>
      <w:r>
        <w:rPr>
          <w:spacing w:val="-1"/>
          <w:sz w:val="18"/>
        </w:rPr>
        <w:t xml:space="preserve"> </w:t>
      </w:r>
      <w:r>
        <w:rPr>
          <w:sz w:val="18"/>
        </w:rPr>
        <w:t>It</w:t>
      </w:r>
      <w:r>
        <w:rPr>
          <w:spacing w:val="-1"/>
          <w:sz w:val="18"/>
        </w:rPr>
        <w:t xml:space="preserve"> </w:t>
      </w:r>
      <w:r>
        <w:rPr>
          <w:sz w:val="18"/>
        </w:rPr>
        <w:t>is</w:t>
      </w:r>
      <w:r>
        <w:rPr>
          <w:spacing w:val="-1"/>
          <w:sz w:val="18"/>
        </w:rPr>
        <w:t xml:space="preserve"> </w:t>
      </w:r>
      <w:r>
        <w:rPr>
          <w:sz w:val="18"/>
        </w:rPr>
        <w:t>noted that</w:t>
      </w:r>
      <w:r>
        <w:rPr>
          <w:spacing w:val="-1"/>
          <w:sz w:val="18"/>
        </w:rPr>
        <w:t xml:space="preserve"> </w:t>
      </w:r>
      <w:r>
        <w:rPr>
          <w:sz w:val="18"/>
        </w:rPr>
        <w:t>the</w:t>
      </w:r>
      <w:r>
        <w:rPr>
          <w:spacing w:val="-2"/>
          <w:sz w:val="18"/>
        </w:rPr>
        <w:t xml:space="preserve"> </w:t>
      </w:r>
      <w:r>
        <w:rPr>
          <w:sz w:val="18"/>
        </w:rPr>
        <w:t>Committee</w:t>
      </w:r>
      <w:r>
        <w:rPr>
          <w:spacing w:val="-2"/>
          <w:sz w:val="18"/>
        </w:rPr>
        <w:t xml:space="preserve"> </w:t>
      </w:r>
      <w:r>
        <w:rPr>
          <w:sz w:val="18"/>
        </w:rPr>
        <w:t>does</w:t>
      </w:r>
      <w:r>
        <w:rPr>
          <w:spacing w:val="-1"/>
          <w:sz w:val="18"/>
        </w:rPr>
        <w:t xml:space="preserve"> </w:t>
      </w:r>
      <w:r>
        <w:rPr>
          <w:sz w:val="18"/>
        </w:rPr>
        <w:t>not</w:t>
      </w:r>
      <w:r>
        <w:rPr>
          <w:spacing w:val="-1"/>
          <w:sz w:val="18"/>
        </w:rPr>
        <w:t xml:space="preserve"> </w:t>
      </w:r>
      <w:r>
        <w:rPr>
          <w:sz w:val="18"/>
        </w:rPr>
        <w:t>comment</w:t>
      </w:r>
      <w:r>
        <w:rPr>
          <w:spacing w:val="-1"/>
          <w:sz w:val="18"/>
        </w:rPr>
        <w:t xml:space="preserve"> </w:t>
      </w:r>
      <w:r>
        <w:rPr>
          <w:sz w:val="18"/>
        </w:rPr>
        <w:t>where</w:t>
      </w:r>
      <w:r>
        <w:rPr>
          <w:spacing w:val="-2"/>
          <w:sz w:val="18"/>
        </w:rPr>
        <w:t xml:space="preserve"> </w:t>
      </w:r>
      <w:r>
        <w:rPr>
          <w:sz w:val="18"/>
        </w:rPr>
        <w:t>the</w:t>
      </w:r>
      <w:r>
        <w:rPr>
          <w:spacing w:val="-2"/>
          <w:sz w:val="18"/>
        </w:rPr>
        <w:t xml:space="preserve"> </w:t>
      </w:r>
      <w:r>
        <w:rPr>
          <w:sz w:val="18"/>
        </w:rPr>
        <w:t>Bills</w:t>
      </w:r>
      <w:r>
        <w:rPr>
          <w:spacing w:val="-1"/>
          <w:sz w:val="18"/>
        </w:rPr>
        <w:t xml:space="preserve"> </w:t>
      </w:r>
      <w:r>
        <w:rPr>
          <w:sz w:val="18"/>
        </w:rPr>
        <w:t>may not</w:t>
      </w:r>
      <w:r>
        <w:rPr>
          <w:spacing w:val="-1"/>
          <w:sz w:val="18"/>
        </w:rPr>
        <w:t xml:space="preserve"> </w:t>
      </w:r>
      <w:r>
        <w:rPr>
          <w:sz w:val="18"/>
        </w:rPr>
        <w:t>have</w:t>
      </w:r>
      <w:r>
        <w:rPr>
          <w:spacing w:val="-2"/>
          <w:sz w:val="18"/>
        </w:rPr>
        <w:t xml:space="preserve"> </w:t>
      </w:r>
      <w:r>
        <w:rPr>
          <w:sz w:val="18"/>
        </w:rPr>
        <w:t>engaged any human rights,</w:t>
      </w:r>
      <w:r>
        <w:rPr>
          <w:spacing w:val="-1"/>
          <w:sz w:val="18"/>
        </w:rPr>
        <w:t xml:space="preserve"> </w:t>
      </w:r>
      <w:r>
        <w:rPr>
          <w:sz w:val="18"/>
        </w:rPr>
        <w:t>may have promoted human rights, may have limited rights but it appeared these were permissible limits, and/or raised only marginal human rights concerns.</w:t>
      </w:r>
    </w:p>
    <w:p w14:paraId="7CB25E0E" w14:textId="77777777" w:rsidR="008A4099" w:rsidRDefault="006A6EE2">
      <w:pPr>
        <w:spacing w:before="16"/>
        <w:ind w:left="160"/>
        <w:rPr>
          <w:sz w:val="18"/>
        </w:rPr>
      </w:pPr>
      <w:r>
        <w:rPr>
          <w:sz w:val="18"/>
          <w:vertAlign w:val="superscript"/>
        </w:rPr>
        <w:t>128</w:t>
      </w:r>
      <w:r>
        <w:rPr>
          <w:spacing w:val="6"/>
          <w:sz w:val="18"/>
        </w:rPr>
        <w:t xml:space="preserve"> </w:t>
      </w:r>
      <w:r>
        <w:rPr>
          <w:sz w:val="18"/>
        </w:rPr>
        <w:t>Ibid</w:t>
      </w:r>
      <w:r>
        <w:rPr>
          <w:spacing w:val="6"/>
          <w:sz w:val="18"/>
        </w:rPr>
        <w:t xml:space="preserve"> </w:t>
      </w:r>
      <w:r>
        <w:rPr>
          <w:spacing w:val="-5"/>
          <w:sz w:val="18"/>
        </w:rPr>
        <w:t>6.</w:t>
      </w:r>
    </w:p>
    <w:p w14:paraId="7CB25E0F" w14:textId="77777777" w:rsidR="008A4099" w:rsidRDefault="006A6EE2">
      <w:pPr>
        <w:spacing w:before="23"/>
        <w:ind w:left="160"/>
        <w:rPr>
          <w:i/>
          <w:sz w:val="18"/>
        </w:rPr>
      </w:pPr>
      <w:r>
        <w:rPr>
          <w:sz w:val="18"/>
          <w:vertAlign w:val="superscript"/>
        </w:rPr>
        <w:t>129</w:t>
      </w:r>
      <w:r>
        <w:rPr>
          <w:spacing w:val="-1"/>
          <w:sz w:val="18"/>
        </w:rPr>
        <w:t xml:space="preserve"> </w:t>
      </w:r>
      <w:r>
        <w:rPr>
          <w:sz w:val="18"/>
        </w:rPr>
        <w:t>Parliamentary</w:t>
      </w:r>
      <w:r>
        <w:rPr>
          <w:spacing w:val="1"/>
          <w:sz w:val="18"/>
        </w:rPr>
        <w:t xml:space="preserve"> </w:t>
      </w:r>
      <w:r>
        <w:rPr>
          <w:sz w:val="18"/>
        </w:rPr>
        <w:t>Joint Committee on Human</w:t>
      </w:r>
      <w:r>
        <w:rPr>
          <w:spacing w:val="1"/>
          <w:sz w:val="18"/>
        </w:rPr>
        <w:t xml:space="preserve"> </w:t>
      </w:r>
      <w:r>
        <w:rPr>
          <w:sz w:val="18"/>
        </w:rPr>
        <w:t xml:space="preserve">Rights, </w:t>
      </w:r>
      <w:r>
        <w:rPr>
          <w:i/>
          <w:sz w:val="18"/>
        </w:rPr>
        <w:t>Guidance Notes</w:t>
      </w:r>
      <w:r>
        <w:rPr>
          <w:i/>
          <w:spacing w:val="-3"/>
          <w:sz w:val="18"/>
        </w:rPr>
        <w:t xml:space="preserve"> </w:t>
      </w:r>
      <w:r>
        <w:rPr>
          <w:i/>
          <w:sz w:val="18"/>
        </w:rPr>
        <w:t xml:space="preserve">and </w:t>
      </w:r>
      <w:r>
        <w:rPr>
          <w:i/>
          <w:spacing w:val="-2"/>
          <w:sz w:val="18"/>
        </w:rPr>
        <w:t>Resources</w:t>
      </w:r>
    </w:p>
    <w:p w14:paraId="7CB25E10" w14:textId="77777777" w:rsidR="008A4099" w:rsidRDefault="006A6EE2">
      <w:pPr>
        <w:spacing w:before="5"/>
        <w:ind w:left="160"/>
        <w:rPr>
          <w:sz w:val="18"/>
        </w:rPr>
      </w:pPr>
      <w:r>
        <w:rPr>
          <w:spacing w:val="-2"/>
          <w:sz w:val="18"/>
        </w:rPr>
        <w:t>&lt;https://</w:t>
      </w:r>
      <w:hyperlink r:id="rId65">
        <w:r>
          <w:rPr>
            <w:spacing w:val="-2"/>
            <w:sz w:val="18"/>
          </w:rPr>
          <w:t>www.aph.gov.au/Parliamentary_Business/Committees/Joint/Human_Rights/Guidance_Notes_and_Resources&gt;</w:t>
        </w:r>
      </w:hyperlink>
      <w:r>
        <w:rPr>
          <w:spacing w:val="-2"/>
          <w:sz w:val="18"/>
        </w:rPr>
        <w:t>.</w:t>
      </w:r>
    </w:p>
    <w:p w14:paraId="7CB25E11" w14:textId="77777777" w:rsidR="008A4099" w:rsidRDefault="006A6EE2">
      <w:pPr>
        <w:spacing w:before="18"/>
        <w:ind w:left="160"/>
        <w:rPr>
          <w:sz w:val="18"/>
        </w:rPr>
      </w:pPr>
      <w:r>
        <w:rPr>
          <w:sz w:val="18"/>
          <w:vertAlign w:val="superscript"/>
        </w:rPr>
        <w:t>130</w:t>
      </w:r>
      <w:r>
        <w:rPr>
          <w:spacing w:val="3"/>
          <w:sz w:val="18"/>
        </w:rPr>
        <w:t xml:space="preserve"> </w:t>
      </w:r>
      <w:r>
        <w:rPr>
          <w:sz w:val="18"/>
        </w:rPr>
        <w:t>Parliamentary</w:t>
      </w:r>
      <w:r>
        <w:rPr>
          <w:spacing w:val="3"/>
          <w:sz w:val="18"/>
        </w:rPr>
        <w:t xml:space="preserve"> </w:t>
      </w:r>
      <w:r>
        <w:rPr>
          <w:sz w:val="18"/>
        </w:rPr>
        <w:t>Joint</w:t>
      </w:r>
      <w:r>
        <w:rPr>
          <w:spacing w:val="3"/>
          <w:sz w:val="18"/>
        </w:rPr>
        <w:t xml:space="preserve"> </w:t>
      </w:r>
      <w:r>
        <w:rPr>
          <w:sz w:val="18"/>
        </w:rPr>
        <w:t>Committee</w:t>
      </w:r>
      <w:r>
        <w:rPr>
          <w:spacing w:val="1"/>
          <w:sz w:val="18"/>
        </w:rPr>
        <w:t xml:space="preserve"> </w:t>
      </w:r>
      <w:r>
        <w:rPr>
          <w:sz w:val="18"/>
        </w:rPr>
        <w:t>on</w:t>
      </w:r>
      <w:r>
        <w:rPr>
          <w:spacing w:val="3"/>
          <w:sz w:val="18"/>
        </w:rPr>
        <w:t xml:space="preserve"> </w:t>
      </w:r>
      <w:r>
        <w:rPr>
          <w:sz w:val="18"/>
        </w:rPr>
        <w:t>Human</w:t>
      </w:r>
      <w:r>
        <w:rPr>
          <w:spacing w:val="3"/>
          <w:sz w:val="18"/>
        </w:rPr>
        <w:t xml:space="preserve"> </w:t>
      </w:r>
      <w:r>
        <w:rPr>
          <w:sz w:val="18"/>
        </w:rPr>
        <w:t>Rights,</w:t>
      </w:r>
      <w:r>
        <w:rPr>
          <w:spacing w:val="7"/>
          <w:sz w:val="18"/>
        </w:rPr>
        <w:t xml:space="preserve"> </w:t>
      </w:r>
      <w:r>
        <w:rPr>
          <w:i/>
          <w:sz w:val="18"/>
        </w:rPr>
        <w:t>Guidance</w:t>
      </w:r>
      <w:r>
        <w:rPr>
          <w:i/>
          <w:spacing w:val="2"/>
          <w:sz w:val="18"/>
        </w:rPr>
        <w:t xml:space="preserve"> </w:t>
      </w:r>
      <w:r>
        <w:rPr>
          <w:i/>
          <w:sz w:val="18"/>
        </w:rPr>
        <w:t>Note 1:</w:t>
      </w:r>
      <w:r>
        <w:rPr>
          <w:i/>
          <w:spacing w:val="3"/>
          <w:sz w:val="18"/>
        </w:rPr>
        <w:t xml:space="preserve"> </w:t>
      </w:r>
      <w:r>
        <w:rPr>
          <w:i/>
          <w:sz w:val="18"/>
        </w:rPr>
        <w:t>Expectations</w:t>
      </w:r>
      <w:r>
        <w:rPr>
          <w:i/>
          <w:spacing w:val="2"/>
          <w:sz w:val="18"/>
        </w:rPr>
        <w:t xml:space="preserve"> </w:t>
      </w:r>
      <w:r>
        <w:rPr>
          <w:i/>
          <w:sz w:val="18"/>
        </w:rPr>
        <w:t>for</w:t>
      </w:r>
      <w:r>
        <w:rPr>
          <w:i/>
          <w:spacing w:val="2"/>
          <w:sz w:val="18"/>
        </w:rPr>
        <w:t xml:space="preserve"> </w:t>
      </w:r>
      <w:r>
        <w:rPr>
          <w:i/>
          <w:sz w:val="18"/>
        </w:rPr>
        <w:t>Statements</w:t>
      </w:r>
      <w:r>
        <w:rPr>
          <w:i/>
          <w:spacing w:val="2"/>
          <w:sz w:val="18"/>
        </w:rPr>
        <w:t xml:space="preserve"> </w:t>
      </w:r>
      <w:r>
        <w:rPr>
          <w:i/>
          <w:sz w:val="18"/>
        </w:rPr>
        <w:t>of Compatibility</w:t>
      </w:r>
      <w:r>
        <w:rPr>
          <w:i/>
          <w:spacing w:val="7"/>
          <w:sz w:val="18"/>
        </w:rPr>
        <w:t xml:space="preserve"> </w:t>
      </w:r>
      <w:r>
        <w:rPr>
          <w:spacing w:val="-2"/>
          <w:sz w:val="18"/>
        </w:rPr>
        <w:t>(2021)</w:t>
      </w:r>
    </w:p>
    <w:p w14:paraId="7CB25E12" w14:textId="77777777" w:rsidR="008A4099" w:rsidRDefault="006A6EE2">
      <w:pPr>
        <w:spacing w:before="5"/>
        <w:ind w:left="160"/>
        <w:rPr>
          <w:sz w:val="18"/>
        </w:rPr>
      </w:pPr>
      <w:r>
        <w:rPr>
          <w:spacing w:val="-2"/>
          <w:sz w:val="18"/>
        </w:rPr>
        <w:t>&lt;https://</w:t>
      </w:r>
      <w:hyperlink r:id="rId66">
        <w:r>
          <w:rPr>
            <w:spacing w:val="-2"/>
            <w:sz w:val="18"/>
          </w:rPr>
          <w:t>www.aph.gov.au/Parliamentary_Business/Committees/Joint/Human_Rights/Guidance_Notes_and_Resources&gt;</w:t>
        </w:r>
      </w:hyperlink>
      <w:r>
        <w:rPr>
          <w:spacing w:val="-2"/>
          <w:sz w:val="18"/>
        </w:rPr>
        <w:t>.</w:t>
      </w:r>
    </w:p>
    <w:p w14:paraId="7CB25E13" w14:textId="77777777" w:rsidR="008A4099" w:rsidRDefault="006A6EE2">
      <w:pPr>
        <w:spacing w:before="18" w:line="244" w:lineRule="auto"/>
        <w:ind w:left="160" w:right="679"/>
        <w:rPr>
          <w:sz w:val="18"/>
        </w:rPr>
      </w:pPr>
      <w:r>
        <w:rPr>
          <w:sz w:val="18"/>
          <w:vertAlign w:val="superscript"/>
        </w:rPr>
        <w:t>131</w:t>
      </w:r>
      <w:r>
        <w:rPr>
          <w:sz w:val="18"/>
        </w:rPr>
        <w:t xml:space="preserve"> Where there is a long break in the sitting calendar or Bills are particularly controversial, the PJCHR may release scrutiny reports outside sitting weeks.</w:t>
      </w:r>
    </w:p>
    <w:p w14:paraId="7CB25E14" w14:textId="77777777" w:rsidR="008A4099" w:rsidRDefault="006A6EE2">
      <w:pPr>
        <w:spacing w:before="15" w:line="244" w:lineRule="auto"/>
        <w:ind w:left="160" w:right="680"/>
        <w:rPr>
          <w:i/>
          <w:sz w:val="18"/>
        </w:rPr>
      </w:pPr>
      <w:r>
        <w:rPr>
          <w:sz w:val="18"/>
          <w:vertAlign w:val="superscript"/>
        </w:rPr>
        <w:t>132</w:t>
      </w:r>
      <w:r>
        <w:rPr>
          <w:sz w:val="18"/>
        </w:rPr>
        <w:t xml:space="preserve"> Where a</w:t>
      </w:r>
      <w:r>
        <w:rPr>
          <w:spacing w:val="-2"/>
          <w:sz w:val="18"/>
        </w:rPr>
        <w:t xml:space="preserve"> </w:t>
      </w:r>
      <w:r>
        <w:rPr>
          <w:sz w:val="18"/>
        </w:rPr>
        <w:t>Minister responds to a</w:t>
      </w:r>
      <w:r>
        <w:rPr>
          <w:spacing w:val="-2"/>
          <w:sz w:val="18"/>
        </w:rPr>
        <w:t xml:space="preserve"> </w:t>
      </w:r>
      <w:r>
        <w:rPr>
          <w:sz w:val="18"/>
        </w:rPr>
        <w:t>request for further</w:t>
      </w:r>
      <w:r>
        <w:rPr>
          <w:spacing w:val="-1"/>
          <w:sz w:val="18"/>
        </w:rPr>
        <w:t xml:space="preserve"> </w:t>
      </w:r>
      <w:r>
        <w:rPr>
          <w:sz w:val="18"/>
        </w:rPr>
        <w:t>information,</w:t>
      </w:r>
      <w:r>
        <w:rPr>
          <w:spacing w:val="-1"/>
          <w:sz w:val="18"/>
        </w:rPr>
        <w:t xml:space="preserve"> </w:t>
      </w:r>
      <w:r>
        <w:rPr>
          <w:sz w:val="18"/>
        </w:rPr>
        <w:t>the response</w:t>
      </w:r>
      <w:r>
        <w:rPr>
          <w:spacing w:val="-2"/>
          <w:sz w:val="18"/>
        </w:rPr>
        <w:t xml:space="preserve"> </w:t>
      </w:r>
      <w:r>
        <w:rPr>
          <w:sz w:val="18"/>
        </w:rPr>
        <w:t>is included in the</w:t>
      </w:r>
      <w:r>
        <w:rPr>
          <w:spacing w:val="-2"/>
          <w:sz w:val="18"/>
        </w:rPr>
        <w:t xml:space="preserve"> </w:t>
      </w:r>
      <w:r>
        <w:rPr>
          <w:sz w:val="18"/>
        </w:rPr>
        <w:t>subsequent</w:t>
      </w:r>
      <w:r>
        <w:rPr>
          <w:spacing w:val="-1"/>
          <w:sz w:val="18"/>
        </w:rPr>
        <w:t xml:space="preserve"> </w:t>
      </w:r>
      <w:r>
        <w:rPr>
          <w:sz w:val="18"/>
        </w:rPr>
        <w:t>scrutiny report. For</w:t>
      </w:r>
      <w:r>
        <w:rPr>
          <w:spacing w:val="24"/>
          <w:sz w:val="18"/>
        </w:rPr>
        <w:t xml:space="preserve"> </w:t>
      </w:r>
      <w:r>
        <w:rPr>
          <w:sz w:val="18"/>
        </w:rPr>
        <w:t>published</w:t>
      </w:r>
      <w:r>
        <w:rPr>
          <w:spacing w:val="25"/>
          <w:sz w:val="18"/>
        </w:rPr>
        <w:t xml:space="preserve"> </w:t>
      </w:r>
      <w:r>
        <w:rPr>
          <w:sz w:val="18"/>
        </w:rPr>
        <w:t>reports</w:t>
      </w:r>
      <w:r>
        <w:rPr>
          <w:spacing w:val="25"/>
          <w:sz w:val="18"/>
        </w:rPr>
        <w:t xml:space="preserve"> </w:t>
      </w:r>
      <w:r>
        <w:rPr>
          <w:sz w:val="18"/>
        </w:rPr>
        <w:t>and</w:t>
      </w:r>
      <w:r>
        <w:rPr>
          <w:spacing w:val="25"/>
          <w:sz w:val="18"/>
        </w:rPr>
        <w:t xml:space="preserve"> </w:t>
      </w:r>
      <w:r>
        <w:rPr>
          <w:sz w:val="18"/>
        </w:rPr>
        <w:t>Ministerial</w:t>
      </w:r>
      <w:r>
        <w:rPr>
          <w:spacing w:val="25"/>
          <w:sz w:val="18"/>
        </w:rPr>
        <w:t xml:space="preserve"> </w:t>
      </w:r>
      <w:r>
        <w:rPr>
          <w:sz w:val="18"/>
        </w:rPr>
        <w:t>responses,</w:t>
      </w:r>
      <w:r>
        <w:rPr>
          <w:spacing w:val="26"/>
          <w:sz w:val="18"/>
        </w:rPr>
        <w:t xml:space="preserve"> </w:t>
      </w:r>
      <w:r>
        <w:rPr>
          <w:sz w:val="18"/>
        </w:rPr>
        <w:t>see</w:t>
      </w:r>
      <w:r>
        <w:rPr>
          <w:spacing w:val="24"/>
          <w:sz w:val="18"/>
        </w:rPr>
        <w:t xml:space="preserve"> </w:t>
      </w:r>
      <w:r>
        <w:rPr>
          <w:sz w:val="18"/>
        </w:rPr>
        <w:t>Parliamentary</w:t>
      </w:r>
      <w:r>
        <w:rPr>
          <w:spacing w:val="25"/>
          <w:sz w:val="18"/>
        </w:rPr>
        <w:t xml:space="preserve"> </w:t>
      </w:r>
      <w:r>
        <w:rPr>
          <w:sz w:val="18"/>
        </w:rPr>
        <w:t>Joint</w:t>
      </w:r>
      <w:r>
        <w:rPr>
          <w:spacing w:val="26"/>
          <w:sz w:val="18"/>
        </w:rPr>
        <w:t xml:space="preserve"> </w:t>
      </w:r>
      <w:r>
        <w:rPr>
          <w:sz w:val="18"/>
        </w:rPr>
        <w:t>Committee</w:t>
      </w:r>
      <w:r>
        <w:rPr>
          <w:spacing w:val="23"/>
          <w:sz w:val="18"/>
        </w:rPr>
        <w:t xml:space="preserve"> </w:t>
      </w:r>
      <w:r>
        <w:rPr>
          <w:sz w:val="18"/>
        </w:rPr>
        <w:t>on</w:t>
      </w:r>
      <w:r>
        <w:rPr>
          <w:spacing w:val="26"/>
          <w:sz w:val="18"/>
        </w:rPr>
        <w:t xml:space="preserve"> </w:t>
      </w:r>
      <w:r>
        <w:rPr>
          <w:sz w:val="18"/>
        </w:rPr>
        <w:t>Human</w:t>
      </w:r>
      <w:r>
        <w:rPr>
          <w:spacing w:val="23"/>
          <w:sz w:val="18"/>
        </w:rPr>
        <w:t xml:space="preserve"> </w:t>
      </w:r>
      <w:r>
        <w:rPr>
          <w:sz w:val="18"/>
        </w:rPr>
        <w:t>Rights,</w:t>
      </w:r>
      <w:r>
        <w:rPr>
          <w:spacing w:val="32"/>
          <w:sz w:val="18"/>
        </w:rPr>
        <w:t xml:space="preserve"> </w:t>
      </w:r>
      <w:r>
        <w:rPr>
          <w:i/>
          <w:sz w:val="18"/>
        </w:rPr>
        <w:t>Scrutiny</w:t>
      </w:r>
      <w:r>
        <w:rPr>
          <w:i/>
          <w:spacing w:val="25"/>
          <w:sz w:val="18"/>
        </w:rPr>
        <w:t xml:space="preserve"> </w:t>
      </w:r>
      <w:r>
        <w:rPr>
          <w:i/>
          <w:spacing w:val="-2"/>
          <w:sz w:val="18"/>
        </w:rPr>
        <w:t>Reports</w:t>
      </w:r>
    </w:p>
    <w:p w14:paraId="7CB25E15" w14:textId="77777777" w:rsidR="008A4099" w:rsidRDefault="006A6EE2">
      <w:pPr>
        <w:spacing w:line="202" w:lineRule="exact"/>
        <w:ind w:left="160"/>
        <w:rPr>
          <w:sz w:val="18"/>
        </w:rPr>
      </w:pPr>
      <w:r>
        <w:rPr>
          <w:spacing w:val="-2"/>
          <w:sz w:val="18"/>
        </w:rPr>
        <w:t>&lt;https://</w:t>
      </w:r>
      <w:hyperlink r:id="rId67">
        <w:r>
          <w:rPr>
            <w:spacing w:val="-2"/>
            <w:sz w:val="18"/>
          </w:rPr>
          <w:t>www.aph.gov.au/Parliamentary_Business/Committees/Joint/Human_Rights/Scrutiny_reports&gt;</w:t>
        </w:r>
      </w:hyperlink>
      <w:r>
        <w:rPr>
          <w:spacing w:val="-2"/>
          <w:sz w:val="18"/>
        </w:rPr>
        <w:t>.</w:t>
      </w:r>
    </w:p>
    <w:p w14:paraId="7CB25E16" w14:textId="77777777" w:rsidR="008A4099" w:rsidRDefault="006A6EE2">
      <w:pPr>
        <w:spacing w:before="18"/>
        <w:ind w:left="160"/>
        <w:rPr>
          <w:sz w:val="18"/>
        </w:rPr>
      </w:pPr>
      <w:r>
        <w:rPr>
          <w:sz w:val="18"/>
          <w:vertAlign w:val="superscript"/>
        </w:rPr>
        <w:t>133</w:t>
      </w:r>
      <w:r>
        <w:rPr>
          <w:spacing w:val="-1"/>
          <w:sz w:val="18"/>
        </w:rPr>
        <w:t xml:space="preserve"> </w:t>
      </w:r>
      <w:r>
        <w:rPr>
          <w:sz w:val="18"/>
        </w:rPr>
        <w:t>Fletcher</w:t>
      </w:r>
      <w:r>
        <w:rPr>
          <w:spacing w:val="-1"/>
          <w:sz w:val="18"/>
        </w:rPr>
        <w:t xml:space="preserve"> </w:t>
      </w:r>
      <w:r>
        <w:rPr>
          <w:sz w:val="18"/>
        </w:rPr>
        <w:t>and</w:t>
      </w:r>
      <w:r>
        <w:rPr>
          <w:spacing w:val="-2"/>
          <w:sz w:val="18"/>
        </w:rPr>
        <w:t xml:space="preserve"> </w:t>
      </w:r>
      <w:r>
        <w:rPr>
          <w:sz w:val="18"/>
        </w:rPr>
        <w:t>Coles,</w:t>
      </w:r>
      <w:r>
        <w:rPr>
          <w:spacing w:val="-1"/>
          <w:sz w:val="18"/>
        </w:rPr>
        <w:t xml:space="preserve"> </w:t>
      </w:r>
      <w:r>
        <w:rPr>
          <w:sz w:val="18"/>
        </w:rPr>
        <w:t>‘Reflections</w:t>
      </w:r>
      <w:r>
        <w:rPr>
          <w:spacing w:val="-4"/>
          <w:sz w:val="18"/>
        </w:rPr>
        <w:t xml:space="preserve"> </w:t>
      </w:r>
      <w:r>
        <w:rPr>
          <w:sz w:val="18"/>
        </w:rPr>
        <w:t>on the</w:t>
      </w:r>
      <w:r>
        <w:rPr>
          <w:spacing w:val="-1"/>
          <w:sz w:val="18"/>
        </w:rPr>
        <w:t xml:space="preserve"> </w:t>
      </w:r>
      <w:r>
        <w:rPr>
          <w:sz w:val="18"/>
        </w:rPr>
        <w:t>10th Anniversary</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Parliamentary Joint Committee</w:t>
      </w:r>
      <w:r>
        <w:rPr>
          <w:spacing w:val="-2"/>
          <w:sz w:val="18"/>
        </w:rPr>
        <w:t xml:space="preserve"> </w:t>
      </w:r>
      <w:r>
        <w:rPr>
          <w:sz w:val="18"/>
        </w:rPr>
        <w:t>on</w:t>
      </w:r>
      <w:r>
        <w:rPr>
          <w:spacing w:val="-2"/>
          <w:sz w:val="18"/>
        </w:rPr>
        <w:t xml:space="preserve"> </w:t>
      </w:r>
      <w:r>
        <w:rPr>
          <w:sz w:val="18"/>
        </w:rPr>
        <w:t>Human Rights’</w:t>
      </w:r>
      <w:r>
        <w:rPr>
          <w:spacing w:val="-1"/>
          <w:sz w:val="18"/>
        </w:rPr>
        <w:t xml:space="preserve"> </w:t>
      </w:r>
      <w:r>
        <w:rPr>
          <w:spacing w:val="-5"/>
          <w:sz w:val="18"/>
        </w:rPr>
        <w:t>8.</w:t>
      </w:r>
    </w:p>
    <w:p w14:paraId="7CB25E17" w14:textId="77777777" w:rsidR="008A4099" w:rsidRDefault="006A6EE2">
      <w:pPr>
        <w:spacing w:before="24" w:line="247" w:lineRule="auto"/>
        <w:ind w:left="160" w:right="680"/>
        <w:rPr>
          <w:sz w:val="18"/>
        </w:rPr>
      </w:pPr>
      <w:r>
        <w:rPr>
          <w:sz w:val="18"/>
          <w:vertAlign w:val="superscript"/>
        </w:rPr>
        <w:t>134</w:t>
      </w:r>
      <w:r>
        <w:rPr>
          <w:spacing w:val="39"/>
          <w:sz w:val="18"/>
        </w:rPr>
        <w:t xml:space="preserve"> </w:t>
      </w:r>
      <w:r>
        <w:rPr>
          <w:sz w:val="18"/>
        </w:rPr>
        <w:t>Australian</w:t>
      </w:r>
      <w:r>
        <w:rPr>
          <w:spacing w:val="40"/>
          <w:sz w:val="18"/>
        </w:rPr>
        <w:t xml:space="preserve"> </w:t>
      </w:r>
      <w:r>
        <w:rPr>
          <w:sz w:val="18"/>
        </w:rPr>
        <w:t>Law</w:t>
      </w:r>
      <w:r>
        <w:rPr>
          <w:spacing w:val="38"/>
          <w:sz w:val="18"/>
        </w:rPr>
        <w:t xml:space="preserve"> </w:t>
      </w:r>
      <w:r>
        <w:rPr>
          <w:sz w:val="18"/>
        </w:rPr>
        <w:t>Reform</w:t>
      </w:r>
      <w:r>
        <w:rPr>
          <w:spacing w:val="38"/>
          <w:sz w:val="18"/>
        </w:rPr>
        <w:t xml:space="preserve"> </w:t>
      </w:r>
      <w:r>
        <w:rPr>
          <w:sz w:val="18"/>
        </w:rPr>
        <w:t>Commission,</w:t>
      </w:r>
      <w:r>
        <w:rPr>
          <w:spacing w:val="40"/>
          <w:sz w:val="18"/>
        </w:rPr>
        <w:t xml:space="preserve"> </w:t>
      </w:r>
      <w:hyperlink r:id="rId68">
        <w:r>
          <w:rPr>
            <w:i/>
            <w:sz w:val="18"/>
          </w:rPr>
          <w:t>Traditional</w:t>
        </w:r>
        <w:r>
          <w:rPr>
            <w:i/>
            <w:spacing w:val="40"/>
            <w:sz w:val="18"/>
          </w:rPr>
          <w:t xml:space="preserve"> </w:t>
        </w:r>
        <w:r>
          <w:rPr>
            <w:i/>
            <w:sz w:val="18"/>
          </w:rPr>
          <w:t>Rights</w:t>
        </w:r>
        <w:r>
          <w:rPr>
            <w:i/>
            <w:spacing w:val="40"/>
            <w:sz w:val="18"/>
          </w:rPr>
          <w:t xml:space="preserve"> </w:t>
        </w:r>
        <w:r>
          <w:rPr>
            <w:i/>
            <w:sz w:val="18"/>
          </w:rPr>
          <w:t>And</w:t>
        </w:r>
        <w:r>
          <w:rPr>
            <w:i/>
            <w:spacing w:val="40"/>
            <w:sz w:val="18"/>
          </w:rPr>
          <w:t xml:space="preserve"> </w:t>
        </w:r>
        <w:r>
          <w:rPr>
            <w:i/>
            <w:sz w:val="18"/>
          </w:rPr>
          <w:t>Freedoms—Encroachments</w:t>
        </w:r>
        <w:r>
          <w:rPr>
            <w:i/>
            <w:spacing w:val="40"/>
            <w:sz w:val="18"/>
          </w:rPr>
          <w:t xml:space="preserve"> </w:t>
        </w:r>
        <w:r>
          <w:rPr>
            <w:i/>
            <w:sz w:val="18"/>
          </w:rPr>
          <w:t>By</w:t>
        </w:r>
        <w:r>
          <w:rPr>
            <w:i/>
            <w:spacing w:val="40"/>
            <w:sz w:val="18"/>
          </w:rPr>
          <w:t xml:space="preserve"> </w:t>
        </w:r>
        <w:r>
          <w:rPr>
            <w:i/>
            <w:sz w:val="18"/>
          </w:rPr>
          <w:t>Commonwealth</w:t>
        </w:r>
        <w:r>
          <w:rPr>
            <w:i/>
            <w:spacing w:val="40"/>
            <w:sz w:val="18"/>
          </w:rPr>
          <w:t xml:space="preserve"> </w:t>
        </w:r>
        <w:r>
          <w:rPr>
            <w:i/>
            <w:sz w:val="18"/>
          </w:rPr>
          <w:t>Laws</w:t>
        </w:r>
      </w:hyperlink>
      <w:r>
        <w:rPr>
          <w:i/>
          <w:sz w:val="18"/>
        </w:rPr>
        <w:t xml:space="preserve"> </w:t>
      </w:r>
      <w:hyperlink r:id="rId69">
        <w:r>
          <w:rPr>
            <w:sz w:val="18"/>
          </w:rPr>
          <w:t>(ALRC</w:t>
        </w:r>
        <w:r>
          <w:rPr>
            <w:spacing w:val="13"/>
            <w:sz w:val="18"/>
          </w:rPr>
          <w:t xml:space="preserve"> </w:t>
        </w:r>
        <w:r>
          <w:rPr>
            <w:sz w:val="18"/>
          </w:rPr>
          <w:t>Report</w:t>
        </w:r>
        <w:r>
          <w:rPr>
            <w:spacing w:val="10"/>
            <w:sz w:val="18"/>
          </w:rPr>
          <w:t xml:space="preserve"> </w:t>
        </w:r>
        <w:r>
          <w:rPr>
            <w:sz w:val="18"/>
          </w:rPr>
          <w:t>129,</w:t>
        </w:r>
        <w:r>
          <w:rPr>
            <w:spacing w:val="11"/>
            <w:sz w:val="18"/>
          </w:rPr>
          <w:t xml:space="preserve"> </w:t>
        </w:r>
        <w:r>
          <w:rPr>
            <w:sz w:val="18"/>
          </w:rPr>
          <w:t>2016)</w:t>
        </w:r>
      </w:hyperlink>
      <w:r>
        <w:rPr>
          <w:spacing w:val="7"/>
          <w:sz w:val="18"/>
        </w:rPr>
        <w:t xml:space="preserve"> </w:t>
      </w:r>
      <w:r>
        <w:rPr>
          <w:sz w:val="18"/>
        </w:rPr>
        <w:t>ch 3</w:t>
      </w:r>
      <w:r>
        <w:rPr>
          <w:spacing w:val="8"/>
          <w:sz w:val="18"/>
        </w:rPr>
        <w:t xml:space="preserve"> </w:t>
      </w:r>
      <w:r>
        <w:rPr>
          <w:sz w:val="18"/>
        </w:rPr>
        <w:t>[3.79].</w:t>
      </w:r>
      <w:r>
        <w:rPr>
          <w:spacing w:val="7"/>
          <w:sz w:val="18"/>
        </w:rPr>
        <w:t xml:space="preserve"> </w:t>
      </w:r>
      <w:r>
        <w:rPr>
          <w:sz w:val="18"/>
        </w:rPr>
        <w:t>It is</w:t>
      </w:r>
      <w:r>
        <w:rPr>
          <w:spacing w:val="7"/>
          <w:sz w:val="18"/>
        </w:rPr>
        <w:t xml:space="preserve"> </w:t>
      </w:r>
      <w:r>
        <w:rPr>
          <w:sz w:val="18"/>
        </w:rPr>
        <w:t>not</w:t>
      </w:r>
      <w:r>
        <w:rPr>
          <w:spacing w:val="7"/>
          <w:sz w:val="18"/>
        </w:rPr>
        <w:t xml:space="preserve"> </w:t>
      </w:r>
      <w:r>
        <w:rPr>
          <w:sz w:val="18"/>
        </w:rPr>
        <w:t>stated how</w:t>
      </w:r>
      <w:r>
        <w:rPr>
          <w:spacing w:val="7"/>
          <w:sz w:val="18"/>
        </w:rPr>
        <w:t xml:space="preserve"> </w:t>
      </w:r>
      <w:r>
        <w:rPr>
          <w:sz w:val="18"/>
        </w:rPr>
        <w:t>many</w:t>
      </w:r>
      <w:r>
        <w:rPr>
          <w:spacing w:val="8"/>
          <w:sz w:val="18"/>
        </w:rPr>
        <w:t xml:space="preserve"> </w:t>
      </w:r>
      <w:r>
        <w:rPr>
          <w:sz w:val="18"/>
        </w:rPr>
        <w:t>Bills</w:t>
      </w:r>
      <w:r>
        <w:rPr>
          <w:spacing w:val="7"/>
          <w:sz w:val="18"/>
        </w:rPr>
        <w:t xml:space="preserve"> </w:t>
      </w:r>
      <w:r>
        <w:rPr>
          <w:sz w:val="18"/>
        </w:rPr>
        <w:t>were passed</w:t>
      </w:r>
      <w:r>
        <w:rPr>
          <w:spacing w:val="8"/>
          <w:sz w:val="18"/>
        </w:rPr>
        <w:t xml:space="preserve"> </w:t>
      </w:r>
      <w:r>
        <w:rPr>
          <w:sz w:val="18"/>
        </w:rPr>
        <w:t>after</w:t>
      </w:r>
      <w:r>
        <w:rPr>
          <w:spacing w:val="7"/>
          <w:sz w:val="18"/>
        </w:rPr>
        <w:t xml:space="preserve"> </w:t>
      </w:r>
      <w:r>
        <w:rPr>
          <w:sz w:val="18"/>
        </w:rPr>
        <w:t>the PJCHR completed</w:t>
      </w:r>
      <w:r>
        <w:rPr>
          <w:spacing w:val="8"/>
          <w:sz w:val="18"/>
        </w:rPr>
        <w:t xml:space="preserve"> </w:t>
      </w:r>
      <w:r>
        <w:rPr>
          <w:sz w:val="18"/>
        </w:rPr>
        <w:t>its</w:t>
      </w:r>
      <w:r>
        <w:rPr>
          <w:spacing w:val="7"/>
          <w:sz w:val="18"/>
        </w:rPr>
        <w:t xml:space="preserve"> </w:t>
      </w:r>
      <w:r>
        <w:rPr>
          <w:sz w:val="18"/>
        </w:rPr>
        <w:t xml:space="preserve">review. </w:t>
      </w:r>
      <w:r>
        <w:rPr>
          <w:sz w:val="18"/>
          <w:vertAlign w:val="superscript"/>
        </w:rPr>
        <w:t>135</w:t>
      </w:r>
      <w:r>
        <w:rPr>
          <w:spacing w:val="-6"/>
          <w:sz w:val="18"/>
        </w:rPr>
        <w:t xml:space="preserve"> </w:t>
      </w:r>
      <w:r>
        <w:rPr>
          <w:sz w:val="18"/>
        </w:rPr>
        <w:t>Fletcher</w:t>
      </w:r>
      <w:r>
        <w:rPr>
          <w:spacing w:val="-8"/>
          <w:sz w:val="18"/>
        </w:rPr>
        <w:t xml:space="preserve"> </w:t>
      </w:r>
      <w:r>
        <w:rPr>
          <w:sz w:val="18"/>
        </w:rPr>
        <w:t>and</w:t>
      </w:r>
      <w:r>
        <w:rPr>
          <w:spacing w:val="-7"/>
          <w:sz w:val="18"/>
        </w:rPr>
        <w:t xml:space="preserve"> </w:t>
      </w:r>
      <w:r>
        <w:rPr>
          <w:sz w:val="18"/>
        </w:rPr>
        <w:t>Coles,</w:t>
      </w:r>
      <w:r>
        <w:rPr>
          <w:spacing w:val="-6"/>
          <w:sz w:val="18"/>
        </w:rPr>
        <w:t xml:space="preserve"> </w:t>
      </w:r>
      <w:r>
        <w:rPr>
          <w:sz w:val="18"/>
        </w:rPr>
        <w:t>‘Reflections</w:t>
      </w:r>
      <w:r>
        <w:rPr>
          <w:spacing w:val="-9"/>
          <w:sz w:val="18"/>
        </w:rPr>
        <w:t xml:space="preserve"> </w:t>
      </w:r>
      <w:r>
        <w:rPr>
          <w:sz w:val="18"/>
        </w:rPr>
        <w:t>on</w:t>
      </w:r>
      <w:r>
        <w:rPr>
          <w:spacing w:val="-7"/>
          <w:sz w:val="18"/>
        </w:rPr>
        <w:t xml:space="preserve"> </w:t>
      </w:r>
      <w:r>
        <w:rPr>
          <w:sz w:val="18"/>
        </w:rPr>
        <w:t>the</w:t>
      </w:r>
      <w:r>
        <w:rPr>
          <w:spacing w:val="-9"/>
          <w:sz w:val="18"/>
        </w:rPr>
        <w:t xml:space="preserve"> </w:t>
      </w:r>
      <w:r>
        <w:rPr>
          <w:sz w:val="18"/>
        </w:rPr>
        <w:t>10th</w:t>
      </w:r>
      <w:r>
        <w:rPr>
          <w:spacing w:val="-7"/>
          <w:sz w:val="18"/>
        </w:rPr>
        <w:t xml:space="preserve"> </w:t>
      </w:r>
      <w:r>
        <w:rPr>
          <w:sz w:val="18"/>
        </w:rPr>
        <w:t>Anniversary</w:t>
      </w:r>
      <w:r>
        <w:rPr>
          <w:spacing w:val="-7"/>
          <w:sz w:val="18"/>
        </w:rPr>
        <w:t xml:space="preserve"> </w:t>
      </w:r>
      <w:r>
        <w:rPr>
          <w:sz w:val="18"/>
        </w:rPr>
        <w:t>of</w:t>
      </w:r>
      <w:r>
        <w:rPr>
          <w:spacing w:val="-6"/>
          <w:sz w:val="18"/>
        </w:rPr>
        <w:t xml:space="preserve"> </w:t>
      </w:r>
      <w:r>
        <w:rPr>
          <w:sz w:val="18"/>
        </w:rPr>
        <w:t>the</w:t>
      </w:r>
      <w:r>
        <w:rPr>
          <w:spacing w:val="-9"/>
          <w:sz w:val="18"/>
        </w:rPr>
        <w:t xml:space="preserve"> </w:t>
      </w:r>
      <w:r>
        <w:rPr>
          <w:sz w:val="18"/>
        </w:rPr>
        <w:t>Parliamentary</w:t>
      </w:r>
      <w:r>
        <w:rPr>
          <w:spacing w:val="-6"/>
          <w:sz w:val="18"/>
        </w:rPr>
        <w:t xml:space="preserve"> </w:t>
      </w:r>
      <w:r>
        <w:rPr>
          <w:sz w:val="18"/>
        </w:rPr>
        <w:t>Joint</w:t>
      </w:r>
      <w:r>
        <w:rPr>
          <w:spacing w:val="-8"/>
          <w:sz w:val="18"/>
        </w:rPr>
        <w:t xml:space="preserve"> </w:t>
      </w:r>
      <w:r>
        <w:rPr>
          <w:sz w:val="18"/>
        </w:rPr>
        <w:t>Committee</w:t>
      </w:r>
      <w:r>
        <w:rPr>
          <w:spacing w:val="-9"/>
          <w:sz w:val="18"/>
        </w:rPr>
        <w:t xml:space="preserve"> </w:t>
      </w:r>
      <w:r>
        <w:rPr>
          <w:sz w:val="18"/>
        </w:rPr>
        <w:t>on</w:t>
      </w:r>
      <w:r>
        <w:rPr>
          <w:spacing w:val="-7"/>
          <w:sz w:val="18"/>
        </w:rPr>
        <w:t xml:space="preserve"> </w:t>
      </w:r>
      <w:r>
        <w:rPr>
          <w:sz w:val="18"/>
        </w:rPr>
        <w:t>Human</w:t>
      </w:r>
      <w:r>
        <w:rPr>
          <w:spacing w:val="-6"/>
          <w:sz w:val="18"/>
        </w:rPr>
        <w:t xml:space="preserve"> </w:t>
      </w:r>
      <w:r>
        <w:rPr>
          <w:sz w:val="18"/>
        </w:rPr>
        <w:t>Rights’</w:t>
      </w:r>
      <w:r>
        <w:rPr>
          <w:spacing w:val="-8"/>
          <w:sz w:val="18"/>
        </w:rPr>
        <w:t xml:space="preserve"> </w:t>
      </w:r>
      <w:r>
        <w:rPr>
          <w:sz w:val="18"/>
        </w:rPr>
        <w:t>9.</w:t>
      </w:r>
      <w:r>
        <w:rPr>
          <w:spacing w:val="-6"/>
          <w:sz w:val="18"/>
        </w:rPr>
        <w:t xml:space="preserve"> </w:t>
      </w:r>
      <w:r>
        <w:rPr>
          <w:sz w:val="18"/>
        </w:rPr>
        <w:t>It</w:t>
      </w:r>
      <w:r>
        <w:rPr>
          <w:spacing w:val="-6"/>
          <w:sz w:val="18"/>
        </w:rPr>
        <w:t xml:space="preserve"> </w:t>
      </w:r>
      <w:r>
        <w:rPr>
          <w:sz w:val="18"/>
        </w:rPr>
        <w:t>was noted that there was a spike in the number of Bills that passed before the Committee’s comment in 2021. This was largely attributable to legislation which was passed in response to the COVID-19 pandemic.</w:t>
      </w:r>
    </w:p>
    <w:p w14:paraId="7CB25E18" w14:textId="77777777" w:rsidR="008A4099" w:rsidRDefault="008A4099">
      <w:pPr>
        <w:spacing w:line="247" w:lineRule="auto"/>
        <w:rPr>
          <w:sz w:val="18"/>
        </w:rPr>
        <w:sectPr w:rsidR="008A4099" w:rsidSect="00D43B2D">
          <w:pgSz w:w="11910" w:h="16840"/>
          <w:pgMar w:top="980" w:right="760" w:bottom="940" w:left="1280" w:header="718" w:footer="753" w:gutter="0"/>
          <w:cols w:space="720"/>
        </w:sectPr>
      </w:pPr>
    </w:p>
    <w:p w14:paraId="7CB25E19" w14:textId="77777777" w:rsidR="008A4099" w:rsidRDefault="008A4099">
      <w:pPr>
        <w:pStyle w:val="BodyText"/>
        <w:spacing w:before="194"/>
      </w:pPr>
    </w:p>
    <w:p w14:paraId="7CB25E1A" w14:textId="77777777" w:rsidR="008A4099" w:rsidRDefault="006A6EE2">
      <w:pPr>
        <w:pStyle w:val="BodyText"/>
        <w:ind w:left="160"/>
      </w:pPr>
      <w:r>
        <w:t>to</w:t>
      </w:r>
      <w:r>
        <w:rPr>
          <w:spacing w:val="40"/>
        </w:rPr>
        <w:t xml:space="preserve"> </w:t>
      </w:r>
      <w:r>
        <w:t>provide</w:t>
      </w:r>
      <w:r>
        <w:rPr>
          <w:spacing w:val="40"/>
        </w:rPr>
        <w:t xml:space="preserve"> </w:t>
      </w:r>
      <w:r>
        <w:t>consistent</w:t>
      </w:r>
      <w:r>
        <w:rPr>
          <w:spacing w:val="40"/>
        </w:rPr>
        <w:t xml:space="preserve"> </w:t>
      </w:r>
      <w:r>
        <w:t>scrutiny</w:t>
      </w:r>
      <w:r>
        <w:rPr>
          <w:spacing w:val="40"/>
        </w:rPr>
        <w:t xml:space="preserve"> </w:t>
      </w:r>
      <w:r>
        <w:t>of</w:t>
      </w:r>
      <w:r>
        <w:rPr>
          <w:spacing w:val="40"/>
        </w:rPr>
        <w:t xml:space="preserve"> </w:t>
      </w:r>
      <w:r>
        <w:t>legislation.</w:t>
      </w:r>
      <w:r>
        <w:rPr>
          <w:spacing w:val="40"/>
        </w:rPr>
        <w:t xml:space="preserve"> </w:t>
      </w:r>
      <w:r>
        <w:t>The</w:t>
      </w:r>
      <w:r>
        <w:rPr>
          <w:spacing w:val="40"/>
        </w:rPr>
        <w:t xml:space="preserve"> </w:t>
      </w:r>
      <w:r>
        <w:t>limitations</w:t>
      </w:r>
      <w:r>
        <w:rPr>
          <w:spacing w:val="40"/>
        </w:rPr>
        <w:t xml:space="preserve"> </w:t>
      </w:r>
      <w:r>
        <w:t>of</w:t>
      </w:r>
      <w:r>
        <w:rPr>
          <w:spacing w:val="40"/>
        </w:rPr>
        <w:t xml:space="preserve"> </w:t>
      </w:r>
      <w:r>
        <w:t>the</w:t>
      </w:r>
      <w:r>
        <w:rPr>
          <w:spacing w:val="40"/>
        </w:rPr>
        <w:t xml:space="preserve"> </w:t>
      </w:r>
      <w:r>
        <w:t>Commonwealth</w:t>
      </w:r>
      <w:r>
        <w:rPr>
          <w:spacing w:val="40"/>
        </w:rPr>
        <w:t xml:space="preserve"> </w:t>
      </w:r>
      <w:r>
        <w:t>approach</w:t>
      </w:r>
      <w:r>
        <w:rPr>
          <w:spacing w:val="40"/>
        </w:rPr>
        <w:t xml:space="preserve"> </w:t>
      </w:r>
      <w:r>
        <w:t>are described by Professor George Williams and Daniel Reynolds.</w:t>
      </w:r>
    </w:p>
    <w:p w14:paraId="7CB25E1B" w14:textId="77777777" w:rsidR="008A4099" w:rsidRDefault="006A6EE2">
      <w:pPr>
        <w:pStyle w:val="BodyText"/>
        <w:spacing w:before="241" w:line="276" w:lineRule="auto"/>
        <w:ind w:left="868" w:right="1338"/>
        <w:jc w:val="both"/>
        <w:rPr>
          <w:sz w:val="13"/>
        </w:rPr>
      </w:pPr>
      <w:r>
        <w:t>This regime differs from mechanisms in other democratic nations in that the role of assessing laws against human rights standards and protecting against infringements is vested exclusively in Parliament. No role is provided to the courts, nor does Australia possess, at the federal level, a national Bill of Rights.</w:t>
      </w:r>
      <w:r>
        <w:rPr>
          <w:position w:val="7"/>
          <w:sz w:val="13"/>
        </w:rPr>
        <w:t>136</w:t>
      </w:r>
    </w:p>
    <w:p w14:paraId="7CB25E1C" w14:textId="77777777" w:rsidR="008A4099" w:rsidRDefault="006A6EE2">
      <w:pPr>
        <w:pStyle w:val="ListParagraph"/>
        <w:numPr>
          <w:ilvl w:val="2"/>
          <w:numId w:val="9"/>
        </w:numPr>
        <w:tabs>
          <w:tab w:val="left" w:pos="879"/>
        </w:tabs>
        <w:spacing w:before="243" w:line="237" w:lineRule="auto"/>
        <w:ind w:right="676" w:firstLine="0"/>
        <w:jc w:val="both"/>
      </w:pPr>
      <w:r>
        <w:t>Williams</w:t>
      </w:r>
      <w:r>
        <w:rPr>
          <w:spacing w:val="-6"/>
        </w:rPr>
        <w:t xml:space="preserve"> </w:t>
      </w:r>
      <w:r>
        <w:t>and</w:t>
      </w:r>
      <w:r>
        <w:rPr>
          <w:spacing w:val="-4"/>
        </w:rPr>
        <w:t xml:space="preserve"> </w:t>
      </w:r>
      <w:r>
        <w:t>Reynolds</w:t>
      </w:r>
      <w:r>
        <w:rPr>
          <w:spacing w:val="-6"/>
        </w:rPr>
        <w:t xml:space="preserve"> </w:t>
      </w:r>
      <w:r>
        <w:t>express</w:t>
      </w:r>
      <w:r>
        <w:rPr>
          <w:spacing w:val="-7"/>
        </w:rPr>
        <w:t xml:space="preserve"> </w:t>
      </w:r>
      <w:r>
        <w:t>the</w:t>
      </w:r>
      <w:r>
        <w:rPr>
          <w:spacing w:val="-4"/>
        </w:rPr>
        <w:t xml:space="preserve"> </w:t>
      </w:r>
      <w:r>
        <w:t>view</w:t>
      </w:r>
      <w:r>
        <w:rPr>
          <w:spacing w:val="-8"/>
        </w:rPr>
        <w:t xml:space="preserve"> </w:t>
      </w:r>
      <w:r>
        <w:t>that</w:t>
      </w:r>
      <w:r>
        <w:rPr>
          <w:spacing w:val="-6"/>
        </w:rPr>
        <w:t xml:space="preserve"> </w:t>
      </w:r>
      <w:r>
        <w:t>the</w:t>
      </w:r>
      <w:r>
        <w:rPr>
          <w:spacing w:val="-7"/>
        </w:rPr>
        <w:t xml:space="preserve"> </w:t>
      </w:r>
      <w:r>
        <w:t>oversight</w:t>
      </w:r>
      <w:r>
        <w:rPr>
          <w:spacing w:val="-4"/>
        </w:rPr>
        <w:t xml:space="preserve"> </w:t>
      </w:r>
      <w:r>
        <w:t>provided</w:t>
      </w:r>
      <w:r>
        <w:rPr>
          <w:spacing w:val="-7"/>
        </w:rPr>
        <w:t xml:space="preserve"> </w:t>
      </w:r>
      <w:r>
        <w:t>by</w:t>
      </w:r>
      <w:r>
        <w:rPr>
          <w:spacing w:val="-7"/>
        </w:rPr>
        <w:t xml:space="preserve"> </w:t>
      </w:r>
      <w:r>
        <w:t>the</w:t>
      </w:r>
      <w:r>
        <w:rPr>
          <w:spacing w:val="-7"/>
        </w:rPr>
        <w:t xml:space="preserve"> </w:t>
      </w:r>
      <w:r>
        <w:t>Cth</w:t>
      </w:r>
      <w:r>
        <w:rPr>
          <w:spacing w:val="-7"/>
        </w:rPr>
        <w:t xml:space="preserve"> </w:t>
      </w:r>
      <w:r>
        <w:t>Scrutiny</w:t>
      </w:r>
      <w:r>
        <w:rPr>
          <w:spacing w:val="-5"/>
        </w:rPr>
        <w:t xml:space="preserve"> </w:t>
      </w:r>
      <w:r>
        <w:t>Act</w:t>
      </w:r>
      <w:r>
        <w:rPr>
          <w:spacing w:val="-4"/>
        </w:rPr>
        <w:t xml:space="preserve"> </w:t>
      </w:r>
      <w:r>
        <w:t>is often fragmented, superficial, and delayed to the point that the PJCHR’s recommendations are rarely mentioned</w:t>
      </w:r>
      <w:r>
        <w:rPr>
          <w:spacing w:val="-14"/>
        </w:rPr>
        <w:t xml:space="preserve"> </w:t>
      </w:r>
      <w:r>
        <w:t>in</w:t>
      </w:r>
      <w:r>
        <w:rPr>
          <w:spacing w:val="-14"/>
        </w:rPr>
        <w:t xml:space="preserve"> </w:t>
      </w:r>
      <w:r>
        <w:t>Parliamentary</w:t>
      </w:r>
      <w:r>
        <w:rPr>
          <w:spacing w:val="-14"/>
        </w:rPr>
        <w:t xml:space="preserve"> </w:t>
      </w:r>
      <w:r>
        <w:t>debate</w:t>
      </w:r>
      <w:r>
        <w:rPr>
          <w:spacing w:val="-13"/>
        </w:rPr>
        <w:t xml:space="preserve"> </w:t>
      </w:r>
      <w:r>
        <w:t>and</w:t>
      </w:r>
      <w:r>
        <w:rPr>
          <w:spacing w:val="-14"/>
        </w:rPr>
        <w:t xml:space="preserve"> </w:t>
      </w:r>
      <w:r>
        <w:t>have</w:t>
      </w:r>
      <w:r>
        <w:rPr>
          <w:spacing w:val="-14"/>
        </w:rPr>
        <w:t xml:space="preserve"> </w:t>
      </w:r>
      <w:r>
        <w:t>not</w:t>
      </w:r>
      <w:r>
        <w:rPr>
          <w:spacing w:val="-14"/>
        </w:rPr>
        <w:t xml:space="preserve"> </w:t>
      </w:r>
      <w:r>
        <w:t>led</w:t>
      </w:r>
      <w:r>
        <w:rPr>
          <w:spacing w:val="-13"/>
        </w:rPr>
        <w:t xml:space="preserve"> </w:t>
      </w:r>
      <w:r>
        <w:t>to</w:t>
      </w:r>
      <w:r>
        <w:rPr>
          <w:spacing w:val="-14"/>
        </w:rPr>
        <w:t xml:space="preserve"> </w:t>
      </w:r>
      <w:r>
        <w:t>better</w:t>
      </w:r>
      <w:r>
        <w:rPr>
          <w:spacing w:val="-14"/>
        </w:rPr>
        <w:t xml:space="preserve"> </w:t>
      </w:r>
      <w:r>
        <w:t>laws.</w:t>
      </w:r>
      <w:r>
        <w:rPr>
          <w:position w:val="7"/>
          <w:sz w:val="13"/>
        </w:rPr>
        <w:t>137</w:t>
      </w:r>
      <w:r>
        <w:rPr>
          <w:spacing w:val="5"/>
          <w:position w:val="7"/>
          <w:sz w:val="13"/>
        </w:rPr>
        <w:t xml:space="preserve"> </w:t>
      </w:r>
      <w:r>
        <w:t>Williams</w:t>
      </w:r>
      <w:r>
        <w:rPr>
          <w:spacing w:val="-12"/>
        </w:rPr>
        <w:t xml:space="preserve"> </w:t>
      </w:r>
      <w:r>
        <w:t>and</w:t>
      </w:r>
      <w:r>
        <w:rPr>
          <w:spacing w:val="-14"/>
        </w:rPr>
        <w:t xml:space="preserve"> </w:t>
      </w:r>
      <w:r>
        <w:t>Reynolds</w:t>
      </w:r>
      <w:r>
        <w:rPr>
          <w:spacing w:val="-12"/>
        </w:rPr>
        <w:t xml:space="preserve"> </w:t>
      </w:r>
      <w:r>
        <w:t>argue</w:t>
      </w:r>
      <w:r>
        <w:rPr>
          <w:spacing w:val="-13"/>
        </w:rPr>
        <w:t xml:space="preserve"> </w:t>
      </w:r>
      <w:r>
        <w:rPr>
          <w:spacing w:val="-2"/>
        </w:rPr>
        <w:t>that:</w:t>
      </w:r>
    </w:p>
    <w:p w14:paraId="7CB25E1D" w14:textId="77777777" w:rsidR="008A4099" w:rsidRDefault="006A6EE2">
      <w:pPr>
        <w:pStyle w:val="BodyText"/>
        <w:spacing w:before="241" w:line="276" w:lineRule="auto"/>
        <w:ind w:left="868" w:right="1341"/>
        <w:jc w:val="both"/>
        <w:rPr>
          <w:sz w:val="13"/>
        </w:rPr>
      </w:pPr>
      <w:r>
        <w:t>It is simply not realistic in [Australian’s Constitutional] system to expect that a parliamentary</w:t>
      </w:r>
      <w:r>
        <w:rPr>
          <w:spacing w:val="-13"/>
        </w:rPr>
        <w:t xml:space="preserve"> </w:t>
      </w:r>
      <w:r>
        <w:t>scrutiny</w:t>
      </w:r>
      <w:r>
        <w:rPr>
          <w:spacing w:val="-13"/>
        </w:rPr>
        <w:t xml:space="preserve"> </w:t>
      </w:r>
      <w:r>
        <w:t>regime</w:t>
      </w:r>
      <w:r>
        <w:rPr>
          <w:spacing w:val="-10"/>
        </w:rPr>
        <w:t xml:space="preserve"> </w:t>
      </w:r>
      <w:r>
        <w:t>will</w:t>
      </w:r>
      <w:r>
        <w:rPr>
          <w:spacing w:val="-12"/>
        </w:rPr>
        <w:t xml:space="preserve"> </w:t>
      </w:r>
      <w:r>
        <w:t>overcome</w:t>
      </w:r>
      <w:r>
        <w:rPr>
          <w:spacing w:val="-13"/>
        </w:rPr>
        <w:t xml:space="preserve"> </w:t>
      </w:r>
      <w:r>
        <w:t>the</w:t>
      </w:r>
      <w:r>
        <w:rPr>
          <w:spacing w:val="-13"/>
        </w:rPr>
        <w:t xml:space="preserve"> </w:t>
      </w:r>
      <w:r>
        <w:t>power</w:t>
      </w:r>
      <w:r>
        <w:rPr>
          <w:spacing w:val="-10"/>
        </w:rPr>
        <w:t xml:space="preserve"> </w:t>
      </w:r>
      <w:r>
        <w:t>imbalance</w:t>
      </w:r>
      <w:r>
        <w:rPr>
          <w:spacing w:val="-12"/>
        </w:rPr>
        <w:t xml:space="preserve"> </w:t>
      </w:r>
      <w:r>
        <w:t>between</w:t>
      </w:r>
      <w:r>
        <w:rPr>
          <w:spacing w:val="-13"/>
        </w:rPr>
        <w:t xml:space="preserve"> </w:t>
      </w:r>
      <w:r>
        <w:t>[Parliament and</w:t>
      </w:r>
      <w:r>
        <w:rPr>
          <w:spacing w:val="-5"/>
        </w:rPr>
        <w:t xml:space="preserve"> </w:t>
      </w:r>
      <w:r>
        <w:t>the</w:t>
      </w:r>
      <w:r>
        <w:rPr>
          <w:spacing w:val="-5"/>
        </w:rPr>
        <w:t xml:space="preserve"> </w:t>
      </w:r>
      <w:r>
        <w:t>Executive]</w:t>
      </w:r>
      <w:r>
        <w:rPr>
          <w:spacing w:val="-5"/>
        </w:rPr>
        <w:t xml:space="preserve"> </w:t>
      </w:r>
      <w:r>
        <w:t>…</w:t>
      </w:r>
      <w:r>
        <w:rPr>
          <w:spacing w:val="-5"/>
        </w:rPr>
        <w:t xml:space="preserve"> </w:t>
      </w:r>
      <w:r>
        <w:t>In</w:t>
      </w:r>
      <w:r>
        <w:rPr>
          <w:spacing w:val="-5"/>
        </w:rPr>
        <w:t xml:space="preserve"> </w:t>
      </w:r>
      <w:r>
        <w:t>addition,</w:t>
      </w:r>
      <w:r>
        <w:rPr>
          <w:spacing w:val="-7"/>
        </w:rPr>
        <w:t xml:space="preserve"> </w:t>
      </w:r>
      <w:r>
        <w:t>in</w:t>
      </w:r>
      <w:r>
        <w:rPr>
          <w:spacing w:val="-7"/>
        </w:rPr>
        <w:t xml:space="preserve"> </w:t>
      </w:r>
      <w:r>
        <w:t>the</w:t>
      </w:r>
      <w:r>
        <w:rPr>
          <w:spacing w:val="-5"/>
        </w:rPr>
        <w:t xml:space="preserve"> </w:t>
      </w:r>
      <w:r>
        <w:t>absence</w:t>
      </w:r>
      <w:r>
        <w:rPr>
          <w:spacing w:val="-5"/>
        </w:rPr>
        <w:t xml:space="preserve"> </w:t>
      </w:r>
      <w:r>
        <w:t>of</w:t>
      </w:r>
      <w:r>
        <w:rPr>
          <w:spacing w:val="-5"/>
        </w:rPr>
        <w:t xml:space="preserve"> </w:t>
      </w:r>
      <w:r>
        <w:t>independent</w:t>
      </w:r>
      <w:r>
        <w:rPr>
          <w:spacing w:val="-6"/>
        </w:rPr>
        <w:t xml:space="preserve"> </w:t>
      </w:r>
      <w:r>
        <w:t>judicial</w:t>
      </w:r>
      <w:r>
        <w:rPr>
          <w:spacing w:val="-6"/>
        </w:rPr>
        <w:t xml:space="preserve"> </w:t>
      </w:r>
      <w:r>
        <w:t>supervision</w:t>
      </w:r>
      <w:r>
        <w:rPr>
          <w:spacing w:val="-5"/>
        </w:rPr>
        <w:t xml:space="preserve"> </w:t>
      </w:r>
      <w:r>
        <w:t>of Parliament’s work, the incentives to comply with the regime are few.</w:t>
      </w:r>
      <w:r>
        <w:rPr>
          <w:position w:val="7"/>
          <w:sz w:val="13"/>
        </w:rPr>
        <w:t>138</w:t>
      </w:r>
    </w:p>
    <w:p w14:paraId="7CB25E1E" w14:textId="77777777" w:rsidR="008A4099" w:rsidRDefault="006A6EE2">
      <w:pPr>
        <w:pStyle w:val="ListParagraph"/>
        <w:numPr>
          <w:ilvl w:val="2"/>
          <w:numId w:val="9"/>
        </w:numPr>
        <w:tabs>
          <w:tab w:val="left" w:pos="879"/>
        </w:tabs>
        <w:spacing w:before="243" w:line="237" w:lineRule="auto"/>
        <w:ind w:right="682" w:firstLine="0"/>
        <w:jc w:val="both"/>
        <w:rPr>
          <w:sz w:val="13"/>
        </w:rPr>
      </w:pPr>
      <w:r>
        <w:t>However, the PJCHR considers that there has been a gradual acceptance by parliamentarians and the Executive of the Committee’s role, with its questions and advice to Parliament leading to an engagement with its processes that ‘appears to have progressively become an expected norm’.</w:t>
      </w:r>
      <w:r>
        <w:rPr>
          <w:position w:val="7"/>
          <w:sz w:val="13"/>
        </w:rPr>
        <w:t>139</w:t>
      </w:r>
    </w:p>
    <w:p w14:paraId="7CB25E1F" w14:textId="77777777" w:rsidR="008A4099" w:rsidRDefault="006A6EE2">
      <w:pPr>
        <w:pStyle w:val="ListParagraph"/>
        <w:numPr>
          <w:ilvl w:val="2"/>
          <w:numId w:val="9"/>
        </w:numPr>
        <w:tabs>
          <w:tab w:val="left" w:pos="879"/>
        </w:tabs>
        <w:spacing w:before="222" w:line="237" w:lineRule="auto"/>
        <w:ind w:right="675" w:firstLine="0"/>
        <w:jc w:val="both"/>
      </w:pPr>
      <w:r>
        <w:t>The</w:t>
      </w:r>
      <w:r>
        <w:rPr>
          <w:spacing w:val="-16"/>
        </w:rPr>
        <w:t xml:space="preserve"> </w:t>
      </w:r>
      <w:r>
        <w:t>lessons</w:t>
      </w:r>
      <w:r>
        <w:rPr>
          <w:spacing w:val="-14"/>
        </w:rPr>
        <w:t xml:space="preserve"> </w:t>
      </w:r>
      <w:r>
        <w:t>learned</w:t>
      </w:r>
      <w:r>
        <w:rPr>
          <w:spacing w:val="-14"/>
        </w:rPr>
        <w:t xml:space="preserve"> </w:t>
      </w:r>
      <w:r>
        <w:t>from</w:t>
      </w:r>
      <w:r>
        <w:rPr>
          <w:spacing w:val="-13"/>
        </w:rPr>
        <w:t xml:space="preserve"> </w:t>
      </w:r>
      <w:r>
        <w:t>the</w:t>
      </w:r>
      <w:r>
        <w:rPr>
          <w:spacing w:val="-14"/>
        </w:rPr>
        <w:t xml:space="preserve"> </w:t>
      </w:r>
      <w:r>
        <w:t>Commonwealth</w:t>
      </w:r>
      <w:r>
        <w:rPr>
          <w:spacing w:val="-14"/>
        </w:rPr>
        <w:t xml:space="preserve"> </w:t>
      </w:r>
      <w:r>
        <w:t>experience</w:t>
      </w:r>
      <w:r>
        <w:rPr>
          <w:spacing w:val="-14"/>
        </w:rPr>
        <w:t xml:space="preserve"> </w:t>
      </w:r>
      <w:r>
        <w:t>in</w:t>
      </w:r>
      <w:r>
        <w:rPr>
          <w:spacing w:val="-13"/>
        </w:rPr>
        <w:t xml:space="preserve"> </w:t>
      </w:r>
      <w:r>
        <w:t>a</w:t>
      </w:r>
      <w:r>
        <w:rPr>
          <w:spacing w:val="-14"/>
        </w:rPr>
        <w:t xml:space="preserve"> </w:t>
      </w:r>
      <w:r>
        <w:t>scrutiny-only</w:t>
      </w:r>
      <w:r>
        <w:rPr>
          <w:spacing w:val="-14"/>
        </w:rPr>
        <w:t xml:space="preserve"> </w:t>
      </w:r>
      <w:r>
        <w:t>model</w:t>
      </w:r>
      <w:r>
        <w:rPr>
          <w:spacing w:val="-14"/>
        </w:rPr>
        <w:t xml:space="preserve"> </w:t>
      </w:r>
      <w:r>
        <w:t>are</w:t>
      </w:r>
      <w:r>
        <w:rPr>
          <w:spacing w:val="-13"/>
        </w:rPr>
        <w:t xml:space="preserve"> </w:t>
      </w:r>
      <w:r>
        <w:t>discussed in more detail in Parts 3 and 4.</w:t>
      </w:r>
    </w:p>
    <w:p w14:paraId="7CB25E20" w14:textId="77777777" w:rsidR="008A4099" w:rsidRDefault="008A4099">
      <w:pPr>
        <w:pStyle w:val="BodyText"/>
        <w:rPr>
          <w:sz w:val="20"/>
        </w:rPr>
      </w:pPr>
    </w:p>
    <w:p w14:paraId="7CB25E21" w14:textId="77777777" w:rsidR="008A4099" w:rsidRDefault="008A4099">
      <w:pPr>
        <w:pStyle w:val="BodyText"/>
        <w:rPr>
          <w:sz w:val="20"/>
        </w:rPr>
      </w:pPr>
    </w:p>
    <w:p w14:paraId="7CB25E22" w14:textId="77777777" w:rsidR="008A4099" w:rsidRDefault="008A4099">
      <w:pPr>
        <w:pStyle w:val="BodyText"/>
        <w:rPr>
          <w:sz w:val="20"/>
        </w:rPr>
      </w:pPr>
    </w:p>
    <w:p w14:paraId="7CB25E23" w14:textId="77777777" w:rsidR="008A4099" w:rsidRDefault="008A4099">
      <w:pPr>
        <w:pStyle w:val="BodyText"/>
        <w:rPr>
          <w:sz w:val="20"/>
        </w:rPr>
      </w:pPr>
    </w:p>
    <w:p w14:paraId="7CB25E24" w14:textId="77777777" w:rsidR="008A4099" w:rsidRDefault="008A4099">
      <w:pPr>
        <w:pStyle w:val="BodyText"/>
        <w:rPr>
          <w:sz w:val="20"/>
        </w:rPr>
      </w:pPr>
    </w:p>
    <w:p w14:paraId="7CB25E25" w14:textId="77777777" w:rsidR="008A4099" w:rsidRDefault="008A4099">
      <w:pPr>
        <w:pStyle w:val="BodyText"/>
        <w:rPr>
          <w:sz w:val="20"/>
        </w:rPr>
      </w:pPr>
    </w:p>
    <w:p w14:paraId="7CB25E26" w14:textId="77777777" w:rsidR="008A4099" w:rsidRDefault="008A4099">
      <w:pPr>
        <w:pStyle w:val="BodyText"/>
        <w:rPr>
          <w:sz w:val="20"/>
        </w:rPr>
      </w:pPr>
    </w:p>
    <w:p w14:paraId="7CB25E27" w14:textId="77777777" w:rsidR="008A4099" w:rsidRDefault="008A4099">
      <w:pPr>
        <w:pStyle w:val="BodyText"/>
        <w:rPr>
          <w:sz w:val="20"/>
        </w:rPr>
      </w:pPr>
    </w:p>
    <w:p w14:paraId="7CB25E28" w14:textId="77777777" w:rsidR="008A4099" w:rsidRDefault="008A4099">
      <w:pPr>
        <w:pStyle w:val="BodyText"/>
        <w:rPr>
          <w:sz w:val="20"/>
        </w:rPr>
      </w:pPr>
    </w:p>
    <w:p w14:paraId="7CB25E29" w14:textId="77777777" w:rsidR="008A4099" w:rsidRDefault="008A4099">
      <w:pPr>
        <w:pStyle w:val="BodyText"/>
        <w:rPr>
          <w:sz w:val="20"/>
        </w:rPr>
      </w:pPr>
    </w:p>
    <w:p w14:paraId="7CB25E2A" w14:textId="77777777" w:rsidR="008A4099" w:rsidRDefault="008A4099">
      <w:pPr>
        <w:pStyle w:val="BodyText"/>
        <w:rPr>
          <w:sz w:val="20"/>
        </w:rPr>
      </w:pPr>
    </w:p>
    <w:p w14:paraId="7CB25E2B" w14:textId="77777777" w:rsidR="008A4099" w:rsidRDefault="008A4099">
      <w:pPr>
        <w:pStyle w:val="BodyText"/>
        <w:rPr>
          <w:sz w:val="20"/>
        </w:rPr>
      </w:pPr>
    </w:p>
    <w:p w14:paraId="7CB25E2C" w14:textId="77777777" w:rsidR="008A4099" w:rsidRDefault="008A4099">
      <w:pPr>
        <w:pStyle w:val="BodyText"/>
        <w:rPr>
          <w:sz w:val="20"/>
        </w:rPr>
      </w:pPr>
    </w:p>
    <w:p w14:paraId="7CB25E2D" w14:textId="77777777" w:rsidR="008A4099" w:rsidRDefault="008A4099">
      <w:pPr>
        <w:pStyle w:val="BodyText"/>
        <w:rPr>
          <w:sz w:val="20"/>
        </w:rPr>
      </w:pPr>
    </w:p>
    <w:p w14:paraId="7CB25E2E" w14:textId="77777777" w:rsidR="008A4099" w:rsidRDefault="008A4099">
      <w:pPr>
        <w:pStyle w:val="BodyText"/>
        <w:rPr>
          <w:sz w:val="20"/>
        </w:rPr>
      </w:pPr>
    </w:p>
    <w:p w14:paraId="7CB25E2F" w14:textId="77777777" w:rsidR="008A4099" w:rsidRDefault="008A4099">
      <w:pPr>
        <w:pStyle w:val="BodyText"/>
        <w:rPr>
          <w:sz w:val="20"/>
        </w:rPr>
      </w:pPr>
    </w:p>
    <w:p w14:paraId="7CB25E30" w14:textId="77777777" w:rsidR="008A4099" w:rsidRDefault="008A4099">
      <w:pPr>
        <w:pStyle w:val="BodyText"/>
        <w:rPr>
          <w:sz w:val="20"/>
        </w:rPr>
      </w:pPr>
    </w:p>
    <w:p w14:paraId="7CB25E31" w14:textId="77777777" w:rsidR="008A4099" w:rsidRDefault="008A4099">
      <w:pPr>
        <w:pStyle w:val="BodyText"/>
        <w:rPr>
          <w:sz w:val="20"/>
        </w:rPr>
      </w:pPr>
    </w:p>
    <w:p w14:paraId="7CB25E32" w14:textId="77777777" w:rsidR="008A4099" w:rsidRDefault="008A4099">
      <w:pPr>
        <w:pStyle w:val="BodyText"/>
        <w:rPr>
          <w:sz w:val="20"/>
        </w:rPr>
      </w:pPr>
    </w:p>
    <w:p w14:paraId="7CB25E33" w14:textId="77777777" w:rsidR="008A4099" w:rsidRDefault="008A4099">
      <w:pPr>
        <w:pStyle w:val="BodyText"/>
        <w:rPr>
          <w:sz w:val="20"/>
        </w:rPr>
      </w:pPr>
    </w:p>
    <w:p w14:paraId="7CB25E34" w14:textId="77777777" w:rsidR="008A4099" w:rsidRDefault="008A4099">
      <w:pPr>
        <w:pStyle w:val="BodyText"/>
        <w:rPr>
          <w:sz w:val="20"/>
        </w:rPr>
      </w:pPr>
    </w:p>
    <w:p w14:paraId="7CB25E35" w14:textId="77777777" w:rsidR="008A4099" w:rsidRDefault="008A4099">
      <w:pPr>
        <w:pStyle w:val="BodyText"/>
        <w:rPr>
          <w:sz w:val="20"/>
        </w:rPr>
      </w:pPr>
    </w:p>
    <w:p w14:paraId="7CB25E36" w14:textId="77777777" w:rsidR="008A4099" w:rsidRDefault="008A4099">
      <w:pPr>
        <w:pStyle w:val="BodyText"/>
        <w:rPr>
          <w:sz w:val="20"/>
        </w:rPr>
      </w:pPr>
    </w:p>
    <w:p w14:paraId="7CB25E37" w14:textId="77777777" w:rsidR="008A4099" w:rsidRDefault="008A4099">
      <w:pPr>
        <w:pStyle w:val="BodyText"/>
        <w:rPr>
          <w:sz w:val="20"/>
        </w:rPr>
      </w:pPr>
    </w:p>
    <w:p w14:paraId="7CB25E38" w14:textId="77777777" w:rsidR="008A4099" w:rsidRDefault="008A4099">
      <w:pPr>
        <w:pStyle w:val="BodyText"/>
        <w:rPr>
          <w:sz w:val="20"/>
        </w:rPr>
      </w:pPr>
    </w:p>
    <w:p w14:paraId="7CB25E39" w14:textId="77777777" w:rsidR="008A4099" w:rsidRDefault="006A6EE2">
      <w:pPr>
        <w:pStyle w:val="BodyText"/>
        <w:spacing w:before="8"/>
        <w:rPr>
          <w:sz w:val="20"/>
        </w:rPr>
      </w:pPr>
      <w:r>
        <w:rPr>
          <w:noProof/>
        </w:rPr>
        <mc:AlternateContent>
          <mc:Choice Requires="wps">
            <w:drawing>
              <wp:anchor distT="0" distB="0" distL="0" distR="0" simplePos="0" relativeHeight="487598592" behindDoc="1" locked="0" layoutInCell="1" allowOverlap="1" wp14:anchorId="7CB26603" wp14:editId="7CB26604">
                <wp:simplePos x="0" y="0"/>
                <wp:positionH relativeFrom="page">
                  <wp:posOffset>914704</wp:posOffset>
                </wp:positionH>
                <wp:positionV relativeFrom="paragraph">
                  <wp:posOffset>166532</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D2D761" id="Graphic 57" o:spid="_x0000_s1026" style="position:absolute;margin-left:1in;margin-top:13.1pt;width:144.0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" path="m1829054,l,,,7620r1829054,l1829054,xe" fillcolor="black" stroked="f">
                <v:path arrowok="t"/>
                <w10:wrap type="topAndBottom" anchorx="page"/>
              </v:shape>
            </w:pict>
          </mc:Fallback>
        </mc:AlternateContent>
      </w:r>
    </w:p>
    <w:p w14:paraId="7CB25E3A" w14:textId="77777777" w:rsidR="008A4099" w:rsidRDefault="006A6EE2">
      <w:pPr>
        <w:spacing w:before="112" w:line="244" w:lineRule="auto"/>
        <w:ind w:left="160" w:right="680"/>
        <w:jc w:val="both"/>
        <w:rPr>
          <w:sz w:val="18"/>
        </w:rPr>
      </w:pPr>
      <w:r>
        <w:rPr>
          <w:sz w:val="18"/>
          <w:vertAlign w:val="superscript"/>
        </w:rPr>
        <w:t>136</w:t>
      </w:r>
      <w:r>
        <w:rPr>
          <w:sz w:val="18"/>
        </w:rPr>
        <w:t xml:space="preserve"> George Williams and Daniel Reynolds, ‘The Operation and Impact of Australia’s Parliamentary Scrutiny Regime for Human Rights’ (2015) 41(2) </w:t>
      </w:r>
      <w:r>
        <w:rPr>
          <w:i/>
          <w:sz w:val="18"/>
        </w:rPr>
        <w:t xml:space="preserve">Monash University Law Review </w:t>
      </w:r>
      <w:r>
        <w:rPr>
          <w:sz w:val="18"/>
        </w:rPr>
        <w:t>469</w:t>
      </w:r>
    </w:p>
    <w:p w14:paraId="7CB25E3B" w14:textId="77777777" w:rsidR="008A4099" w:rsidRDefault="006A6EE2">
      <w:pPr>
        <w:ind w:left="160" w:right="676"/>
        <w:jc w:val="both"/>
        <w:rPr>
          <w:sz w:val="18"/>
        </w:rPr>
      </w:pPr>
      <w:r>
        <w:rPr>
          <w:sz w:val="18"/>
        </w:rPr>
        <w:t>&lt;https://</w:t>
      </w:r>
      <w:hyperlink r:id="rId70">
        <w:r>
          <w:rPr>
            <w:sz w:val="18"/>
          </w:rPr>
          <w:t>www.monash.edu/</w:t>
        </w:r>
      </w:hyperlink>
      <w:r>
        <w:rPr>
          <w:spacing w:val="80"/>
          <w:sz w:val="18"/>
          <w:u w:val="single"/>
        </w:rPr>
        <w:t xml:space="preserve"> </w:t>
      </w:r>
      <w:r>
        <w:rPr>
          <w:sz w:val="18"/>
        </w:rPr>
        <w:t>data/assets/pdf_file/0006/446181/Vol412_Williams.pdf&gt;.</w:t>
      </w:r>
      <w:r>
        <w:rPr>
          <w:spacing w:val="-10"/>
          <w:sz w:val="18"/>
        </w:rPr>
        <w:t xml:space="preserve"> </w:t>
      </w:r>
      <w:r>
        <w:rPr>
          <w:sz w:val="18"/>
        </w:rPr>
        <w:t>See</w:t>
      </w:r>
      <w:r>
        <w:rPr>
          <w:spacing w:val="-9"/>
          <w:sz w:val="18"/>
        </w:rPr>
        <w:t xml:space="preserve"> </w:t>
      </w:r>
      <w:r>
        <w:rPr>
          <w:sz w:val="18"/>
        </w:rPr>
        <w:t>also</w:t>
      </w:r>
      <w:r>
        <w:rPr>
          <w:spacing w:val="-7"/>
          <w:sz w:val="18"/>
        </w:rPr>
        <w:t xml:space="preserve"> </w:t>
      </w:r>
      <w:r>
        <w:rPr>
          <w:sz w:val="18"/>
        </w:rPr>
        <w:t>Daniel</w:t>
      </w:r>
      <w:r>
        <w:rPr>
          <w:spacing w:val="-9"/>
          <w:sz w:val="18"/>
        </w:rPr>
        <w:t xml:space="preserve"> </w:t>
      </w:r>
      <w:r>
        <w:rPr>
          <w:sz w:val="18"/>
        </w:rPr>
        <w:t>Reynolds</w:t>
      </w:r>
      <w:r>
        <w:rPr>
          <w:spacing w:val="-9"/>
          <w:sz w:val="18"/>
        </w:rPr>
        <w:t xml:space="preserve"> </w:t>
      </w:r>
      <w:r>
        <w:rPr>
          <w:sz w:val="18"/>
        </w:rPr>
        <w:t>and</w:t>
      </w:r>
      <w:r>
        <w:rPr>
          <w:spacing w:val="-10"/>
          <w:sz w:val="18"/>
        </w:rPr>
        <w:t xml:space="preserve"> </w:t>
      </w:r>
      <w:r>
        <w:rPr>
          <w:sz w:val="18"/>
        </w:rPr>
        <w:t>George Williams,</w:t>
      </w:r>
      <w:r>
        <w:rPr>
          <w:spacing w:val="-5"/>
          <w:sz w:val="18"/>
        </w:rPr>
        <w:t xml:space="preserve"> </w:t>
      </w:r>
      <w:r>
        <w:rPr>
          <w:sz w:val="18"/>
        </w:rPr>
        <w:t>‘Evaluating</w:t>
      </w:r>
      <w:r>
        <w:rPr>
          <w:spacing w:val="-4"/>
          <w:sz w:val="18"/>
        </w:rPr>
        <w:t xml:space="preserve"> </w:t>
      </w:r>
      <w:r>
        <w:rPr>
          <w:sz w:val="18"/>
        </w:rPr>
        <w:t>the</w:t>
      </w:r>
      <w:r>
        <w:rPr>
          <w:spacing w:val="-5"/>
          <w:sz w:val="18"/>
        </w:rPr>
        <w:t xml:space="preserve"> </w:t>
      </w:r>
      <w:r>
        <w:rPr>
          <w:sz w:val="18"/>
        </w:rPr>
        <w:t>Impact</w:t>
      </w:r>
      <w:r>
        <w:rPr>
          <w:spacing w:val="-5"/>
          <w:sz w:val="18"/>
        </w:rPr>
        <w:t xml:space="preserve"> </w:t>
      </w:r>
      <w:r>
        <w:rPr>
          <w:sz w:val="18"/>
        </w:rPr>
        <w:t>of</w:t>
      </w:r>
      <w:r>
        <w:rPr>
          <w:spacing w:val="-5"/>
          <w:sz w:val="18"/>
        </w:rPr>
        <w:t xml:space="preserve"> </w:t>
      </w:r>
      <w:r>
        <w:rPr>
          <w:sz w:val="18"/>
        </w:rPr>
        <w:t>Australia’s</w:t>
      </w:r>
      <w:r>
        <w:rPr>
          <w:spacing w:val="-5"/>
          <w:sz w:val="18"/>
        </w:rPr>
        <w:t xml:space="preserve"> </w:t>
      </w:r>
      <w:r>
        <w:rPr>
          <w:sz w:val="18"/>
        </w:rPr>
        <w:t>Federal</w:t>
      </w:r>
      <w:r>
        <w:rPr>
          <w:spacing w:val="-5"/>
          <w:sz w:val="18"/>
        </w:rPr>
        <w:t xml:space="preserve"> </w:t>
      </w:r>
      <w:r>
        <w:rPr>
          <w:sz w:val="18"/>
        </w:rPr>
        <w:t>Human</w:t>
      </w:r>
      <w:r>
        <w:rPr>
          <w:spacing w:val="-4"/>
          <w:sz w:val="18"/>
        </w:rPr>
        <w:t xml:space="preserve"> </w:t>
      </w:r>
      <w:r>
        <w:rPr>
          <w:sz w:val="18"/>
        </w:rPr>
        <w:t>Rights</w:t>
      </w:r>
      <w:r>
        <w:rPr>
          <w:spacing w:val="-5"/>
          <w:sz w:val="18"/>
        </w:rPr>
        <w:t xml:space="preserve"> </w:t>
      </w:r>
      <w:r>
        <w:rPr>
          <w:sz w:val="18"/>
        </w:rPr>
        <w:t>Scrutiny</w:t>
      </w:r>
      <w:r>
        <w:rPr>
          <w:spacing w:val="-4"/>
          <w:sz w:val="18"/>
        </w:rPr>
        <w:t xml:space="preserve"> </w:t>
      </w:r>
      <w:r>
        <w:rPr>
          <w:sz w:val="18"/>
        </w:rPr>
        <w:t>Regine’</w:t>
      </w:r>
      <w:r>
        <w:rPr>
          <w:spacing w:val="-2"/>
          <w:sz w:val="18"/>
        </w:rPr>
        <w:t xml:space="preserve"> </w:t>
      </w:r>
      <w:r>
        <w:rPr>
          <w:sz w:val="18"/>
        </w:rPr>
        <w:t>in</w:t>
      </w:r>
      <w:r>
        <w:rPr>
          <w:spacing w:val="-4"/>
          <w:sz w:val="18"/>
        </w:rPr>
        <w:t xml:space="preserve"> </w:t>
      </w:r>
      <w:r>
        <w:rPr>
          <w:sz w:val="18"/>
        </w:rPr>
        <w:t>Julie</w:t>
      </w:r>
      <w:r>
        <w:rPr>
          <w:spacing w:val="-5"/>
          <w:sz w:val="18"/>
        </w:rPr>
        <w:t xml:space="preserve"> </w:t>
      </w:r>
      <w:r>
        <w:rPr>
          <w:sz w:val="18"/>
        </w:rPr>
        <w:t>Debeljak</w:t>
      </w:r>
      <w:r>
        <w:rPr>
          <w:spacing w:val="-4"/>
          <w:sz w:val="18"/>
        </w:rPr>
        <w:t xml:space="preserve"> </w:t>
      </w:r>
      <w:r>
        <w:rPr>
          <w:sz w:val="18"/>
        </w:rPr>
        <w:t>and</w:t>
      </w:r>
      <w:r>
        <w:rPr>
          <w:spacing w:val="-4"/>
          <w:sz w:val="18"/>
        </w:rPr>
        <w:t xml:space="preserve"> </w:t>
      </w:r>
      <w:r>
        <w:rPr>
          <w:sz w:val="18"/>
        </w:rPr>
        <w:t>Laura</w:t>
      </w:r>
      <w:r>
        <w:rPr>
          <w:spacing w:val="-5"/>
          <w:sz w:val="18"/>
        </w:rPr>
        <w:t xml:space="preserve"> </w:t>
      </w:r>
      <w:r>
        <w:rPr>
          <w:sz w:val="18"/>
        </w:rPr>
        <w:t xml:space="preserve">Grenfell (eds), </w:t>
      </w:r>
      <w:r>
        <w:rPr>
          <w:i/>
          <w:sz w:val="18"/>
        </w:rPr>
        <w:t xml:space="preserve">Law Making and Human Rights </w:t>
      </w:r>
      <w:r>
        <w:rPr>
          <w:sz w:val="18"/>
        </w:rPr>
        <w:t>(LawBook Co, 2020) ch 3.</w:t>
      </w:r>
    </w:p>
    <w:p w14:paraId="7CB25E3C" w14:textId="77777777" w:rsidR="008A4099" w:rsidRDefault="006A6EE2">
      <w:pPr>
        <w:spacing w:before="16"/>
        <w:ind w:left="160"/>
        <w:rPr>
          <w:sz w:val="18"/>
        </w:rPr>
      </w:pPr>
      <w:r>
        <w:rPr>
          <w:sz w:val="18"/>
          <w:vertAlign w:val="superscript"/>
        </w:rPr>
        <w:t>137</w:t>
      </w:r>
      <w:r>
        <w:rPr>
          <w:spacing w:val="-1"/>
          <w:sz w:val="18"/>
        </w:rPr>
        <w:t xml:space="preserve"> </w:t>
      </w:r>
      <w:r>
        <w:rPr>
          <w:sz w:val="18"/>
        </w:rPr>
        <w:t>Fletcher</w:t>
      </w:r>
      <w:r>
        <w:rPr>
          <w:spacing w:val="-1"/>
          <w:sz w:val="18"/>
        </w:rPr>
        <w:t xml:space="preserve"> </w:t>
      </w:r>
      <w:r>
        <w:rPr>
          <w:sz w:val="18"/>
        </w:rPr>
        <w:t>and</w:t>
      </w:r>
      <w:r>
        <w:rPr>
          <w:spacing w:val="-2"/>
          <w:sz w:val="18"/>
        </w:rPr>
        <w:t xml:space="preserve"> </w:t>
      </w:r>
      <w:r>
        <w:rPr>
          <w:sz w:val="18"/>
        </w:rPr>
        <w:t>Coles,</w:t>
      </w:r>
      <w:r>
        <w:rPr>
          <w:spacing w:val="-1"/>
          <w:sz w:val="18"/>
        </w:rPr>
        <w:t xml:space="preserve"> </w:t>
      </w:r>
      <w:r>
        <w:rPr>
          <w:sz w:val="18"/>
        </w:rPr>
        <w:t>‘Reflections</w:t>
      </w:r>
      <w:r>
        <w:rPr>
          <w:spacing w:val="-4"/>
          <w:sz w:val="18"/>
        </w:rPr>
        <w:t xml:space="preserve"> </w:t>
      </w:r>
      <w:r>
        <w:rPr>
          <w:sz w:val="18"/>
        </w:rPr>
        <w:t>on the</w:t>
      </w:r>
      <w:r>
        <w:rPr>
          <w:spacing w:val="-2"/>
          <w:sz w:val="18"/>
        </w:rPr>
        <w:t xml:space="preserve"> </w:t>
      </w:r>
      <w:r>
        <w:rPr>
          <w:sz w:val="18"/>
        </w:rPr>
        <w:t>10th Anniversary</w:t>
      </w:r>
      <w:r>
        <w:rPr>
          <w:spacing w:val="-2"/>
          <w:sz w:val="18"/>
        </w:rPr>
        <w:t xml:space="preserve"> </w:t>
      </w:r>
      <w:r>
        <w:rPr>
          <w:sz w:val="18"/>
        </w:rPr>
        <w:t>of the</w:t>
      </w:r>
      <w:r>
        <w:rPr>
          <w:spacing w:val="-2"/>
          <w:sz w:val="18"/>
        </w:rPr>
        <w:t xml:space="preserve"> </w:t>
      </w:r>
      <w:r>
        <w:rPr>
          <w:sz w:val="18"/>
        </w:rPr>
        <w:t>Parliamentary Joint</w:t>
      </w:r>
      <w:r>
        <w:rPr>
          <w:spacing w:val="-1"/>
          <w:sz w:val="18"/>
        </w:rPr>
        <w:t xml:space="preserve"> </w:t>
      </w:r>
      <w:r>
        <w:rPr>
          <w:sz w:val="18"/>
        </w:rPr>
        <w:t>Committee</w:t>
      </w:r>
      <w:r>
        <w:rPr>
          <w:spacing w:val="-2"/>
          <w:sz w:val="18"/>
        </w:rPr>
        <w:t xml:space="preserve"> </w:t>
      </w:r>
      <w:r>
        <w:rPr>
          <w:sz w:val="18"/>
        </w:rPr>
        <w:t>on</w:t>
      </w:r>
      <w:r>
        <w:rPr>
          <w:spacing w:val="-2"/>
          <w:sz w:val="18"/>
        </w:rPr>
        <w:t xml:space="preserve"> </w:t>
      </w:r>
      <w:r>
        <w:rPr>
          <w:sz w:val="18"/>
        </w:rPr>
        <w:t xml:space="preserve">Human </w:t>
      </w:r>
      <w:r>
        <w:rPr>
          <w:spacing w:val="-2"/>
          <w:sz w:val="18"/>
        </w:rPr>
        <w:t>Rights’.</w:t>
      </w:r>
    </w:p>
    <w:p w14:paraId="7CB25E3D" w14:textId="77777777" w:rsidR="008A4099" w:rsidRDefault="006A6EE2">
      <w:pPr>
        <w:spacing w:before="23"/>
        <w:ind w:left="160"/>
        <w:rPr>
          <w:sz w:val="18"/>
        </w:rPr>
      </w:pPr>
      <w:r>
        <w:rPr>
          <w:sz w:val="18"/>
          <w:vertAlign w:val="superscript"/>
        </w:rPr>
        <w:t>138</w:t>
      </w:r>
      <w:r>
        <w:rPr>
          <w:spacing w:val="-4"/>
          <w:sz w:val="18"/>
        </w:rPr>
        <w:t xml:space="preserve"> </w:t>
      </w:r>
      <w:r>
        <w:rPr>
          <w:sz w:val="18"/>
        </w:rPr>
        <w:t>Williams</w:t>
      </w:r>
      <w:r>
        <w:rPr>
          <w:spacing w:val="-4"/>
          <w:sz w:val="18"/>
        </w:rPr>
        <w:t xml:space="preserve"> </w:t>
      </w:r>
      <w:r>
        <w:rPr>
          <w:sz w:val="18"/>
        </w:rPr>
        <w:t>and</w:t>
      </w:r>
      <w:r>
        <w:rPr>
          <w:spacing w:val="-5"/>
          <w:sz w:val="18"/>
        </w:rPr>
        <w:t xml:space="preserve"> </w:t>
      </w:r>
      <w:r>
        <w:rPr>
          <w:sz w:val="18"/>
        </w:rPr>
        <w:t>Reynolds,</w:t>
      </w:r>
      <w:r>
        <w:rPr>
          <w:spacing w:val="-5"/>
          <w:sz w:val="18"/>
        </w:rPr>
        <w:t xml:space="preserve"> </w:t>
      </w:r>
      <w:r>
        <w:rPr>
          <w:sz w:val="18"/>
        </w:rPr>
        <w:t>‘The</w:t>
      </w:r>
      <w:r>
        <w:rPr>
          <w:spacing w:val="-6"/>
          <w:sz w:val="18"/>
        </w:rPr>
        <w:t xml:space="preserve"> </w:t>
      </w:r>
      <w:r>
        <w:rPr>
          <w:sz w:val="18"/>
        </w:rPr>
        <w:t>Operation</w:t>
      </w:r>
      <w:r>
        <w:rPr>
          <w:spacing w:val="-2"/>
          <w:sz w:val="18"/>
        </w:rPr>
        <w:t xml:space="preserve"> </w:t>
      </w:r>
      <w:r>
        <w:rPr>
          <w:sz w:val="18"/>
        </w:rPr>
        <w:t>and</w:t>
      </w:r>
      <w:r>
        <w:rPr>
          <w:spacing w:val="-5"/>
          <w:sz w:val="18"/>
        </w:rPr>
        <w:t xml:space="preserve"> </w:t>
      </w:r>
      <w:r>
        <w:rPr>
          <w:sz w:val="18"/>
        </w:rPr>
        <w:t>Impact</w:t>
      </w:r>
      <w:r>
        <w:rPr>
          <w:spacing w:val="-5"/>
          <w:sz w:val="18"/>
        </w:rPr>
        <w:t xml:space="preserve"> </w:t>
      </w:r>
      <w:r>
        <w:rPr>
          <w:sz w:val="18"/>
        </w:rPr>
        <w:t>of</w:t>
      </w:r>
      <w:r>
        <w:rPr>
          <w:spacing w:val="-6"/>
          <w:sz w:val="18"/>
        </w:rPr>
        <w:t xml:space="preserve"> </w:t>
      </w:r>
      <w:r>
        <w:rPr>
          <w:sz w:val="18"/>
        </w:rPr>
        <w:t>Australia’s</w:t>
      </w:r>
      <w:r>
        <w:rPr>
          <w:spacing w:val="-6"/>
          <w:sz w:val="18"/>
        </w:rPr>
        <w:t xml:space="preserve"> </w:t>
      </w:r>
      <w:r>
        <w:rPr>
          <w:sz w:val="18"/>
        </w:rPr>
        <w:t>Parliamentary</w:t>
      </w:r>
      <w:r>
        <w:rPr>
          <w:spacing w:val="-3"/>
          <w:sz w:val="18"/>
        </w:rPr>
        <w:t xml:space="preserve"> </w:t>
      </w:r>
      <w:r>
        <w:rPr>
          <w:sz w:val="18"/>
        </w:rPr>
        <w:t>Scrutiny</w:t>
      </w:r>
      <w:r>
        <w:rPr>
          <w:spacing w:val="-6"/>
          <w:sz w:val="18"/>
        </w:rPr>
        <w:t xml:space="preserve"> </w:t>
      </w:r>
      <w:r>
        <w:rPr>
          <w:sz w:val="18"/>
        </w:rPr>
        <w:t>Regime</w:t>
      </w:r>
      <w:r>
        <w:rPr>
          <w:spacing w:val="-5"/>
          <w:sz w:val="18"/>
        </w:rPr>
        <w:t xml:space="preserve"> </w:t>
      </w:r>
      <w:r>
        <w:rPr>
          <w:sz w:val="18"/>
        </w:rPr>
        <w:t>for</w:t>
      </w:r>
      <w:r>
        <w:rPr>
          <w:spacing w:val="-3"/>
          <w:sz w:val="18"/>
        </w:rPr>
        <w:t xml:space="preserve"> </w:t>
      </w:r>
      <w:r>
        <w:rPr>
          <w:sz w:val="18"/>
        </w:rPr>
        <w:t>Human</w:t>
      </w:r>
      <w:r>
        <w:rPr>
          <w:spacing w:val="-5"/>
          <w:sz w:val="18"/>
        </w:rPr>
        <w:t xml:space="preserve"> </w:t>
      </w:r>
      <w:r>
        <w:rPr>
          <w:sz w:val="18"/>
        </w:rPr>
        <w:t>Rights’</w:t>
      </w:r>
      <w:r>
        <w:rPr>
          <w:spacing w:val="-6"/>
          <w:sz w:val="18"/>
        </w:rPr>
        <w:t xml:space="preserve"> </w:t>
      </w:r>
      <w:r>
        <w:rPr>
          <w:spacing w:val="-4"/>
          <w:sz w:val="18"/>
        </w:rPr>
        <w:t>507.</w:t>
      </w:r>
    </w:p>
    <w:p w14:paraId="7CB25E3E" w14:textId="77777777" w:rsidR="008A4099" w:rsidRDefault="006A6EE2">
      <w:pPr>
        <w:spacing w:before="23"/>
        <w:ind w:left="160"/>
        <w:rPr>
          <w:sz w:val="18"/>
        </w:rPr>
      </w:pPr>
      <w:r>
        <w:rPr>
          <w:sz w:val="18"/>
          <w:vertAlign w:val="superscript"/>
        </w:rPr>
        <w:t>139</w:t>
      </w:r>
      <w:r>
        <w:rPr>
          <w:spacing w:val="-1"/>
          <w:sz w:val="18"/>
        </w:rPr>
        <w:t xml:space="preserve"> </w:t>
      </w:r>
      <w:r>
        <w:rPr>
          <w:sz w:val="18"/>
        </w:rPr>
        <w:t>Fletcher</w:t>
      </w:r>
      <w:r>
        <w:rPr>
          <w:spacing w:val="-1"/>
          <w:sz w:val="18"/>
        </w:rPr>
        <w:t xml:space="preserve"> </w:t>
      </w:r>
      <w:r>
        <w:rPr>
          <w:sz w:val="18"/>
        </w:rPr>
        <w:t>and</w:t>
      </w:r>
      <w:r>
        <w:rPr>
          <w:spacing w:val="-2"/>
          <w:sz w:val="18"/>
        </w:rPr>
        <w:t xml:space="preserve"> </w:t>
      </w:r>
      <w:r>
        <w:rPr>
          <w:sz w:val="18"/>
        </w:rPr>
        <w:t>Coles,</w:t>
      </w:r>
      <w:r>
        <w:rPr>
          <w:spacing w:val="-1"/>
          <w:sz w:val="18"/>
        </w:rPr>
        <w:t xml:space="preserve"> </w:t>
      </w:r>
      <w:r>
        <w:rPr>
          <w:sz w:val="18"/>
        </w:rPr>
        <w:t>‘Reflections</w:t>
      </w:r>
      <w:r>
        <w:rPr>
          <w:spacing w:val="-4"/>
          <w:sz w:val="18"/>
        </w:rPr>
        <w:t xml:space="preserve"> </w:t>
      </w:r>
      <w:r>
        <w:rPr>
          <w:sz w:val="18"/>
        </w:rPr>
        <w:t>on the</w:t>
      </w:r>
      <w:r>
        <w:rPr>
          <w:spacing w:val="-1"/>
          <w:sz w:val="18"/>
        </w:rPr>
        <w:t xml:space="preserve"> </w:t>
      </w:r>
      <w:r>
        <w:rPr>
          <w:sz w:val="18"/>
        </w:rPr>
        <w:t>10th Anniversary</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Parliamentary Joint Committee</w:t>
      </w:r>
      <w:r>
        <w:rPr>
          <w:spacing w:val="-2"/>
          <w:sz w:val="18"/>
        </w:rPr>
        <w:t xml:space="preserve"> </w:t>
      </w:r>
      <w:r>
        <w:rPr>
          <w:sz w:val="18"/>
        </w:rPr>
        <w:t>on</w:t>
      </w:r>
      <w:r>
        <w:rPr>
          <w:spacing w:val="-2"/>
          <w:sz w:val="18"/>
        </w:rPr>
        <w:t xml:space="preserve"> </w:t>
      </w:r>
      <w:r>
        <w:rPr>
          <w:sz w:val="18"/>
        </w:rPr>
        <w:t>Human Rights’</w:t>
      </w:r>
      <w:r>
        <w:rPr>
          <w:spacing w:val="-1"/>
          <w:sz w:val="18"/>
        </w:rPr>
        <w:t xml:space="preserve"> </w:t>
      </w:r>
      <w:r>
        <w:rPr>
          <w:spacing w:val="-5"/>
          <w:sz w:val="18"/>
        </w:rPr>
        <w:t>34.</w:t>
      </w:r>
    </w:p>
    <w:p w14:paraId="7CB25E3F" w14:textId="77777777" w:rsidR="008A4099" w:rsidRDefault="008A4099">
      <w:pPr>
        <w:rPr>
          <w:sz w:val="18"/>
        </w:rPr>
        <w:sectPr w:rsidR="008A4099" w:rsidSect="00D43B2D">
          <w:pgSz w:w="11910" w:h="16840"/>
          <w:pgMar w:top="980" w:right="760" w:bottom="940" w:left="1280" w:header="718" w:footer="753" w:gutter="0"/>
          <w:cols w:space="720"/>
        </w:sectPr>
      </w:pPr>
    </w:p>
    <w:p w14:paraId="7CB25E40" w14:textId="77777777" w:rsidR="008A4099" w:rsidRDefault="008A4099">
      <w:pPr>
        <w:pStyle w:val="BodyText"/>
        <w:spacing w:before="118"/>
        <w:rPr>
          <w:sz w:val="32"/>
        </w:rPr>
      </w:pPr>
    </w:p>
    <w:p w14:paraId="7CB25E41" w14:textId="77777777" w:rsidR="008A4099" w:rsidRDefault="006A6EE2">
      <w:pPr>
        <w:ind w:left="538" w:right="1059"/>
        <w:jc w:val="center"/>
        <w:rPr>
          <w:b/>
          <w:sz w:val="32"/>
        </w:rPr>
      </w:pPr>
      <w:r>
        <w:rPr>
          <w:b/>
          <w:sz w:val="32"/>
        </w:rPr>
        <w:t>Part</w:t>
      </w:r>
      <w:r>
        <w:rPr>
          <w:b/>
          <w:spacing w:val="-8"/>
          <w:sz w:val="32"/>
        </w:rPr>
        <w:t xml:space="preserve"> </w:t>
      </w:r>
      <w:r>
        <w:rPr>
          <w:b/>
          <w:spacing w:val="-10"/>
          <w:sz w:val="32"/>
        </w:rPr>
        <w:t>3</w:t>
      </w:r>
    </w:p>
    <w:p w14:paraId="7CB25E42" w14:textId="77777777" w:rsidR="008A4099" w:rsidRDefault="008A4099">
      <w:pPr>
        <w:pStyle w:val="BodyText"/>
        <w:spacing w:before="119"/>
        <w:rPr>
          <w:b/>
          <w:sz w:val="32"/>
        </w:rPr>
      </w:pPr>
    </w:p>
    <w:p w14:paraId="7CB25E43" w14:textId="77777777" w:rsidR="008A4099" w:rsidRDefault="006A6EE2">
      <w:pPr>
        <w:pStyle w:val="Heading1"/>
      </w:pPr>
      <w:r>
        <w:t>Approaches</w:t>
      </w:r>
      <w:r>
        <w:rPr>
          <w:spacing w:val="-8"/>
        </w:rPr>
        <w:t xml:space="preserve"> </w:t>
      </w:r>
      <w:r>
        <w:t>to</w:t>
      </w:r>
      <w:r>
        <w:rPr>
          <w:spacing w:val="-6"/>
        </w:rPr>
        <w:t xml:space="preserve"> </w:t>
      </w:r>
      <w:r>
        <w:t>Human</w:t>
      </w:r>
      <w:r>
        <w:rPr>
          <w:spacing w:val="-6"/>
        </w:rPr>
        <w:t xml:space="preserve"> </w:t>
      </w:r>
      <w:r>
        <w:t>Rights</w:t>
      </w:r>
      <w:r>
        <w:rPr>
          <w:spacing w:val="-8"/>
        </w:rPr>
        <w:t xml:space="preserve"> </w:t>
      </w:r>
      <w:r>
        <w:t>in</w:t>
      </w:r>
      <w:r>
        <w:rPr>
          <w:spacing w:val="-6"/>
        </w:rPr>
        <w:t xml:space="preserve"> </w:t>
      </w:r>
      <w:r>
        <w:t>the Development of Law and Policy</w:t>
      </w:r>
    </w:p>
    <w:p w14:paraId="7CB25E44" w14:textId="77777777" w:rsidR="008A4099" w:rsidRDefault="008A4099">
      <w:pPr>
        <w:pStyle w:val="BodyText"/>
        <w:spacing w:before="42"/>
        <w:rPr>
          <w:b/>
          <w:sz w:val="52"/>
        </w:rPr>
      </w:pPr>
    </w:p>
    <w:p w14:paraId="7CB25E45" w14:textId="77777777" w:rsidR="008A4099" w:rsidRDefault="006A6EE2">
      <w:pPr>
        <w:pStyle w:val="Heading2"/>
        <w:numPr>
          <w:ilvl w:val="1"/>
          <w:numId w:val="6"/>
        </w:numPr>
        <w:tabs>
          <w:tab w:val="left" w:pos="878"/>
        </w:tabs>
        <w:ind w:left="878" w:hanging="718"/>
        <w:jc w:val="both"/>
      </w:pPr>
      <w:bookmarkStart w:id="15" w:name="_TOC_250045"/>
      <w:bookmarkEnd w:id="15"/>
      <w:r>
        <w:rPr>
          <w:spacing w:val="-2"/>
        </w:rPr>
        <w:t>Introduction</w:t>
      </w:r>
    </w:p>
    <w:p w14:paraId="7CB25E46" w14:textId="77777777" w:rsidR="008A4099" w:rsidRDefault="006A6EE2">
      <w:pPr>
        <w:pStyle w:val="ListParagraph"/>
        <w:numPr>
          <w:ilvl w:val="2"/>
          <w:numId w:val="6"/>
        </w:numPr>
        <w:tabs>
          <w:tab w:val="left" w:pos="879"/>
        </w:tabs>
        <w:ind w:right="674" w:firstLine="0"/>
        <w:jc w:val="both"/>
      </w:pPr>
      <w:r>
        <w:t>The research questions set for this Research Paper require examination of events during the Review Period (2007–2022) which involve human rights issues and may have implications for the recommendations</w:t>
      </w:r>
      <w:r>
        <w:rPr>
          <w:spacing w:val="-13"/>
        </w:rPr>
        <w:t xml:space="preserve"> </w:t>
      </w:r>
      <w:r>
        <w:t>made</w:t>
      </w:r>
      <w:r>
        <w:rPr>
          <w:spacing w:val="-10"/>
        </w:rPr>
        <w:t xml:space="preserve"> </w:t>
      </w:r>
      <w:r>
        <w:t>by</w:t>
      </w:r>
      <w:r>
        <w:rPr>
          <w:spacing w:val="-13"/>
        </w:rPr>
        <w:t xml:space="preserve"> </w:t>
      </w:r>
      <w:r>
        <w:t>the</w:t>
      </w:r>
      <w:r>
        <w:rPr>
          <w:spacing w:val="-11"/>
        </w:rPr>
        <w:t xml:space="preserve"> </w:t>
      </w:r>
      <w:r>
        <w:t>Tasmanian</w:t>
      </w:r>
      <w:r>
        <w:rPr>
          <w:spacing w:val="-11"/>
        </w:rPr>
        <w:t xml:space="preserve"> </w:t>
      </w:r>
      <w:r>
        <w:t>Law</w:t>
      </w:r>
      <w:r>
        <w:rPr>
          <w:spacing w:val="-12"/>
        </w:rPr>
        <w:t xml:space="preserve"> </w:t>
      </w:r>
      <w:r>
        <w:t>Reform</w:t>
      </w:r>
      <w:r>
        <w:rPr>
          <w:spacing w:val="-12"/>
        </w:rPr>
        <w:t xml:space="preserve"> </w:t>
      </w:r>
      <w:r>
        <w:t>Institute</w:t>
      </w:r>
      <w:r>
        <w:rPr>
          <w:spacing w:val="-11"/>
        </w:rPr>
        <w:t xml:space="preserve"> </w:t>
      </w:r>
      <w:r>
        <w:t>(‘TLRI’)</w:t>
      </w:r>
      <w:r>
        <w:rPr>
          <w:spacing w:val="-10"/>
        </w:rPr>
        <w:t xml:space="preserve"> </w:t>
      </w:r>
      <w:r>
        <w:t>in</w:t>
      </w:r>
      <w:r>
        <w:rPr>
          <w:spacing w:val="-13"/>
        </w:rPr>
        <w:t xml:space="preserve"> </w:t>
      </w:r>
      <w:r>
        <w:t>its</w:t>
      </w:r>
      <w:r>
        <w:rPr>
          <w:spacing w:val="-10"/>
        </w:rPr>
        <w:t xml:space="preserve"> </w:t>
      </w:r>
      <w:r>
        <w:t>2007</w:t>
      </w:r>
      <w:r>
        <w:rPr>
          <w:spacing w:val="-11"/>
        </w:rPr>
        <w:t xml:space="preserve"> </w:t>
      </w:r>
      <w:r>
        <w:t>Final</w:t>
      </w:r>
      <w:r>
        <w:rPr>
          <w:spacing w:val="-10"/>
        </w:rPr>
        <w:t xml:space="preserve"> </w:t>
      </w:r>
      <w:r>
        <w:t>Report.</w:t>
      </w:r>
      <w:r>
        <w:rPr>
          <w:spacing w:val="-11"/>
        </w:rPr>
        <w:t xml:space="preserve"> </w:t>
      </w:r>
      <w:r>
        <w:t>This Research Paper does not provide a comprehensive overview of all relevant legislative and policy reforms touching on human rights in the Review Period; rather, Part 3 discusses legislative developments and the implications of approaches specifically taken in response to:</w:t>
      </w:r>
    </w:p>
    <w:p w14:paraId="7CB25E47" w14:textId="77777777" w:rsidR="008A4099" w:rsidRDefault="006A6EE2">
      <w:pPr>
        <w:pStyle w:val="ListParagraph"/>
        <w:numPr>
          <w:ilvl w:val="3"/>
          <w:numId w:val="6"/>
        </w:numPr>
        <w:tabs>
          <w:tab w:val="left" w:pos="873"/>
        </w:tabs>
        <w:spacing w:before="217"/>
        <w:ind w:hanging="355"/>
        <w:jc w:val="left"/>
      </w:pPr>
      <w:r>
        <w:t>political</w:t>
      </w:r>
      <w:r>
        <w:rPr>
          <w:spacing w:val="-5"/>
        </w:rPr>
        <w:t xml:space="preserve"> </w:t>
      </w:r>
      <w:r>
        <w:t>communication</w:t>
      </w:r>
      <w:r>
        <w:rPr>
          <w:spacing w:val="-8"/>
        </w:rPr>
        <w:t xml:space="preserve"> </w:t>
      </w:r>
      <w:r>
        <w:t>and</w:t>
      </w:r>
      <w:r>
        <w:rPr>
          <w:spacing w:val="-5"/>
        </w:rPr>
        <w:t xml:space="preserve"> </w:t>
      </w:r>
      <w:r>
        <w:rPr>
          <w:spacing w:val="-2"/>
        </w:rPr>
        <w:t>protest;</w:t>
      </w:r>
    </w:p>
    <w:p w14:paraId="7CB25E48" w14:textId="77777777" w:rsidR="008A4099" w:rsidRDefault="006A6EE2">
      <w:pPr>
        <w:pStyle w:val="ListParagraph"/>
        <w:numPr>
          <w:ilvl w:val="3"/>
          <w:numId w:val="6"/>
        </w:numPr>
        <w:tabs>
          <w:tab w:val="left" w:pos="873"/>
        </w:tabs>
        <w:spacing w:before="119"/>
        <w:ind w:hanging="355"/>
        <w:jc w:val="left"/>
      </w:pPr>
      <w:r>
        <w:t>responses</w:t>
      </w:r>
      <w:r>
        <w:rPr>
          <w:spacing w:val="-7"/>
        </w:rPr>
        <w:t xml:space="preserve"> </w:t>
      </w:r>
      <w:r>
        <w:t>to</w:t>
      </w:r>
      <w:r>
        <w:rPr>
          <w:spacing w:val="-6"/>
        </w:rPr>
        <w:t xml:space="preserve"> </w:t>
      </w:r>
      <w:r>
        <w:t>COVID-</w:t>
      </w:r>
      <w:r>
        <w:rPr>
          <w:spacing w:val="-5"/>
        </w:rPr>
        <w:t>19;</w:t>
      </w:r>
    </w:p>
    <w:p w14:paraId="7CB25E49" w14:textId="77777777" w:rsidR="008A4099" w:rsidRDefault="006A6EE2">
      <w:pPr>
        <w:pStyle w:val="ListParagraph"/>
        <w:numPr>
          <w:ilvl w:val="3"/>
          <w:numId w:val="6"/>
        </w:numPr>
        <w:tabs>
          <w:tab w:val="left" w:pos="873"/>
        </w:tabs>
        <w:spacing w:before="120"/>
        <w:ind w:hanging="355"/>
        <w:jc w:val="left"/>
      </w:pPr>
      <w:r>
        <w:t>protection</w:t>
      </w:r>
      <w:r>
        <w:rPr>
          <w:spacing w:val="-5"/>
        </w:rPr>
        <w:t xml:space="preserve"> </w:t>
      </w:r>
      <w:r>
        <w:t>of</w:t>
      </w:r>
      <w:r>
        <w:rPr>
          <w:spacing w:val="-2"/>
        </w:rPr>
        <w:t xml:space="preserve"> privacy;</w:t>
      </w:r>
    </w:p>
    <w:p w14:paraId="7CB25E4A" w14:textId="77777777" w:rsidR="008A4099" w:rsidRDefault="006A6EE2">
      <w:pPr>
        <w:pStyle w:val="ListParagraph"/>
        <w:numPr>
          <w:ilvl w:val="3"/>
          <w:numId w:val="6"/>
        </w:numPr>
        <w:tabs>
          <w:tab w:val="left" w:pos="873"/>
        </w:tabs>
        <w:spacing w:before="119"/>
        <w:ind w:hanging="355"/>
        <w:jc w:val="left"/>
      </w:pPr>
      <w:r>
        <w:t>treatment</w:t>
      </w:r>
      <w:r>
        <w:rPr>
          <w:spacing w:val="-4"/>
        </w:rPr>
        <w:t xml:space="preserve"> </w:t>
      </w:r>
      <w:r>
        <w:t>of</w:t>
      </w:r>
      <w:r>
        <w:rPr>
          <w:spacing w:val="-4"/>
        </w:rPr>
        <w:t xml:space="preserve"> </w:t>
      </w:r>
      <w:r>
        <w:rPr>
          <w:spacing w:val="-2"/>
        </w:rPr>
        <w:t>prisoners;</w:t>
      </w:r>
    </w:p>
    <w:p w14:paraId="7CB25E4B" w14:textId="77777777" w:rsidR="008A4099" w:rsidRDefault="006A6EE2">
      <w:pPr>
        <w:pStyle w:val="ListParagraph"/>
        <w:numPr>
          <w:ilvl w:val="3"/>
          <w:numId w:val="6"/>
        </w:numPr>
        <w:tabs>
          <w:tab w:val="left" w:pos="873"/>
        </w:tabs>
        <w:spacing w:before="119"/>
        <w:ind w:hanging="355"/>
        <w:jc w:val="left"/>
      </w:pPr>
      <w:r>
        <w:t>housing;</w:t>
      </w:r>
      <w:r>
        <w:rPr>
          <w:spacing w:val="-3"/>
        </w:rPr>
        <w:t xml:space="preserve"> </w:t>
      </w:r>
      <w:r>
        <w:rPr>
          <w:spacing w:val="-5"/>
        </w:rPr>
        <w:t>and</w:t>
      </w:r>
    </w:p>
    <w:p w14:paraId="7CB25E4C" w14:textId="77777777" w:rsidR="008A4099" w:rsidRDefault="006A6EE2">
      <w:pPr>
        <w:pStyle w:val="ListParagraph"/>
        <w:numPr>
          <w:ilvl w:val="3"/>
          <w:numId w:val="6"/>
        </w:numPr>
        <w:tabs>
          <w:tab w:val="left" w:pos="873"/>
        </w:tabs>
        <w:spacing w:before="120"/>
        <w:ind w:hanging="355"/>
        <w:jc w:val="left"/>
      </w:pPr>
      <w:r>
        <w:t>religious</w:t>
      </w:r>
      <w:r>
        <w:rPr>
          <w:spacing w:val="-7"/>
        </w:rPr>
        <w:t xml:space="preserve"> </w:t>
      </w:r>
      <w:r>
        <w:rPr>
          <w:spacing w:val="-2"/>
        </w:rPr>
        <w:t>freedom.</w:t>
      </w:r>
    </w:p>
    <w:p w14:paraId="7CB25E4D" w14:textId="77777777" w:rsidR="008A4099" w:rsidRDefault="006A6EE2">
      <w:pPr>
        <w:pStyle w:val="ListParagraph"/>
        <w:numPr>
          <w:ilvl w:val="2"/>
          <w:numId w:val="6"/>
        </w:numPr>
        <w:tabs>
          <w:tab w:val="left" w:pos="879"/>
        </w:tabs>
        <w:ind w:right="674" w:firstLine="0"/>
        <w:jc w:val="both"/>
        <w:rPr>
          <w:sz w:val="13"/>
        </w:rPr>
      </w:pPr>
      <w:r>
        <w:t>In</w:t>
      </w:r>
      <w:r>
        <w:rPr>
          <w:spacing w:val="-11"/>
        </w:rPr>
        <w:t xml:space="preserve"> </w:t>
      </w:r>
      <w:r>
        <w:t>this</w:t>
      </w:r>
      <w:r>
        <w:rPr>
          <w:spacing w:val="-10"/>
        </w:rPr>
        <w:t xml:space="preserve"> </w:t>
      </w:r>
      <w:r>
        <w:t>Part,</w:t>
      </w:r>
      <w:r>
        <w:rPr>
          <w:spacing w:val="-13"/>
        </w:rPr>
        <w:t xml:space="preserve"> </w:t>
      </w:r>
      <w:r>
        <w:t>the</w:t>
      </w:r>
      <w:r>
        <w:rPr>
          <w:spacing w:val="-11"/>
        </w:rPr>
        <w:t xml:space="preserve"> </w:t>
      </w:r>
      <w:r>
        <w:t>TLRI</w:t>
      </w:r>
      <w:r>
        <w:rPr>
          <w:spacing w:val="-12"/>
        </w:rPr>
        <w:t xml:space="preserve"> </w:t>
      </w:r>
      <w:r>
        <w:t>examines</w:t>
      </w:r>
      <w:r>
        <w:rPr>
          <w:spacing w:val="-10"/>
        </w:rPr>
        <w:t xml:space="preserve"> </w:t>
      </w:r>
      <w:r>
        <w:t>selected</w:t>
      </w:r>
      <w:r>
        <w:rPr>
          <w:spacing w:val="-13"/>
        </w:rPr>
        <w:t xml:space="preserve"> </w:t>
      </w:r>
      <w:r>
        <w:t>events</w:t>
      </w:r>
      <w:r>
        <w:rPr>
          <w:spacing w:val="-7"/>
        </w:rPr>
        <w:t xml:space="preserve"> </w:t>
      </w:r>
      <w:r>
        <w:t>in</w:t>
      </w:r>
      <w:r>
        <w:rPr>
          <w:spacing w:val="-11"/>
        </w:rPr>
        <w:t xml:space="preserve"> </w:t>
      </w:r>
      <w:r>
        <w:t>the</w:t>
      </w:r>
      <w:r>
        <w:rPr>
          <w:spacing w:val="-11"/>
        </w:rPr>
        <w:t xml:space="preserve"> </w:t>
      </w:r>
      <w:r>
        <w:t>Review</w:t>
      </w:r>
      <w:r>
        <w:rPr>
          <w:spacing w:val="-11"/>
        </w:rPr>
        <w:t xml:space="preserve"> </w:t>
      </w:r>
      <w:r>
        <w:t>Period</w:t>
      </w:r>
      <w:r>
        <w:rPr>
          <w:spacing w:val="-11"/>
        </w:rPr>
        <w:t xml:space="preserve"> </w:t>
      </w:r>
      <w:r>
        <w:t>with</w:t>
      </w:r>
      <w:r>
        <w:rPr>
          <w:spacing w:val="-13"/>
        </w:rPr>
        <w:t xml:space="preserve"> </w:t>
      </w:r>
      <w:r>
        <w:t>a</w:t>
      </w:r>
      <w:r>
        <w:rPr>
          <w:spacing w:val="-11"/>
        </w:rPr>
        <w:t xml:space="preserve"> </w:t>
      </w:r>
      <w:r>
        <w:t>view</w:t>
      </w:r>
      <w:r>
        <w:rPr>
          <w:spacing w:val="-14"/>
        </w:rPr>
        <w:t xml:space="preserve"> </w:t>
      </w:r>
      <w:r>
        <w:t>to</w:t>
      </w:r>
      <w:r>
        <w:rPr>
          <w:spacing w:val="-13"/>
        </w:rPr>
        <w:t xml:space="preserve"> </w:t>
      </w:r>
      <w:r>
        <w:t>considering whether</w:t>
      </w:r>
      <w:r>
        <w:rPr>
          <w:spacing w:val="-3"/>
        </w:rPr>
        <w:t xml:space="preserve"> </w:t>
      </w:r>
      <w:r>
        <w:t>a</w:t>
      </w:r>
      <w:r>
        <w:rPr>
          <w:spacing w:val="-3"/>
        </w:rPr>
        <w:t xml:space="preserve"> </w:t>
      </w:r>
      <w:r>
        <w:t>Human</w:t>
      </w:r>
      <w:r>
        <w:rPr>
          <w:spacing w:val="-3"/>
        </w:rPr>
        <w:t xml:space="preserve"> </w:t>
      </w:r>
      <w:r>
        <w:t>Rights</w:t>
      </w:r>
      <w:r>
        <w:rPr>
          <w:spacing w:val="-3"/>
        </w:rPr>
        <w:t xml:space="preserve"> </w:t>
      </w:r>
      <w:r>
        <w:t>Act</w:t>
      </w:r>
      <w:r>
        <w:rPr>
          <w:spacing w:val="-3"/>
        </w:rPr>
        <w:t xml:space="preserve"> </w:t>
      </w:r>
      <w:r>
        <w:t>is</w:t>
      </w:r>
      <w:r>
        <w:rPr>
          <w:spacing w:val="-5"/>
        </w:rPr>
        <w:t xml:space="preserve"> </w:t>
      </w:r>
      <w:r>
        <w:t>made</w:t>
      </w:r>
      <w:r>
        <w:rPr>
          <w:spacing w:val="-6"/>
        </w:rPr>
        <w:t xml:space="preserve"> </w:t>
      </w:r>
      <w:r>
        <w:t>more</w:t>
      </w:r>
      <w:r>
        <w:rPr>
          <w:spacing w:val="-3"/>
        </w:rPr>
        <w:t xml:space="preserve"> </w:t>
      </w:r>
      <w:r>
        <w:t>or</w:t>
      </w:r>
      <w:r>
        <w:rPr>
          <w:spacing w:val="-3"/>
        </w:rPr>
        <w:t xml:space="preserve"> </w:t>
      </w:r>
      <w:r>
        <w:t>less</w:t>
      </w:r>
      <w:r>
        <w:rPr>
          <w:spacing w:val="-3"/>
        </w:rPr>
        <w:t xml:space="preserve"> </w:t>
      </w:r>
      <w:r>
        <w:t>necessary.</w:t>
      </w:r>
      <w:r>
        <w:rPr>
          <w:spacing w:val="-4"/>
        </w:rPr>
        <w:t xml:space="preserve"> </w:t>
      </w:r>
      <w:r>
        <w:t>It</w:t>
      </w:r>
      <w:r>
        <w:rPr>
          <w:spacing w:val="-3"/>
        </w:rPr>
        <w:t xml:space="preserve"> </w:t>
      </w:r>
      <w:r>
        <w:t>also</w:t>
      </w:r>
      <w:r>
        <w:rPr>
          <w:spacing w:val="-4"/>
        </w:rPr>
        <w:t xml:space="preserve"> </w:t>
      </w:r>
      <w:r>
        <w:t>considers</w:t>
      </w:r>
      <w:r>
        <w:rPr>
          <w:spacing w:val="-3"/>
        </w:rPr>
        <w:t xml:space="preserve"> </w:t>
      </w:r>
      <w:r>
        <w:t>whether</w:t>
      </w:r>
      <w:r>
        <w:rPr>
          <w:spacing w:val="-3"/>
        </w:rPr>
        <w:t xml:space="preserve"> </w:t>
      </w:r>
      <w:r>
        <w:t>amendments</w:t>
      </w:r>
      <w:r>
        <w:rPr>
          <w:spacing w:val="-3"/>
        </w:rPr>
        <w:t xml:space="preserve"> </w:t>
      </w:r>
      <w:r>
        <w:t>or improvements should be made to the model for a human rights enactment contained in the 2007 Final Report and, if so, whether some features of the experiences of jurisdictions with human rights enactments can be used to revise and refine the model for a human rights enactment for Tasmania set out in the 2007 Final Report. Considerable differences have been identified in the approach of the various Australian Parliaments to the protection and promotion of human rights viewed from the perspectives of the ‘effectiveness of … human rights scrutiny, and the degree of sensitivity of law- making to human rights guarantees or principles’.</w:t>
      </w:r>
      <w:r>
        <w:rPr>
          <w:position w:val="7"/>
          <w:sz w:val="13"/>
        </w:rPr>
        <w:t>140</w:t>
      </w:r>
      <w:r>
        <w:rPr>
          <w:spacing w:val="25"/>
          <w:position w:val="7"/>
          <w:sz w:val="13"/>
        </w:rPr>
        <w:t xml:space="preserve"> </w:t>
      </w:r>
      <w:r>
        <w:t>Relevant here is the variety of factors relating to: the</w:t>
      </w:r>
      <w:r>
        <w:rPr>
          <w:spacing w:val="-11"/>
        </w:rPr>
        <w:t xml:space="preserve"> </w:t>
      </w:r>
      <w:r>
        <w:t>structure</w:t>
      </w:r>
      <w:r>
        <w:rPr>
          <w:spacing w:val="-11"/>
        </w:rPr>
        <w:t xml:space="preserve"> </w:t>
      </w:r>
      <w:r>
        <w:t>and</w:t>
      </w:r>
      <w:r>
        <w:rPr>
          <w:spacing w:val="-8"/>
        </w:rPr>
        <w:t xml:space="preserve"> </w:t>
      </w:r>
      <w:r>
        <w:t>powers</w:t>
      </w:r>
      <w:r>
        <w:rPr>
          <w:spacing w:val="-8"/>
        </w:rPr>
        <w:t xml:space="preserve"> </w:t>
      </w:r>
      <w:r>
        <w:t>of</w:t>
      </w:r>
      <w:r>
        <w:rPr>
          <w:spacing w:val="-10"/>
        </w:rPr>
        <w:t xml:space="preserve"> </w:t>
      </w:r>
      <w:r>
        <w:t>the</w:t>
      </w:r>
      <w:r>
        <w:rPr>
          <w:spacing w:val="-11"/>
        </w:rPr>
        <w:t xml:space="preserve"> </w:t>
      </w:r>
      <w:r>
        <w:t>scrutiny</w:t>
      </w:r>
      <w:r>
        <w:rPr>
          <w:spacing w:val="-11"/>
        </w:rPr>
        <w:t xml:space="preserve"> </w:t>
      </w:r>
      <w:r>
        <w:t>body</w:t>
      </w:r>
      <w:r>
        <w:rPr>
          <w:spacing w:val="-11"/>
        </w:rPr>
        <w:t xml:space="preserve"> </w:t>
      </w:r>
      <w:r>
        <w:t>(for</w:t>
      </w:r>
      <w:r>
        <w:rPr>
          <w:spacing w:val="-10"/>
        </w:rPr>
        <w:t xml:space="preserve"> </w:t>
      </w:r>
      <w:r>
        <w:t>example,</w:t>
      </w:r>
      <w:r>
        <w:rPr>
          <w:spacing w:val="-11"/>
        </w:rPr>
        <w:t xml:space="preserve"> </w:t>
      </w:r>
      <w:r>
        <w:t>the</w:t>
      </w:r>
      <w:r>
        <w:rPr>
          <w:spacing w:val="-11"/>
        </w:rPr>
        <w:t xml:space="preserve"> </w:t>
      </w:r>
      <w:r>
        <w:t>type</w:t>
      </w:r>
      <w:r>
        <w:rPr>
          <w:spacing w:val="-11"/>
        </w:rPr>
        <w:t xml:space="preserve"> </w:t>
      </w:r>
      <w:r>
        <w:t>of</w:t>
      </w:r>
      <w:r>
        <w:rPr>
          <w:spacing w:val="-10"/>
        </w:rPr>
        <w:t xml:space="preserve"> </w:t>
      </w:r>
      <w:r>
        <w:t>body,</w:t>
      </w:r>
      <w:r>
        <w:rPr>
          <w:spacing w:val="-11"/>
        </w:rPr>
        <w:t xml:space="preserve"> </w:t>
      </w:r>
      <w:r>
        <w:t>its</w:t>
      </w:r>
      <w:r>
        <w:rPr>
          <w:spacing w:val="-11"/>
        </w:rPr>
        <w:t xml:space="preserve"> </w:t>
      </w:r>
      <w:r>
        <w:t>powers</w:t>
      </w:r>
      <w:r>
        <w:rPr>
          <w:spacing w:val="-10"/>
        </w:rPr>
        <w:t xml:space="preserve"> </w:t>
      </w:r>
      <w:r>
        <w:t>and</w:t>
      </w:r>
      <w:r>
        <w:rPr>
          <w:spacing w:val="-11"/>
        </w:rPr>
        <w:t xml:space="preserve"> </w:t>
      </w:r>
      <w:r>
        <w:t>procedures, its composition); the degree to which a human rights culture exists within the Parliament and the scrutiny body; the influence of the scrutiny body; the nature of the dialogue/engagement between the Parliament,</w:t>
      </w:r>
      <w:r>
        <w:rPr>
          <w:spacing w:val="-2"/>
        </w:rPr>
        <w:t xml:space="preserve"> </w:t>
      </w:r>
      <w:r>
        <w:t>the</w:t>
      </w:r>
      <w:r>
        <w:rPr>
          <w:spacing w:val="-2"/>
        </w:rPr>
        <w:t xml:space="preserve"> </w:t>
      </w:r>
      <w:r>
        <w:t>scrutiny</w:t>
      </w:r>
      <w:r>
        <w:rPr>
          <w:spacing w:val="-2"/>
        </w:rPr>
        <w:t xml:space="preserve"> </w:t>
      </w:r>
      <w:r>
        <w:t>body,</w:t>
      </w:r>
      <w:r>
        <w:rPr>
          <w:spacing w:val="-2"/>
        </w:rPr>
        <w:t xml:space="preserve"> </w:t>
      </w:r>
      <w:r>
        <w:t>other</w:t>
      </w:r>
      <w:r>
        <w:rPr>
          <w:spacing w:val="-1"/>
        </w:rPr>
        <w:t xml:space="preserve"> </w:t>
      </w:r>
      <w:r>
        <w:t>stakeholders</w:t>
      </w:r>
      <w:r>
        <w:rPr>
          <w:spacing w:val="-2"/>
        </w:rPr>
        <w:t xml:space="preserve"> </w:t>
      </w:r>
      <w:r>
        <w:t>and</w:t>
      </w:r>
      <w:r>
        <w:rPr>
          <w:spacing w:val="-2"/>
        </w:rPr>
        <w:t xml:space="preserve"> </w:t>
      </w:r>
      <w:r>
        <w:t>the</w:t>
      </w:r>
      <w:r>
        <w:rPr>
          <w:spacing w:val="-2"/>
        </w:rPr>
        <w:t xml:space="preserve"> </w:t>
      </w:r>
      <w:r>
        <w:t>public;</w:t>
      </w:r>
      <w:r>
        <w:rPr>
          <w:spacing w:val="-1"/>
        </w:rPr>
        <w:t xml:space="preserve"> </w:t>
      </w:r>
      <w:r>
        <w:t>the</w:t>
      </w:r>
      <w:r>
        <w:rPr>
          <w:spacing w:val="-2"/>
        </w:rPr>
        <w:t xml:space="preserve"> </w:t>
      </w:r>
      <w:r>
        <w:t>time</w:t>
      </w:r>
      <w:r>
        <w:rPr>
          <w:spacing w:val="-2"/>
        </w:rPr>
        <w:t xml:space="preserve"> </w:t>
      </w:r>
      <w:r>
        <w:t>allowed</w:t>
      </w:r>
      <w:r>
        <w:rPr>
          <w:spacing w:val="-4"/>
        </w:rPr>
        <w:t xml:space="preserve"> </w:t>
      </w:r>
      <w:r>
        <w:t>for</w:t>
      </w:r>
      <w:r>
        <w:rPr>
          <w:spacing w:val="-2"/>
        </w:rPr>
        <w:t xml:space="preserve"> </w:t>
      </w:r>
      <w:r>
        <w:t>scrutiny;</w:t>
      </w:r>
      <w:r>
        <w:rPr>
          <w:spacing w:val="-4"/>
        </w:rPr>
        <w:t xml:space="preserve"> </w:t>
      </w:r>
      <w:r>
        <w:t>and</w:t>
      </w:r>
      <w:r>
        <w:rPr>
          <w:spacing w:val="-4"/>
        </w:rPr>
        <w:t xml:space="preserve"> </w:t>
      </w:r>
      <w:r>
        <w:t>the clarity of the human rights standards used for assessment. Related to these factors is the development of human rights discourse or a ‘dialogue’, which has been described as ‘central to the perception and practice of human rights scrutiny in Australia’.</w:t>
      </w:r>
      <w:r>
        <w:rPr>
          <w:position w:val="7"/>
          <w:sz w:val="13"/>
        </w:rPr>
        <w:t>141</w:t>
      </w:r>
    </w:p>
    <w:p w14:paraId="7CB25E4E" w14:textId="77777777" w:rsidR="008A4099" w:rsidRDefault="006A6EE2">
      <w:pPr>
        <w:pStyle w:val="ListParagraph"/>
        <w:numPr>
          <w:ilvl w:val="2"/>
          <w:numId w:val="6"/>
        </w:numPr>
        <w:tabs>
          <w:tab w:val="left" w:pos="879"/>
        </w:tabs>
        <w:spacing w:before="218" w:line="237" w:lineRule="auto"/>
        <w:ind w:right="679" w:firstLine="0"/>
        <w:jc w:val="both"/>
      </w:pPr>
      <w:r>
        <w:t>The examination of events in the Review Period is focused on several key themes relating to the</w:t>
      </w:r>
      <w:r>
        <w:rPr>
          <w:spacing w:val="-14"/>
        </w:rPr>
        <w:t xml:space="preserve"> </w:t>
      </w:r>
      <w:r>
        <w:t>value</w:t>
      </w:r>
      <w:r>
        <w:rPr>
          <w:spacing w:val="-14"/>
        </w:rPr>
        <w:t xml:space="preserve"> </w:t>
      </w:r>
      <w:r>
        <w:t>of</w:t>
      </w:r>
      <w:r>
        <w:rPr>
          <w:spacing w:val="-14"/>
        </w:rPr>
        <w:t xml:space="preserve"> </w:t>
      </w:r>
      <w:r>
        <w:t>a</w:t>
      </w:r>
      <w:r>
        <w:rPr>
          <w:spacing w:val="-13"/>
        </w:rPr>
        <w:t xml:space="preserve"> </w:t>
      </w:r>
      <w:r>
        <w:t>legislated</w:t>
      </w:r>
      <w:r>
        <w:rPr>
          <w:spacing w:val="-14"/>
        </w:rPr>
        <w:t xml:space="preserve"> </w:t>
      </w:r>
      <w:r>
        <w:t>human</w:t>
      </w:r>
      <w:r>
        <w:rPr>
          <w:spacing w:val="-14"/>
        </w:rPr>
        <w:t xml:space="preserve"> </w:t>
      </w:r>
      <w:r>
        <w:t>rights</w:t>
      </w:r>
      <w:r>
        <w:rPr>
          <w:spacing w:val="-14"/>
        </w:rPr>
        <w:t xml:space="preserve"> </w:t>
      </w:r>
      <w:r>
        <w:t>enactment:</w:t>
      </w:r>
      <w:r>
        <w:rPr>
          <w:spacing w:val="-13"/>
        </w:rPr>
        <w:t xml:space="preserve"> </w:t>
      </w:r>
      <w:r>
        <w:t>(1)</w:t>
      </w:r>
      <w:r>
        <w:rPr>
          <w:spacing w:val="-14"/>
        </w:rPr>
        <w:t xml:space="preserve"> </w:t>
      </w:r>
      <w:r>
        <w:t>establishing</w:t>
      </w:r>
      <w:r>
        <w:rPr>
          <w:spacing w:val="-14"/>
        </w:rPr>
        <w:t xml:space="preserve"> </w:t>
      </w:r>
      <w:r>
        <w:t>a</w:t>
      </w:r>
      <w:r>
        <w:rPr>
          <w:spacing w:val="-14"/>
        </w:rPr>
        <w:t xml:space="preserve"> </w:t>
      </w:r>
      <w:r>
        <w:t>transparent</w:t>
      </w:r>
      <w:r>
        <w:rPr>
          <w:spacing w:val="-13"/>
        </w:rPr>
        <w:t xml:space="preserve"> </w:t>
      </w:r>
      <w:r>
        <w:t>process</w:t>
      </w:r>
      <w:r>
        <w:rPr>
          <w:spacing w:val="-14"/>
        </w:rPr>
        <w:t xml:space="preserve"> </w:t>
      </w:r>
      <w:r>
        <w:t>and</w:t>
      </w:r>
      <w:r>
        <w:rPr>
          <w:spacing w:val="-14"/>
        </w:rPr>
        <w:t xml:space="preserve"> </w:t>
      </w:r>
      <w:r>
        <w:t>a</w:t>
      </w:r>
      <w:r>
        <w:rPr>
          <w:spacing w:val="-14"/>
        </w:rPr>
        <w:t xml:space="preserve"> </w:t>
      </w:r>
      <w:r>
        <w:t>mechanism for scrutiny to facilitate the development of a human rights discourse; (2) facilitating a structured process</w:t>
      </w:r>
      <w:r>
        <w:rPr>
          <w:spacing w:val="58"/>
        </w:rPr>
        <w:t xml:space="preserve"> </w:t>
      </w:r>
      <w:r>
        <w:t>to</w:t>
      </w:r>
      <w:r>
        <w:rPr>
          <w:spacing w:val="58"/>
        </w:rPr>
        <w:t xml:space="preserve"> </w:t>
      </w:r>
      <w:r>
        <w:t>allow</w:t>
      </w:r>
      <w:r>
        <w:rPr>
          <w:spacing w:val="56"/>
        </w:rPr>
        <w:t xml:space="preserve"> </w:t>
      </w:r>
      <w:r>
        <w:t>for</w:t>
      </w:r>
      <w:r>
        <w:rPr>
          <w:spacing w:val="56"/>
        </w:rPr>
        <w:t xml:space="preserve"> </w:t>
      </w:r>
      <w:r>
        <w:t>the</w:t>
      </w:r>
      <w:r>
        <w:rPr>
          <w:spacing w:val="56"/>
        </w:rPr>
        <w:t xml:space="preserve"> </w:t>
      </w:r>
      <w:r>
        <w:t>weighing</w:t>
      </w:r>
      <w:r>
        <w:rPr>
          <w:spacing w:val="58"/>
        </w:rPr>
        <w:t xml:space="preserve"> </w:t>
      </w:r>
      <w:r>
        <w:t>up/balancing</w:t>
      </w:r>
      <w:r>
        <w:rPr>
          <w:spacing w:val="58"/>
        </w:rPr>
        <w:t xml:space="preserve"> </w:t>
      </w:r>
      <w:r>
        <w:t>of</w:t>
      </w:r>
      <w:r>
        <w:rPr>
          <w:spacing w:val="56"/>
        </w:rPr>
        <w:t xml:space="preserve"> </w:t>
      </w:r>
      <w:r>
        <w:t>competing</w:t>
      </w:r>
      <w:r>
        <w:rPr>
          <w:spacing w:val="58"/>
        </w:rPr>
        <w:t xml:space="preserve"> </w:t>
      </w:r>
      <w:r>
        <w:t>rights;</w:t>
      </w:r>
      <w:r>
        <w:rPr>
          <w:spacing w:val="59"/>
        </w:rPr>
        <w:t xml:space="preserve"> </w:t>
      </w:r>
      <w:r>
        <w:t>(3)</w:t>
      </w:r>
      <w:r>
        <w:rPr>
          <w:spacing w:val="58"/>
        </w:rPr>
        <w:t xml:space="preserve"> </w:t>
      </w:r>
      <w:r>
        <w:t>influencing</w:t>
      </w:r>
      <w:r>
        <w:rPr>
          <w:spacing w:val="40"/>
        </w:rPr>
        <w:t xml:space="preserve"> </w:t>
      </w:r>
      <w:r>
        <w:t>legislative</w:t>
      </w:r>
    </w:p>
    <w:p w14:paraId="7CB25E4F" w14:textId="77777777" w:rsidR="008A4099" w:rsidRDefault="006A6EE2">
      <w:pPr>
        <w:pStyle w:val="BodyText"/>
        <w:spacing w:before="7"/>
        <w:rPr>
          <w:sz w:val="11"/>
        </w:rPr>
      </w:pPr>
      <w:r>
        <w:rPr>
          <w:noProof/>
        </w:rPr>
        <mc:AlternateContent>
          <mc:Choice Requires="wps">
            <w:drawing>
              <wp:anchor distT="0" distB="0" distL="0" distR="0" simplePos="0" relativeHeight="487599104" behindDoc="1" locked="0" layoutInCell="1" allowOverlap="1" wp14:anchorId="7CB26605" wp14:editId="7CB26606">
                <wp:simplePos x="0" y="0"/>
                <wp:positionH relativeFrom="page">
                  <wp:posOffset>914704</wp:posOffset>
                </wp:positionH>
                <wp:positionV relativeFrom="paragraph">
                  <wp:posOffset>100115</wp:posOffset>
                </wp:positionV>
                <wp:extent cx="1829435" cy="762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78D85B" id="Graphic 64" o:spid="_x0000_s1026" style="position:absolute;margin-left:1in;margin-top:7.9pt;width:144.05pt;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" path="m1829054,l,,,7619r1829054,l1829054,xe" fillcolor="black" stroked="f">
                <v:path arrowok="t"/>
                <w10:wrap type="topAndBottom" anchorx="page"/>
              </v:shape>
            </w:pict>
          </mc:Fallback>
        </mc:AlternateContent>
      </w:r>
    </w:p>
    <w:p w14:paraId="7CB25E50" w14:textId="77777777" w:rsidR="008A4099" w:rsidRDefault="006A6EE2">
      <w:pPr>
        <w:spacing w:before="115" w:line="244" w:lineRule="auto"/>
        <w:ind w:left="160" w:right="680"/>
        <w:rPr>
          <w:sz w:val="18"/>
        </w:rPr>
      </w:pPr>
      <w:r>
        <w:rPr>
          <w:sz w:val="18"/>
          <w:vertAlign w:val="superscript"/>
        </w:rPr>
        <w:t>140</w:t>
      </w:r>
      <w:r>
        <w:rPr>
          <w:sz w:val="18"/>
        </w:rPr>
        <w:t xml:space="preserve"> Julie Debeljak and Laura Grenfell, ‘Diverse Australian Landscapes of Law Making and Human Rights’ in Julie Debeljak and Laura Grenfell (eds), </w:t>
      </w:r>
      <w:r>
        <w:rPr>
          <w:i/>
          <w:sz w:val="18"/>
        </w:rPr>
        <w:t xml:space="preserve">Law Making and Human Rights </w:t>
      </w:r>
      <w:r>
        <w:rPr>
          <w:sz w:val="18"/>
        </w:rPr>
        <w:t>(LawBook Co, 2020) ch 1 [1.10].</w:t>
      </w:r>
    </w:p>
    <w:p w14:paraId="7CB25E51" w14:textId="77777777" w:rsidR="008A4099" w:rsidRDefault="006A6EE2">
      <w:pPr>
        <w:spacing w:before="14" w:line="244" w:lineRule="auto"/>
        <w:ind w:left="160" w:right="680"/>
        <w:rPr>
          <w:sz w:val="18"/>
        </w:rPr>
      </w:pPr>
      <w:r>
        <w:rPr>
          <w:sz w:val="18"/>
          <w:vertAlign w:val="superscript"/>
        </w:rPr>
        <w:t>141</w:t>
      </w:r>
      <w:r>
        <w:rPr>
          <w:sz w:val="18"/>
        </w:rPr>
        <w:t xml:space="preserve"> Simon Rice, ‘Allowing for Dissent: Opening Up Human Rights Dialogue in the Australian Parliament’ in Julie Debeljak and Laura Grenfell (eds), </w:t>
      </w:r>
      <w:r>
        <w:rPr>
          <w:i/>
          <w:sz w:val="18"/>
        </w:rPr>
        <w:t xml:space="preserve">Law Making and Human Rights </w:t>
      </w:r>
      <w:r>
        <w:rPr>
          <w:sz w:val="18"/>
        </w:rPr>
        <w:t>(LawBook Co, 2020) ch 4 [4.40].</w:t>
      </w:r>
    </w:p>
    <w:p w14:paraId="7CB25E52" w14:textId="77777777" w:rsidR="008A4099" w:rsidRDefault="008A4099">
      <w:pPr>
        <w:spacing w:line="244" w:lineRule="auto"/>
        <w:rPr>
          <w:sz w:val="18"/>
        </w:rPr>
        <w:sectPr w:rsidR="008A4099" w:rsidSect="00D43B2D">
          <w:headerReference w:type="even" r:id="rId71"/>
          <w:headerReference w:type="default" r:id="rId72"/>
          <w:footerReference w:type="even" r:id="rId73"/>
          <w:footerReference w:type="default" r:id="rId74"/>
          <w:pgSz w:w="11910" w:h="16840"/>
          <w:pgMar w:top="980" w:right="760" w:bottom="940" w:left="1280" w:header="718" w:footer="753" w:gutter="0"/>
          <w:pgNumType w:start="18"/>
          <w:cols w:space="720"/>
        </w:sectPr>
      </w:pPr>
    </w:p>
    <w:p w14:paraId="7CB25E53" w14:textId="77777777" w:rsidR="008A4099" w:rsidRDefault="008A4099">
      <w:pPr>
        <w:pStyle w:val="BodyText"/>
        <w:spacing w:before="194"/>
      </w:pPr>
    </w:p>
    <w:p w14:paraId="7CB25E54" w14:textId="77777777" w:rsidR="008A4099" w:rsidRDefault="006A6EE2">
      <w:pPr>
        <w:pStyle w:val="BodyText"/>
        <w:spacing w:line="242" w:lineRule="auto"/>
        <w:ind w:left="160" w:right="680"/>
        <w:jc w:val="both"/>
      </w:pPr>
      <w:r>
        <w:t>development and policy outcomes; and (4) application by the courts of human rights principles. This examination contrasts the experience in Tasmania with approaches taken in jurisdictions with human rights enactments and considers how those experiences can be used to inform this review.</w:t>
      </w:r>
    </w:p>
    <w:p w14:paraId="7CB25E55" w14:textId="77777777" w:rsidR="008A4099" w:rsidRDefault="006A6EE2">
      <w:pPr>
        <w:pStyle w:val="ListParagraph"/>
        <w:numPr>
          <w:ilvl w:val="2"/>
          <w:numId w:val="6"/>
        </w:numPr>
        <w:tabs>
          <w:tab w:val="left" w:pos="879"/>
        </w:tabs>
        <w:spacing w:before="214"/>
        <w:ind w:right="673" w:firstLine="0"/>
        <w:jc w:val="both"/>
      </w:pPr>
      <w:r>
        <w:t>As we have acknowledged, a human rights enactment does not mean that all human rights challenges will be resolved in Tasmania, or that problems of social inequality and injustice will no longer exist. Based on the results of this review, however, the TLRI remains of the view that human rights enactments have the potential to play an important role in providing greater transparency and explicit consideration of human rights in government decision-making, as well as improving community</w:t>
      </w:r>
      <w:r>
        <w:rPr>
          <w:spacing w:val="-16"/>
        </w:rPr>
        <w:t xml:space="preserve"> </w:t>
      </w:r>
      <w:r>
        <w:t>understanding</w:t>
      </w:r>
      <w:r>
        <w:rPr>
          <w:spacing w:val="-14"/>
        </w:rPr>
        <w:t xml:space="preserve"> </w:t>
      </w:r>
      <w:r>
        <w:t>of</w:t>
      </w:r>
      <w:r>
        <w:rPr>
          <w:spacing w:val="-14"/>
        </w:rPr>
        <w:t xml:space="preserve"> </w:t>
      </w:r>
      <w:r>
        <w:t>human</w:t>
      </w:r>
      <w:r>
        <w:rPr>
          <w:spacing w:val="-13"/>
        </w:rPr>
        <w:t xml:space="preserve"> </w:t>
      </w:r>
      <w:r>
        <w:t>rights</w:t>
      </w:r>
      <w:r>
        <w:rPr>
          <w:spacing w:val="-14"/>
        </w:rPr>
        <w:t xml:space="preserve"> </w:t>
      </w:r>
      <w:r>
        <w:t>and</w:t>
      </w:r>
      <w:r>
        <w:rPr>
          <w:spacing w:val="-14"/>
        </w:rPr>
        <w:t xml:space="preserve"> </w:t>
      </w:r>
      <w:r>
        <w:t>how</w:t>
      </w:r>
      <w:r>
        <w:rPr>
          <w:spacing w:val="-14"/>
        </w:rPr>
        <w:t xml:space="preserve"> </w:t>
      </w:r>
      <w:r>
        <w:t>they</w:t>
      </w:r>
      <w:r>
        <w:rPr>
          <w:spacing w:val="-13"/>
        </w:rPr>
        <w:t xml:space="preserve"> </w:t>
      </w:r>
      <w:r>
        <w:t>can</w:t>
      </w:r>
      <w:r>
        <w:rPr>
          <w:spacing w:val="-14"/>
        </w:rPr>
        <w:t xml:space="preserve"> </w:t>
      </w:r>
      <w:r>
        <w:t>be</w:t>
      </w:r>
      <w:r>
        <w:rPr>
          <w:spacing w:val="-14"/>
        </w:rPr>
        <w:t xml:space="preserve"> </w:t>
      </w:r>
      <w:r>
        <w:t>protected.</w:t>
      </w:r>
      <w:r>
        <w:rPr>
          <w:spacing w:val="-14"/>
        </w:rPr>
        <w:t xml:space="preserve"> </w:t>
      </w:r>
      <w:r>
        <w:t>The</w:t>
      </w:r>
      <w:r>
        <w:rPr>
          <w:spacing w:val="-13"/>
        </w:rPr>
        <w:t xml:space="preserve"> </w:t>
      </w:r>
      <w:r>
        <w:t>model</w:t>
      </w:r>
      <w:r>
        <w:rPr>
          <w:spacing w:val="-14"/>
        </w:rPr>
        <w:t xml:space="preserve"> </w:t>
      </w:r>
      <w:r>
        <w:t>for</w:t>
      </w:r>
      <w:r>
        <w:rPr>
          <w:spacing w:val="-14"/>
        </w:rPr>
        <w:t xml:space="preserve"> </w:t>
      </w:r>
      <w:r>
        <w:t>a</w:t>
      </w:r>
      <w:r>
        <w:rPr>
          <w:spacing w:val="-14"/>
        </w:rPr>
        <w:t xml:space="preserve"> </w:t>
      </w:r>
      <w:r>
        <w:t>human</w:t>
      </w:r>
      <w:r>
        <w:rPr>
          <w:spacing w:val="-13"/>
        </w:rPr>
        <w:t xml:space="preserve"> </w:t>
      </w:r>
      <w:r>
        <w:t>rights enactment set out in the 2007 Final Report recognised Parliamentary sovereignty, while seeking to encourage a dialogue about human rights across the three arms of government (executive, legislative and judicial) and within the community.</w:t>
      </w:r>
      <w:r>
        <w:rPr>
          <w:position w:val="7"/>
          <w:sz w:val="13"/>
        </w:rPr>
        <w:t>142</w:t>
      </w:r>
      <w:r>
        <w:rPr>
          <w:spacing w:val="33"/>
          <w:position w:val="7"/>
          <w:sz w:val="13"/>
        </w:rPr>
        <w:t xml:space="preserve"> </w:t>
      </w:r>
      <w:r>
        <w:t>The value of a human rights enactment, as outlined in the 2007 Final Report, lies in providing a clear and accessible statement of fundamental rights that can operate</w:t>
      </w:r>
      <w:r>
        <w:rPr>
          <w:spacing w:val="-2"/>
        </w:rPr>
        <w:t xml:space="preserve"> </w:t>
      </w:r>
      <w:r>
        <w:t>as</w:t>
      </w:r>
      <w:r>
        <w:rPr>
          <w:spacing w:val="-2"/>
        </w:rPr>
        <w:t xml:space="preserve"> </w:t>
      </w:r>
      <w:r>
        <w:t>a</w:t>
      </w:r>
      <w:r>
        <w:rPr>
          <w:spacing w:val="-2"/>
        </w:rPr>
        <w:t xml:space="preserve"> </w:t>
      </w:r>
      <w:r>
        <w:t>touchstone</w:t>
      </w:r>
      <w:r>
        <w:rPr>
          <w:spacing w:val="-2"/>
        </w:rPr>
        <w:t xml:space="preserve"> </w:t>
      </w:r>
      <w:r>
        <w:t>or</w:t>
      </w:r>
      <w:r>
        <w:rPr>
          <w:spacing w:val="-1"/>
        </w:rPr>
        <w:t xml:space="preserve"> </w:t>
      </w:r>
      <w:r>
        <w:t>general</w:t>
      </w:r>
      <w:r>
        <w:rPr>
          <w:spacing w:val="-1"/>
        </w:rPr>
        <w:t xml:space="preserve"> </w:t>
      </w:r>
      <w:r>
        <w:t>gauge</w:t>
      </w:r>
      <w:r>
        <w:rPr>
          <w:spacing w:val="-2"/>
        </w:rPr>
        <w:t xml:space="preserve"> </w:t>
      </w:r>
      <w:r>
        <w:t>by</w:t>
      </w:r>
      <w:r>
        <w:rPr>
          <w:spacing w:val="-2"/>
        </w:rPr>
        <w:t xml:space="preserve"> </w:t>
      </w:r>
      <w:r>
        <w:t>which</w:t>
      </w:r>
      <w:r>
        <w:rPr>
          <w:spacing w:val="-2"/>
        </w:rPr>
        <w:t xml:space="preserve"> </w:t>
      </w:r>
      <w:r>
        <w:t>to</w:t>
      </w:r>
      <w:r>
        <w:rPr>
          <w:spacing w:val="-2"/>
        </w:rPr>
        <w:t xml:space="preserve"> </w:t>
      </w:r>
      <w:r>
        <w:t>evaluate</w:t>
      </w:r>
      <w:r>
        <w:rPr>
          <w:spacing w:val="-4"/>
        </w:rPr>
        <w:t xml:space="preserve"> </w:t>
      </w:r>
      <w:r>
        <w:t>legislative</w:t>
      </w:r>
      <w:r>
        <w:rPr>
          <w:spacing w:val="-4"/>
        </w:rPr>
        <w:t xml:space="preserve"> </w:t>
      </w:r>
      <w:r>
        <w:t>and</w:t>
      </w:r>
      <w:r>
        <w:rPr>
          <w:spacing w:val="-2"/>
        </w:rPr>
        <w:t xml:space="preserve"> </w:t>
      </w:r>
      <w:r>
        <w:t>policy</w:t>
      </w:r>
      <w:r>
        <w:rPr>
          <w:spacing w:val="-2"/>
        </w:rPr>
        <w:t xml:space="preserve"> </w:t>
      </w:r>
      <w:r>
        <w:t xml:space="preserve">decisions. Human rights enactments aim to raise community awareness of human rights and encourage systematic development and observance of processes that are responsive to human rights across all arms of </w:t>
      </w:r>
      <w:r>
        <w:rPr>
          <w:spacing w:val="-2"/>
        </w:rPr>
        <w:t>government.</w:t>
      </w:r>
    </w:p>
    <w:p w14:paraId="7CB25E56" w14:textId="77777777" w:rsidR="008A4099" w:rsidRDefault="008A4099">
      <w:pPr>
        <w:pStyle w:val="BodyText"/>
      </w:pPr>
    </w:p>
    <w:p w14:paraId="7CB25E57" w14:textId="77777777" w:rsidR="008A4099" w:rsidRDefault="008A4099">
      <w:pPr>
        <w:pStyle w:val="BodyText"/>
        <w:spacing w:before="129"/>
      </w:pPr>
    </w:p>
    <w:p w14:paraId="7CB25E58" w14:textId="77777777" w:rsidR="008A4099" w:rsidRDefault="006A6EE2">
      <w:pPr>
        <w:pStyle w:val="Heading2"/>
        <w:numPr>
          <w:ilvl w:val="1"/>
          <w:numId w:val="6"/>
        </w:numPr>
        <w:tabs>
          <w:tab w:val="left" w:pos="878"/>
        </w:tabs>
        <w:ind w:left="878" w:hanging="718"/>
        <w:jc w:val="both"/>
      </w:pPr>
      <w:bookmarkStart w:id="16" w:name="_TOC_250044"/>
      <w:r>
        <w:t>Overview</w:t>
      </w:r>
      <w:r>
        <w:rPr>
          <w:spacing w:val="-8"/>
        </w:rPr>
        <w:t xml:space="preserve"> </w:t>
      </w:r>
      <w:r>
        <w:t>of</w:t>
      </w:r>
      <w:r>
        <w:rPr>
          <w:spacing w:val="-6"/>
        </w:rPr>
        <w:t xml:space="preserve"> </w:t>
      </w:r>
      <w:r>
        <w:t>Key</w:t>
      </w:r>
      <w:r>
        <w:rPr>
          <w:spacing w:val="-5"/>
        </w:rPr>
        <w:t xml:space="preserve"> </w:t>
      </w:r>
      <w:r>
        <w:t>Events</w:t>
      </w:r>
      <w:r>
        <w:rPr>
          <w:spacing w:val="-8"/>
        </w:rPr>
        <w:t xml:space="preserve"> </w:t>
      </w:r>
      <w:r>
        <w:t>in</w:t>
      </w:r>
      <w:r>
        <w:rPr>
          <w:spacing w:val="-7"/>
        </w:rPr>
        <w:t xml:space="preserve"> </w:t>
      </w:r>
      <w:r>
        <w:t>the</w:t>
      </w:r>
      <w:r>
        <w:rPr>
          <w:spacing w:val="-7"/>
        </w:rPr>
        <w:t xml:space="preserve"> </w:t>
      </w:r>
      <w:r>
        <w:t>Review</w:t>
      </w:r>
      <w:r>
        <w:rPr>
          <w:spacing w:val="-8"/>
        </w:rPr>
        <w:t xml:space="preserve"> </w:t>
      </w:r>
      <w:bookmarkEnd w:id="16"/>
      <w:r>
        <w:rPr>
          <w:spacing w:val="-2"/>
        </w:rPr>
        <w:t>Period</w:t>
      </w:r>
    </w:p>
    <w:p w14:paraId="7CB25E59" w14:textId="77777777" w:rsidR="008A4099" w:rsidRDefault="006A6EE2">
      <w:pPr>
        <w:pStyle w:val="Heading4"/>
        <w:spacing w:before="240"/>
        <w:jc w:val="both"/>
      </w:pPr>
      <w:bookmarkStart w:id="17" w:name="_TOC_250043"/>
      <w:r>
        <w:t>The</w:t>
      </w:r>
      <w:r>
        <w:rPr>
          <w:spacing w:val="-2"/>
        </w:rPr>
        <w:t xml:space="preserve"> </w:t>
      </w:r>
      <w:r>
        <w:t>legislation</w:t>
      </w:r>
      <w:r>
        <w:rPr>
          <w:spacing w:val="-3"/>
        </w:rPr>
        <w:t xml:space="preserve"> </w:t>
      </w:r>
      <w:r>
        <w:t>relating</w:t>
      </w:r>
      <w:r>
        <w:rPr>
          <w:spacing w:val="-2"/>
        </w:rPr>
        <w:t xml:space="preserve"> </w:t>
      </w:r>
      <w:r>
        <w:t>to</w:t>
      </w:r>
      <w:r>
        <w:rPr>
          <w:spacing w:val="-4"/>
        </w:rPr>
        <w:t xml:space="preserve"> </w:t>
      </w:r>
      <w:r>
        <w:t>the</w:t>
      </w:r>
      <w:r>
        <w:rPr>
          <w:spacing w:val="-2"/>
        </w:rPr>
        <w:t xml:space="preserve"> </w:t>
      </w:r>
      <w:r>
        <w:t>right</w:t>
      </w:r>
      <w:r>
        <w:rPr>
          <w:spacing w:val="-2"/>
        </w:rPr>
        <w:t xml:space="preserve"> </w:t>
      </w:r>
      <w:r>
        <w:t>to</w:t>
      </w:r>
      <w:bookmarkEnd w:id="17"/>
      <w:r>
        <w:rPr>
          <w:spacing w:val="-2"/>
        </w:rPr>
        <w:t xml:space="preserve"> protest</w:t>
      </w:r>
    </w:p>
    <w:p w14:paraId="7CB25E5A" w14:textId="77777777" w:rsidR="008A4099" w:rsidRDefault="006A6EE2">
      <w:pPr>
        <w:pStyle w:val="ListParagraph"/>
        <w:numPr>
          <w:ilvl w:val="2"/>
          <w:numId w:val="6"/>
        </w:numPr>
        <w:tabs>
          <w:tab w:val="left" w:pos="879"/>
        </w:tabs>
        <w:spacing w:before="261"/>
        <w:ind w:right="676" w:firstLine="0"/>
        <w:jc w:val="both"/>
      </w:pPr>
      <w:r>
        <w:t>Laws that place restrictions on political communication and protest activities create tension between rights of political expression and assembly, on one hand, and</w:t>
      </w:r>
      <w:r>
        <w:rPr>
          <w:spacing w:val="-1"/>
        </w:rPr>
        <w:t xml:space="preserve"> </w:t>
      </w:r>
      <w:r>
        <w:t>the safety of business operators and</w:t>
      </w:r>
      <w:r>
        <w:rPr>
          <w:spacing w:val="-1"/>
        </w:rPr>
        <w:t xml:space="preserve"> </w:t>
      </w:r>
      <w:r>
        <w:t>workers</w:t>
      </w:r>
      <w:r>
        <w:rPr>
          <w:spacing w:val="-1"/>
        </w:rPr>
        <w:t xml:space="preserve"> </w:t>
      </w:r>
      <w:r>
        <w:t>and</w:t>
      </w:r>
      <w:r>
        <w:rPr>
          <w:spacing w:val="-1"/>
        </w:rPr>
        <w:t xml:space="preserve"> </w:t>
      </w:r>
      <w:r>
        <w:t>their</w:t>
      </w:r>
      <w:r>
        <w:rPr>
          <w:spacing w:val="-3"/>
        </w:rPr>
        <w:t xml:space="preserve"> </w:t>
      </w:r>
      <w:r>
        <w:t>right</w:t>
      </w:r>
      <w:r>
        <w:rPr>
          <w:spacing w:val="-3"/>
        </w:rPr>
        <w:t xml:space="preserve"> </w:t>
      </w:r>
      <w:r>
        <w:t>not to</w:t>
      </w:r>
      <w:r>
        <w:rPr>
          <w:spacing w:val="-1"/>
        </w:rPr>
        <w:t xml:space="preserve"> </w:t>
      </w:r>
      <w:r>
        <w:t>be</w:t>
      </w:r>
      <w:r>
        <w:rPr>
          <w:spacing w:val="-1"/>
        </w:rPr>
        <w:t xml:space="preserve"> </w:t>
      </w:r>
      <w:r>
        <w:t>obstructed</w:t>
      </w:r>
      <w:r>
        <w:rPr>
          <w:spacing w:val="-3"/>
        </w:rPr>
        <w:t xml:space="preserve"> </w:t>
      </w:r>
      <w:r>
        <w:t>in</w:t>
      </w:r>
      <w:r>
        <w:rPr>
          <w:spacing w:val="-1"/>
        </w:rPr>
        <w:t xml:space="preserve"> </w:t>
      </w:r>
      <w:r>
        <w:t>the</w:t>
      </w:r>
      <w:r>
        <w:rPr>
          <w:spacing w:val="-1"/>
        </w:rPr>
        <w:t xml:space="preserve"> </w:t>
      </w:r>
      <w:r>
        <w:t>lawful pursuit of</w:t>
      </w:r>
      <w:r>
        <w:rPr>
          <w:spacing w:val="-1"/>
        </w:rPr>
        <w:t xml:space="preserve"> </w:t>
      </w:r>
      <w:r>
        <w:t>their</w:t>
      </w:r>
      <w:r>
        <w:rPr>
          <w:spacing w:val="-1"/>
        </w:rPr>
        <w:t xml:space="preserve"> </w:t>
      </w:r>
      <w:r>
        <w:t>work,</w:t>
      </w:r>
      <w:r>
        <w:rPr>
          <w:spacing w:val="-4"/>
        </w:rPr>
        <w:t xml:space="preserve"> </w:t>
      </w:r>
      <w:r>
        <w:t>on</w:t>
      </w:r>
      <w:r>
        <w:rPr>
          <w:spacing w:val="-1"/>
        </w:rPr>
        <w:t xml:space="preserve"> </w:t>
      </w:r>
      <w:r>
        <w:t>the</w:t>
      </w:r>
      <w:r>
        <w:rPr>
          <w:spacing w:val="-1"/>
        </w:rPr>
        <w:t xml:space="preserve"> </w:t>
      </w:r>
      <w:r>
        <w:t>other.</w:t>
      </w:r>
      <w:r>
        <w:rPr>
          <w:spacing w:val="-1"/>
        </w:rPr>
        <w:t xml:space="preserve"> </w:t>
      </w:r>
      <w:r>
        <w:t>These laws include anti-protest legislation that operates in workplaces and safe access zones. Human rights enactments can provide a framework to clearly articulate the competing rights and potentially provide transparency in the human rights dialogue around the balancing of different interests.</w:t>
      </w:r>
      <w:r>
        <w:rPr>
          <w:vertAlign w:val="superscript"/>
        </w:rPr>
        <w:t>143</w:t>
      </w:r>
    </w:p>
    <w:p w14:paraId="7CB25E5B" w14:textId="77777777" w:rsidR="008A4099" w:rsidRDefault="006A6EE2">
      <w:pPr>
        <w:pStyle w:val="ListParagraph"/>
        <w:numPr>
          <w:ilvl w:val="2"/>
          <w:numId w:val="6"/>
        </w:numPr>
        <w:tabs>
          <w:tab w:val="left" w:pos="879"/>
        </w:tabs>
        <w:spacing w:before="219" w:line="237" w:lineRule="auto"/>
        <w:ind w:right="678" w:firstLine="0"/>
        <w:jc w:val="both"/>
      </w:pPr>
      <w:r>
        <w:t>In</w:t>
      </w:r>
      <w:r>
        <w:rPr>
          <w:spacing w:val="-5"/>
        </w:rPr>
        <w:t xml:space="preserve"> </w:t>
      </w:r>
      <w:r>
        <w:t>Tasmania,</w:t>
      </w:r>
      <w:r>
        <w:rPr>
          <w:spacing w:val="-4"/>
        </w:rPr>
        <w:t xml:space="preserve"> </w:t>
      </w:r>
      <w:r>
        <w:t>the</w:t>
      </w:r>
      <w:r>
        <w:rPr>
          <w:spacing w:val="-4"/>
        </w:rPr>
        <w:t xml:space="preserve"> </w:t>
      </w:r>
      <w:r>
        <w:t>ad</w:t>
      </w:r>
      <w:r>
        <w:rPr>
          <w:spacing w:val="-5"/>
        </w:rPr>
        <w:t xml:space="preserve"> </w:t>
      </w:r>
      <w:r>
        <w:t>hoc</w:t>
      </w:r>
      <w:r>
        <w:rPr>
          <w:spacing w:val="-4"/>
        </w:rPr>
        <w:t xml:space="preserve"> </w:t>
      </w:r>
      <w:r>
        <w:t>nature</w:t>
      </w:r>
      <w:r>
        <w:rPr>
          <w:spacing w:val="-4"/>
        </w:rPr>
        <w:t xml:space="preserve"> </w:t>
      </w:r>
      <w:r>
        <w:t>of</w:t>
      </w:r>
      <w:r>
        <w:rPr>
          <w:spacing w:val="-4"/>
        </w:rPr>
        <w:t xml:space="preserve"> </w:t>
      </w:r>
      <w:r>
        <w:t>human</w:t>
      </w:r>
      <w:r>
        <w:rPr>
          <w:spacing w:val="-5"/>
        </w:rPr>
        <w:t xml:space="preserve"> </w:t>
      </w:r>
      <w:r>
        <w:t>rights</w:t>
      </w:r>
      <w:r>
        <w:rPr>
          <w:spacing w:val="-6"/>
        </w:rPr>
        <w:t xml:space="preserve"> </w:t>
      </w:r>
      <w:r>
        <w:t>scrutiny</w:t>
      </w:r>
      <w:r>
        <w:rPr>
          <w:spacing w:val="-5"/>
        </w:rPr>
        <w:t xml:space="preserve"> </w:t>
      </w:r>
      <w:r>
        <w:t>appears</w:t>
      </w:r>
      <w:r>
        <w:rPr>
          <w:spacing w:val="-7"/>
        </w:rPr>
        <w:t xml:space="preserve"> </w:t>
      </w:r>
      <w:r>
        <w:t>to</w:t>
      </w:r>
      <w:r>
        <w:rPr>
          <w:spacing w:val="-7"/>
        </w:rPr>
        <w:t xml:space="preserve"> </w:t>
      </w:r>
      <w:r>
        <w:t>be</w:t>
      </w:r>
      <w:r>
        <w:rPr>
          <w:spacing w:val="-7"/>
        </w:rPr>
        <w:t xml:space="preserve"> </w:t>
      </w:r>
      <w:r>
        <w:t>evident</w:t>
      </w:r>
      <w:r>
        <w:rPr>
          <w:spacing w:val="-4"/>
        </w:rPr>
        <w:t xml:space="preserve"> </w:t>
      </w:r>
      <w:r>
        <w:t>in</w:t>
      </w:r>
      <w:r>
        <w:rPr>
          <w:spacing w:val="-5"/>
        </w:rPr>
        <w:t xml:space="preserve"> </w:t>
      </w:r>
      <w:r>
        <w:t>the</w:t>
      </w:r>
      <w:r>
        <w:rPr>
          <w:spacing w:val="-4"/>
        </w:rPr>
        <w:t xml:space="preserve"> </w:t>
      </w:r>
      <w:r>
        <w:t>legislative response to the enactment of anti-protest laws during the Review Period.</w:t>
      </w:r>
    </w:p>
    <w:p w14:paraId="7CB25E5C" w14:textId="77777777" w:rsidR="008A4099" w:rsidRDefault="006A6EE2">
      <w:pPr>
        <w:pStyle w:val="ListParagraph"/>
        <w:numPr>
          <w:ilvl w:val="2"/>
          <w:numId w:val="6"/>
        </w:numPr>
        <w:tabs>
          <w:tab w:val="left" w:pos="879"/>
        </w:tabs>
        <w:spacing w:before="218" w:line="242" w:lineRule="auto"/>
        <w:ind w:right="678" w:firstLine="0"/>
        <w:jc w:val="both"/>
      </w:pPr>
      <w:r>
        <w:t xml:space="preserve">The </w:t>
      </w:r>
      <w:r>
        <w:rPr>
          <w:i/>
        </w:rPr>
        <w:t xml:space="preserve">Workplaces (Protection from Protesters) Act 2014 </w:t>
      </w:r>
      <w:r>
        <w:t>(Tas) sought to prevent protests from occurring on ‘business premises’ or related ‘business access areas’. The balance between political communication and the rights of workplaces reflected in this Act was the subject of criticism by the United Nations Office of the High Commissioner for Human Rights as limiting a range of civil and political rights—including freedom of speech, freedom of political communication, freedom of movement,</w:t>
      </w:r>
      <w:r>
        <w:rPr>
          <w:spacing w:val="-12"/>
        </w:rPr>
        <w:t xml:space="preserve"> </w:t>
      </w:r>
      <w:r>
        <w:t>and</w:t>
      </w:r>
      <w:r>
        <w:rPr>
          <w:spacing w:val="-12"/>
        </w:rPr>
        <w:t xml:space="preserve"> </w:t>
      </w:r>
      <w:r>
        <w:t>freedom</w:t>
      </w:r>
      <w:r>
        <w:rPr>
          <w:spacing w:val="-9"/>
        </w:rPr>
        <w:t xml:space="preserve"> </w:t>
      </w:r>
      <w:r>
        <w:t>of</w:t>
      </w:r>
      <w:r>
        <w:rPr>
          <w:spacing w:val="-11"/>
        </w:rPr>
        <w:t xml:space="preserve"> </w:t>
      </w:r>
      <w:r>
        <w:t>association.</w:t>
      </w:r>
      <w:r>
        <w:rPr>
          <w:vertAlign w:val="superscript"/>
        </w:rPr>
        <w:t>144</w:t>
      </w:r>
      <w:r>
        <w:rPr>
          <w:spacing w:val="-9"/>
        </w:rPr>
        <w:t xml:space="preserve"> </w:t>
      </w:r>
      <w:r>
        <w:t>The</w:t>
      </w:r>
      <w:r>
        <w:rPr>
          <w:spacing w:val="-10"/>
        </w:rPr>
        <w:t xml:space="preserve"> </w:t>
      </w:r>
      <w:r>
        <w:t>United</w:t>
      </w:r>
      <w:r>
        <w:rPr>
          <w:spacing w:val="-9"/>
        </w:rPr>
        <w:t xml:space="preserve"> </w:t>
      </w:r>
      <w:r>
        <w:t>Nations</w:t>
      </w:r>
      <w:r>
        <w:rPr>
          <w:spacing w:val="-9"/>
        </w:rPr>
        <w:t xml:space="preserve"> </w:t>
      </w:r>
      <w:r>
        <w:t>High</w:t>
      </w:r>
      <w:r>
        <w:rPr>
          <w:spacing w:val="-10"/>
        </w:rPr>
        <w:t xml:space="preserve"> </w:t>
      </w:r>
      <w:r>
        <w:t>Commissioner</w:t>
      </w:r>
      <w:r>
        <w:rPr>
          <w:spacing w:val="-11"/>
        </w:rPr>
        <w:t xml:space="preserve"> </w:t>
      </w:r>
      <w:r>
        <w:t>was</w:t>
      </w:r>
      <w:r>
        <w:rPr>
          <w:spacing w:val="-9"/>
        </w:rPr>
        <w:t xml:space="preserve"> </w:t>
      </w:r>
      <w:r>
        <w:t>of</w:t>
      </w:r>
      <w:r>
        <w:rPr>
          <w:spacing w:val="-11"/>
        </w:rPr>
        <w:t xml:space="preserve"> </w:t>
      </w:r>
      <w:r>
        <w:t>the</w:t>
      </w:r>
      <w:r>
        <w:rPr>
          <w:spacing w:val="-9"/>
        </w:rPr>
        <w:t xml:space="preserve"> </w:t>
      </w:r>
      <w:r>
        <w:t>view</w:t>
      </w:r>
      <w:r>
        <w:rPr>
          <w:spacing w:val="-10"/>
        </w:rPr>
        <w:t xml:space="preserve"> </w:t>
      </w:r>
      <w:r>
        <w:t>that the anti-protest Bill ‘would almost certainly run afoul of Australia’s human rights obligations, which</w:t>
      </w:r>
    </w:p>
    <w:p w14:paraId="7CB25E5D" w14:textId="77777777" w:rsidR="008A4099" w:rsidRDefault="008A4099">
      <w:pPr>
        <w:pStyle w:val="BodyText"/>
        <w:rPr>
          <w:sz w:val="20"/>
        </w:rPr>
      </w:pPr>
    </w:p>
    <w:p w14:paraId="7CB25E5E" w14:textId="77777777" w:rsidR="008A4099" w:rsidRDefault="008A4099">
      <w:pPr>
        <w:pStyle w:val="BodyText"/>
        <w:rPr>
          <w:sz w:val="20"/>
        </w:rPr>
      </w:pPr>
    </w:p>
    <w:p w14:paraId="7CB25E5F" w14:textId="77777777" w:rsidR="008A4099" w:rsidRDefault="006A6EE2">
      <w:pPr>
        <w:pStyle w:val="BodyText"/>
        <w:spacing w:before="168"/>
        <w:rPr>
          <w:sz w:val="20"/>
        </w:rPr>
      </w:pPr>
      <w:r>
        <w:rPr>
          <w:noProof/>
        </w:rPr>
        <mc:AlternateContent>
          <mc:Choice Requires="wps">
            <w:drawing>
              <wp:anchor distT="0" distB="0" distL="0" distR="0" simplePos="0" relativeHeight="487599616" behindDoc="1" locked="0" layoutInCell="1" allowOverlap="1" wp14:anchorId="7CB26607" wp14:editId="7CB26608">
                <wp:simplePos x="0" y="0"/>
                <wp:positionH relativeFrom="page">
                  <wp:posOffset>914704</wp:posOffset>
                </wp:positionH>
                <wp:positionV relativeFrom="paragraph">
                  <wp:posOffset>268296</wp:posOffset>
                </wp:positionV>
                <wp:extent cx="1829435" cy="762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0A6904" id="Graphic 65" o:spid="_x0000_s1026" style="position:absolute;margin-left:1in;margin-top:21.15pt;width:144.05pt;height:.6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" path="m1829054,l,,,7620r1829054,l1829054,xe" fillcolor="black" stroked="f">
                <v:path arrowok="t"/>
                <w10:wrap type="topAndBottom" anchorx="page"/>
              </v:shape>
            </w:pict>
          </mc:Fallback>
        </mc:AlternateContent>
      </w:r>
    </w:p>
    <w:p w14:paraId="7CB25E60" w14:textId="77777777" w:rsidR="008A4099" w:rsidRDefault="006A6EE2">
      <w:pPr>
        <w:spacing w:before="112"/>
        <w:ind w:left="160"/>
        <w:jc w:val="both"/>
        <w:rPr>
          <w:sz w:val="18"/>
        </w:rPr>
      </w:pPr>
      <w:r>
        <w:rPr>
          <w:sz w:val="18"/>
          <w:vertAlign w:val="superscript"/>
        </w:rPr>
        <w:t>142</w:t>
      </w:r>
      <w:r>
        <w:rPr>
          <w:sz w:val="18"/>
        </w:rPr>
        <w:t xml:space="preserve"> TLRI</w:t>
      </w:r>
      <w:r>
        <w:rPr>
          <w:spacing w:val="1"/>
          <w:sz w:val="18"/>
        </w:rPr>
        <w:t xml:space="preserve"> </w:t>
      </w:r>
      <w:r>
        <w:rPr>
          <w:sz w:val="18"/>
        </w:rPr>
        <w:t>2007</w:t>
      </w:r>
      <w:r>
        <w:rPr>
          <w:spacing w:val="3"/>
          <w:sz w:val="18"/>
        </w:rPr>
        <w:t xml:space="preserve"> </w:t>
      </w:r>
      <w:r>
        <w:rPr>
          <w:sz w:val="18"/>
        </w:rPr>
        <w:t>Final</w:t>
      </w:r>
      <w:r>
        <w:rPr>
          <w:spacing w:val="2"/>
          <w:sz w:val="18"/>
        </w:rPr>
        <w:t xml:space="preserve"> </w:t>
      </w:r>
      <w:r>
        <w:rPr>
          <w:sz w:val="18"/>
        </w:rPr>
        <w:t>Report</w:t>
      </w:r>
      <w:r>
        <w:rPr>
          <w:spacing w:val="2"/>
          <w:sz w:val="18"/>
        </w:rPr>
        <w:t xml:space="preserve"> </w:t>
      </w:r>
      <w:r>
        <w:rPr>
          <w:spacing w:val="-2"/>
          <w:sz w:val="18"/>
        </w:rPr>
        <w:t>[4.2.26].</w:t>
      </w:r>
    </w:p>
    <w:p w14:paraId="7CB25E61" w14:textId="77777777" w:rsidR="008A4099" w:rsidRDefault="006A6EE2">
      <w:pPr>
        <w:spacing w:before="24"/>
        <w:ind w:left="160"/>
        <w:jc w:val="both"/>
        <w:rPr>
          <w:sz w:val="18"/>
        </w:rPr>
      </w:pPr>
      <w:r>
        <w:rPr>
          <w:sz w:val="18"/>
          <w:vertAlign w:val="superscript"/>
        </w:rPr>
        <w:t>143</w:t>
      </w:r>
      <w:r>
        <w:rPr>
          <w:spacing w:val="5"/>
          <w:sz w:val="18"/>
        </w:rPr>
        <w:t xml:space="preserve"> </w:t>
      </w:r>
      <w:r>
        <w:rPr>
          <w:sz w:val="18"/>
        </w:rPr>
        <w:t>See</w:t>
      </w:r>
      <w:r>
        <w:rPr>
          <w:spacing w:val="5"/>
          <w:sz w:val="18"/>
        </w:rPr>
        <w:t xml:space="preserve"> </w:t>
      </w:r>
      <w:r>
        <w:rPr>
          <w:spacing w:val="-2"/>
          <w:sz w:val="18"/>
        </w:rPr>
        <w:t>[3.3].</w:t>
      </w:r>
    </w:p>
    <w:p w14:paraId="7CB25E62" w14:textId="77777777" w:rsidR="008A4099" w:rsidRDefault="006A6EE2">
      <w:pPr>
        <w:spacing w:before="23" w:line="244" w:lineRule="auto"/>
        <w:ind w:left="160" w:right="676"/>
        <w:jc w:val="both"/>
        <w:rPr>
          <w:sz w:val="18"/>
        </w:rPr>
      </w:pPr>
      <w:r>
        <w:rPr>
          <w:sz w:val="18"/>
          <w:vertAlign w:val="superscript"/>
        </w:rPr>
        <w:t>144</w:t>
      </w:r>
      <w:r>
        <w:rPr>
          <w:sz w:val="18"/>
        </w:rPr>
        <w:t xml:space="preserve"> See, for example, United Nations High Commissioner for Human Rights, ‘UN Experts Urge Tasmania to Drop its Anti- Protest Bill’ (Press Release, 9 September 2014)</w:t>
      </w:r>
    </w:p>
    <w:p w14:paraId="7CB25E63" w14:textId="77777777" w:rsidR="008A4099" w:rsidRDefault="006A6EE2">
      <w:pPr>
        <w:ind w:left="160" w:right="671"/>
        <w:jc w:val="both"/>
        <w:rPr>
          <w:sz w:val="18"/>
        </w:rPr>
      </w:pPr>
      <w:r>
        <w:rPr>
          <w:sz w:val="18"/>
        </w:rPr>
        <w:t>&lt;</w:t>
      </w:r>
      <w:hyperlink r:id="rId75">
        <w:r>
          <w:rPr>
            <w:sz w:val="18"/>
          </w:rPr>
          <w:t>www.ohchr.org/EN/NewsEvents/Pages/DisplayNews.aspx?NewsID=15002&amp;LangID=E&gt;;</w:t>
        </w:r>
      </w:hyperlink>
      <w:r>
        <w:rPr>
          <w:sz w:val="18"/>
        </w:rPr>
        <w:t xml:space="preserve"> Maina Kiai, Report of the Special Rapporteur on the Rights to Freedom of Peaceful Assembly and of Association: Addendum – Observations on Communications Transmitted to Governments and Replies Received, 29th session, UN Doc A/HRC/29/25/Add.3 (10 June 2015) 41 [211]–[212]; Matthew Verney (Law Society of Tasmania), ‘</w:t>
      </w:r>
      <w:r>
        <w:rPr>
          <w:i/>
          <w:sz w:val="18"/>
        </w:rPr>
        <w:t>Workplaces (Protection from Protesters) Bill 2014</w:t>
      </w:r>
      <w:r>
        <w:rPr>
          <w:sz w:val="18"/>
        </w:rPr>
        <w:t>’ (Media Release, 29 October 2014); Amnesty International, ‘Draconian Anti-Protest Legislation Would Take Tasmania Back to the Dark Ages’ (Media Release, 15 November 2019) &lt;https://</w:t>
      </w:r>
      <w:hyperlink r:id="rId76">
        <w:r>
          <w:rPr>
            <w:sz w:val="18"/>
          </w:rPr>
          <w:t>www.amnesty.org.au/draconian-anti-protest-legislation-</w:t>
        </w:r>
      </w:hyperlink>
      <w:r>
        <w:rPr>
          <w:sz w:val="18"/>
        </w:rPr>
        <w:t xml:space="preserve"> </w:t>
      </w:r>
      <w:r>
        <w:rPr>
          <w:spacing w:val="-2"/>
          <w:sz w:val="18"/>
        </w:rPr>
        <w:t>would-take-tasmania-back-to-the-dark-ages/&gt;.</w:t>
      </w:r>
    </w:p>
    <w:p w14:paraId="7CB25E64"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E65" w14:textId="77777777" w:rsidR="008A4099" w:rsidRDefault="008A4099">
      <w:pPr>
        <w:pStyle w:val="BodyText"/>
        <w:spacing w:before="216"/>
      </w:pPr>
    </w:p>
    <w:p w14:paraId="7CB25E66" w14:textId="77777777" w:rsidR="008A4099" w:rsidRDefault="006A6EE2">
      <w:pPr>
        <w:pStyle w:val="BodyText"/>
        <w:spacing w:line="247" w:lineRule="auto"/>
        <w:ind w:left="160" w:right="676"/>
        <w:jc w:val="both"/>
      </w:pPr>
      <w:r>
        <w:t>Tasmania is also obliged to uphold’.</w:t>
      </w:r>
      <w:r>
        <w:rPr>
          <w:vertAlign w:val="superscript"/>
        </w:rPr>
        <w:t>145</w:t>
      </w:r>
      <w:r>
        <w:t xml:space="preserve"> The validity of this Act was challenged in the High Court; in 2017,</w:t>
      </w:r>
      <w:r>
        <w:rPr>
          <w:spacing w:val="-11"/>
        </w:rPr>
        <w:t xml:space="preserve"> </w:t>
      </w:r>
      <w:r>
        <w:t>by</w:t>
      </w:r>
      <w:r>
        <w:rPr>
          <w:spacing w:val="-11"/>
        </w:rPr>
        <w:t xml:space="preserve"> </w:t>
      </w:r>
      <w:r>
        <w:t>a</w:t>
      </w:r>
      <w:r>
        <w:rPr>
          <w:spacing w:val="-13"/>
        </w:rPr>
        <w:t xml:space="preserve"> </w:t>
      </w:r>
      <w:r>
        <w:t>majority</w:t>
      </w:r>
      <w:r>
        <w:rPr>
          <w:spacing w:val="-11"/>
        </w:rPr>
        <w:t xml:space="preserve"> </w:t>
      </w:r>
      <w:r>
        <w:t>of</w:t>
      </w:r>
      <w:r>
        <w:rPr>
          <w:spacing w:val="-10"/>
        </w:rPr>
        <w:t xml:space="preserve"> </w:t>
      </w:r>
      <w:r>
        <w:t>6:1,</w:t>
      </w:r>
      <w:r>
        <w:rPr>
          <w:spacing w:val="-13"/>
        </w:rPr>
        <w:t xml:space="preserve"> </w:t>
      </w:r>
      <w:r>
        <w:t>the</w:t>
      </w:r>
      <w:r>
        <w:rPr>
          <w:spacing w:val="-11"/>
        </w:rPr>
        <w:t xml:space="preserve"> </w:t>
      </w:r>
      <w:r>
        <w:t>Court</w:t>
      </w:r>
      <w:r>
        <w:rPr>
          <w:spacing w:val="-10"/>
        </w:rPr>
        <w:t xml:space="preserve"> </w:t>
      </w:r>
      <w:r>
        <w:t>struck</w:t>
      </w:r>
      <w:r>
        <w:rPr>
          <w:spacing w:val="-11"/>
        </w:rPr>
        <w:t xml:space="preserve"> </w:t>
      </w:r>
      <w:r>
        <w:t>down</w:t>
      </w:r>
      <w:r>
        <w:rPr>
          <w:spacing w:val="-11"/>
        </w:rPr>
        <w:t xml:space="preserve"> </w:t>
      </w:r>
      <w:r>
        <w:t>core</w:t>
      </w:r>
      <w:r>
        <w:rPr>
          <w:spacing w:val="-11"/>
        </w:rPr>
        <w:t xml:space="preserve"> </w:t>
      </w:r>
      <w:r>
        <w:t>provisions</w:t>
      </w:r>
      <w:r>
        <w:rPr>
          <w:spacing w:val="-10"/>
        </w:rPr>
        <w:t xml:space="preserve"> </w:t>
      </w:r>
      <w:r>
        <w:t>on</w:t>
      </w:r>
      <w:r>
        <w:rPr>
          <w:spacing w:val="-13"/>
        </w:rPr>
        <w:t xml:space="preserve"> </w:t>
      </w:r>
      <w:r>
        <w:t>the</w:t>
      </w:r>
      <w:r>
        <w:rPr>
          <w:spacing w:val="-11"/>
        </w:rPr>
        <w:t xml:space="preserve"> </w:t>
      </w:r>
      <w:r>
        <w:t>ground</w:t>
      </w:r>
      <w:r>
        <w:rPr>
          <w:spacing w:val="-13"/>
        </w:rPr>
        <w:t xml:space="preserve"> </w:t>
      </w:r>
      <w:r>
        <w:t>that</w:t>
      </w:r>
      <w:r>
        <w:rPr>
          <w:spacing w:val="-12"/>
        </w:rPr>
        <w:t xml:space="preserve"> </w:t>
      </w:r>
      <w:r>
        <w:t>they</w:t>
      </w:r>
      <w:r>
        <w:rPr>
          <w:spacing w:val="-13"/>
        </w:rPr>
        <w:t xml:space="preserve"> </w:t>
      </w:r>
      <w:r>
        <w:t xml:space="preserve">impermissibly interfered with the implied freedom of political communication protected by the Commonwealth </w:t>
      </w:r>
      <w:r>
        <w:rPr>
          <w:spacing w:val="-2"/>
        </w:rPr>
        <w:t>Constitution.</w:t>
      </w:r>
      <w:r>
        <w:rPr>
          <w:spacing w:val="-2"/>
          <w:vertAlign w:val="superscript"/>
        </w:rPr>
        <w:t>146</w:t>
      </w:r>
    </w:p>
    <w:p w14:paraId="7CB25E67" w14:textId="77777777" w:rsidR="008A4099" w:rsidRDefault="006A6EE2">
      <w:pPr>
        <w:pStyle w:val="ListParagraph"/>
        <w:numPr>
          <w:ilvl w:val="2"/>
          <w:numId w:val="6"/>
        </w:numPr>
        <w:tabs>
          <w:tab w:val="left" w:pos="879"/>
        </w:tabs>
        <w:spacing w:before="209"/>
        <w:ind w:right="674" w:firstLine="0"/>
        <w:jc w:val="both"/>
      </w:pPr>
      <w:r>
        <w:t>Two</w:t>
      </w:r>
      <w:r>
        <w:rPr>
          <w:spacing w:val="-5"/>
        </w:rPr>
        <w:t xml:space="preserve"> </w:t>
      </w:r>
      <w:r>
        <w:t>further</w:t>
      </w:r>
      <w:r>
        <w:rPr>
          <w:spacing w:val="-4"/>
        </w:rPr>
        <w:t xml:space="preserve"> </w:t>
      </w:r>
      <w:r>
        <w:t>attempts</w:t>
      </w:r>
      <w:r>
        <w:rPr>
          <w:spacing w:val="-6"/>
        </w:rPr>
        <w:t xml:space="preserve"> </w:t>
      </w:r>
      <w:r>
        <w:t>to</w:t>
      </w:r>
      <w:r>
        <w:rPr>
          <w:spacing w:val="-5"/>
        </w:rPr>
        <w:t xml:space="preserve"> </w:t>
      </w:r>
      <w:r>
        <w:t>make</w:t>
      </w:r>
      <w:r>
        <w:rPr>
          <w:spacing w:val="-4"/>
        </w:rPr>
        <w:t xml:space="preserve"> </w:t>
      </w:r>
      <w:r>
        <w:t>amendments</w:t>
      </w:r>
      <w:r>
        <w:rPr>
          <w:spacing w:val="-6"/>
        </w:rPr>
        <w:t xml:space="preserve"> </w:t>
      </w:r>
      <w:r>
        <w:t>to</w:t>
      </w:r>
      <w:r>
        <w:rPr>
          <w:spacing w:val="-5"/>
        </w:rPr>
        <w:t xml:space="preserve"> </w:t>
      </w:r>
      <w:r>
        <w:t>the</w:t>
      </w:r>
      <w:r>
        <w:rPr>
          <w:spacing w:val="-4"/>
        </w:rPr>
        <w:t xml:space="preserve"> </w:t>
      </w:r>
      <w:r>
        <w:rPr>
          <w:i/>
        </w:rPr>
        <w:t>Workplaces</w:t>
      </w:r>
      <w:r>
        <w:rPr>
          <w:i/>
          <w:spacing w:val="-4"/>
        </w:rPr>
        <w:t xml:space="preserve"> </w:t>
      </w:r>
      <w:r>
        <w:rPr>
          <w:i/>
        </w:rPr>
        <w:t>(Protection</w:t>
      </w:r>
      <w:r>
        <w:rPr>
          <w:i/>
          <w:spacing w:val="-7"/>
        </w:rPr>
        <w:t xml:space="preserve"> </w:t>
      </w:r>
      <w:r>
        <w:rPr>
          <w:i/>
        </w:rPr>
        <w:t>from</w:t>
      </w:r>
      <w:r>
        <w:rPr>
          <w:i/>
          <w:spacing w:val="-5"/>
        </w:rPr>
        <w:t xml:space="preserve"> </w:t>
      </w:r>
      <w:r>
        <w:rPr>
          <w:i/>
        </w:rPr>
        <w:t>Protesters)</w:t>
      </w:r>
      <w:r>
        <w:rPr>
          <w:i/>
          <w:spacing w:val="-4"/>
        </w:rPr>
        <w:t xml:space="preserve"> </w:t>
      </w:r>
      <w:r>
        <w:rPr>
          <w:i/>
        </w:rPr>
        <w:t>Act 2014</w:t>
      </w:r>
      <w:r>
        <w:rPr>
          <w:i/>
          <w:spacing w:val="-9"/>
        </w:rPr>
        <w:t xml:space="preserve"> </w:t>
      </w:r>
      <w:r>
        <w:t>(Tas)</w:t>
      </w:r>
      <w:r>
        <w:rPr>
          <w:spacing w:val="-6"/>
        </w:rPr>
        <w:t xml:space="preserve"> </w:t>
      </w:r>
      <w:r>
        <w:t>were</w:t>
      </w:r>
      <w:r>
        <w:rPr>
          <w:spacing w:val="-9"/>
        </w:rPr>
        <w:t xml:space="preserve"> </w:t>
      </w:r>
      <w:r>
        <w:t>criticised</w:t>
      </w:r>
      <w:r>
        <w:rPr>
          <w:spacing w:val="-10"/>
        </w:rPr>
        <w:t xml:space="preserve"> </w:t>
      </w:r>
      <w:r>
        <w:t>by</w:t>
      </w:r>
      <w:r>
        <w:rPr>
          <w:spacing w:val="-7"/>
        </w:rPr>
        <w:t xml:space="preserve"> </w:t>
      </w:r>
      <w:r>
        <w:t>legal</w:t>
      </w:r>
      <w:r>
        <w:rPr>
          <w:spacing w:val="-8"/>
        </w:rPr>
        <w:t xml:space="preserve"> </w:t>
      </w:r>
      <w:r>
        <w:t>and</w:t>
      </w:r>
      <w:r>
        <w:rPr>
          <w:spacing w:val="-9"/>
        </w:rPr>
        <w:t xml:space="preserve"> </w:t>
      </w:r>
      <w:r>
        <w:t>human</w:t>
      </w:r>
      <w:r>
        <w:rPr>
          <w:spacing w:val="-9"/>
        </w:rPr>
        <w:t xml:space="preserve"> </w:t>
      </w:r>
      <w:r>
        <w:t>rights</w:t>
      </w:r>
      <w:r>
        <w:rPr>
          <w:spacing w:val="-9"/>
        </w:rPr>
        <w:t xml:space="preserve"> </w:t>
      </w:r>
      <w:r>
        <w:t>experts</w:t>
      </w:r>
      <w:r>
        <w:rPr>
          <w:spacing w:val="-9"/>
        </w:rPr>
        <w:t xml:space="preserve"> </w:t>
      </w:r>
      <w:r>
        <w:t>and</w:t>
      </w:r>
      <w:r>
        <w:rPr>
          <w:spacing w:val="-7"/>
        </w:rPr>
        <w:t xml:space="preserve"> </w:t>
      </w:r>
      <w:r>
        <w:t>organisations,</w:t>
      </w:r>
      <w:r>
        <w:rPr>
          <w:spacing w:val="-9"/>
        </w:rPr>
        <w:t xml:space="preserve"> </w:t>
      </w:r>
      <w:r>
        <w:t>including</w:t>
      </w:r>
      <w:r>
        <w:rPr>
          <w:spacing w:val="-10"/>
        </w:rPr>
        <w:t xml:space="preserve"> </w:t>
      </w:r>
      <w:r>
        <w:t>the</w:t>
      </w:r>
      <w:r>
        <w:rPr>
          <w:spacing w:val="-7"/>
        </w:rPr>
        <w:t xml:space="preserve"> </w:t>
      </w:r>
      <w:r>
        <w:t>TLRI,</w:t>
      </w:r>
      <w:r>
        <w:rPr>
          <w:spacing w:val="-7"/>
        </w:rPr>
        <w:t xml:space="preserve"> </w:t>
      </w:r>
      <w:r>
        <w:t>for failing to minimise or moderate limitations on human rights and freedoms.</w:t>
      </w:r>
      <w:r>
        <w:rPr>
          <w:vertAlign w:val="superscript"/>
        </w:rPr>
        <w:t>147</w:t>
      </w:r>
      <w:r>
        <w:t xml:space="preserve"> The draft Bills were not referred to a Committee for consideration and, in the public consultation on an exposure draft of the Bill, there was no explanation provided as to how the amendments would avoid further constitutional invalidity. Neither was there a statement on the Bill’s consistency with international human rights norms,</w:t>
      </w:r>
      <w:r>
        <w:rPr>
          <w:spacing w:val="-11"/>
        </w:rPr>
        <w:t xml:space="preserve"> </w:t>
      </w:r>
      <w:r>
        <w:t>or</w:t>
      </w:r>
      <w:r>
        <w:rPr>
          <w:spacing w:val="-11"/>
        </w:rPr>
        <w:t xml:space="preserve"> </w:t>
      </w:r>
      <w:r>
        <w:t>whether</w:t>
      </w:r>
      <w:r>
        <w:rPr>
          <w:spacing w:val="-13"/>
        </w:rPr>
        <w:t xml:space="preserve"> </w:t>
      </w:r>
      <w:r>
        <w:t>and</w:t>
      </w:r>
      <w:r>
        <w:rPr>
          <w:spacing w:val="-12"/>
        </w:rPr>
        <w:t xml:space="preserve"> </w:t>
      </w:r>
      <w:r>
        <w:t>how</w:t>
      </w:r>
      <w:r>
        <w:rPr>
          <w:spacing w:val="-14"/>
        </w:rPr>
        <w:t xml:space="preserve"> </w:t>
      </w:r>
      <w:r>
        <w:t>it</w:t>
      </w:r>
      <w:r>
        <w:rPr>
          <w:spacing w:val="-10"/>
        </w:rPr>
        <w:t xml:space="preserve"> </w:t>
      </w:r>
      <w:r>
        <w:t>avoided</w:t>
      </w:r>
      <w:r>
        <w:rPr>
          <w:spacing w:val="-12"/>
        </w:rPr>
        <w:t xml:space="preserve"> </w:t>
      </w:r>
      <w:r>
        <w:t>unjustifiable</w:t>
      </w:r>
      <w:r>
        <w:rPr>
          <w:spacing w:val="-12"/>
        </w:rPr>
        <w:t xml:space="preserve"> </w:t>
      </w:r>
      <w:r>
        <w:t>intrusion</w:t>
      </w:r>
      <w:r>
        <w:rPr>
          <w:spacing w:val="-14"/>
        </w:rPr>
        <w:t xml:space="preserve"> </w:t>
      </w:r>
      <w:r>
        <w:t>on</w:t>
      </w:r>
      <w:r>
        <w:rPr>
          <w:spacing w:val="-11"/>
        </w:rPr>
        <w:t xml:space="preserve"> </w:t>
      </w:r>
      <w:r>
        <w:t>fundamental</w:t>
      </w:r>
      <w:r>
        <w:rPr>
          <w:spacing w:val="-11"/>
        </w:rPr>
        <w:t xml:space="preserve"> </w:t>
      </w:r>
      <w:r>
        <w:t>common</w:t>
      </w:r>
      <w:r>
        <w:rPr>
          <w:spacing w:val="-14"/>
        </w:rPr>
        <w:t xml:space="preserve"> </w:t>
      </w:r>
      <w:r>
        <w:t>law</w:t>
      </w:r>
      <w:r>
        <w:rPr>
          <w:spacing w:val="-11"/>
        </w:rPr>
        <w:t xml:space="preserve"> </w:t>
      </w:r>
      <w:r>
        <w:t>and</w:t>
      </w:r>
      <w:r>
        <w:rPr>
          <w:spacing w:val="-14"/>
        </w:rPr>
        <w:t xml:space="preserve"> </w:t>
      </w:r>
      <w:r>
        <w:t>statutory rights and freedoms.</w:t>
      </w:r>
      <w:r>
        <w:rPr>
          <w:vertAlign w:val="superscript"/>
        </w:rPr>
        <w:t>148</w:t>
      </w:r>
    </w:p>
    <w:p w14:paraId="7CB25E68" w14:textId="77777777" w:rsidR="008A4099" w:rsidRDefault="006A6EE2">
      <w:pPr>
        <w:pStyle w:val="ListParagraph"/>
        <w:numPr>
          <w:ilvl w:val="2"/>
          <w:numId w:val="6"/>
        </w:numPr>
        <w:tabs>
          <w:tab w:val="left" w:pos="879"/>
        </w:tabs>
        <w:spacing w:before="216"/>
        <w:ind w:right="672" w:firstLine="0"/>
        <w:jc w:val="both"/>
      </w:pPr>
      <w:r>
        <w:t xml:space="preserve">In contrast, in Tasmania, a Committee was convened for the </w:t>
      </w:r>
      <w:r>
        <w:rPr>
          <w:i/>
        </w:rPr>
        <w:t xml:space="preserve">Reproductive Health (Access to Terminations) Bill 2013 </w:t>
      </w:r>
      <w:r>
        <w:t xml:space="preserve">(Tas). The </w:t>
      </w:r>
      <w:r>
        <w:rPr>
          <w:i/>
        </w:rPr>
        <w:t xml:space="preserve">Reproductive Health (Access to Terminations) Act 2013 </w:t>
      </w:r>
      <w:r>
        <w:t>(Tas) (‘Reproductive Health Act’) decriminalised abortion and introduced ‘safe access zones’ preventing harassment and protest activity within 150 metres of facilities providing abortion services. The safe access zone provisions were designed to protect the privacy, safety, dignity, and wellbeing of patients accessing abortion services and the staff providing those services, by prohibiting certain behaviours, such</w:t>
      </w:r>
      <w:r>
        <w:rPr>
          <w:spacing w:val="-6"/>
        </w:rPr>
        <w:t xml:space="preserve"> </w:t>
      </w:r>
      <w:r>
        <w:t>as</w:t>
      </w:r>
      <w:r>
        <w:rPr>
          <w:spacing w:val="-5"/>
        </w:rPr>
        <w:t xml:space="preserve"> </w:t>
      </w:r>
      <w:r>
        <w:t>harassment,</w:t>
      </w:r>
      <w:r>
        <w:rPr>
          <w:spacing w:val="-6"/>
        </w:rPr>
        <w:t xml:space="preserve"> </w:t>
      </w:r>
      <w:r>
        <w:t>obstruction,</w:t>
      </w:r>
      <w:r>
        <w:rPr>
          <w:spacing w:val="-8"/>
        </w:rPr>
        <w:t xml:space="preserve"> </w:t>
      </w:r>
      <w:r>
        <w:t>and</w:t>
      </w:r>
      <w:r>
        <w:rPr>
          <w:spacing w:val="-6"/>
        </w:rPr>
        <w:t xml:space="preserve"> </w:t>
      </w:r>
      <w:r>
        <w:t>filming</w:t>
      </w:r>
      <w:r>
        <w:rPr>
          <w:spacing w:val="-6"/>
        </w:rPr>
        <w:t xml:space="preserve"> </w:t>
      </w:r>
      <w:r>
        <w:t>near</w:t>
      </w:r>
      <w:r>
        <w:rPr>
          <w:spacing w:val="-5"/>
        </w:rPr>
        <w:t xml:space="preserve"> </w:t>
      </w:r>
      <w:r>
        <w:t>clinics.</w:t>
      </w:r>
      <w:r>
        <w:rPr>
          <w:vertAlign w:val="superscript"/>
        </w:rPr>
        <w:t>149</w:t>
      </w:r>
      <w:r>
        <w:rPr>
          <w:spacing w:val="-6"/>
        </w:rPr>
        <w:t xml:space="preserve"> </w:t>
      </w:r>
      <w:r>
        <w:t>During</w:t>
      </w:r>
      <w:r>
        <w:rPr>
          <w:spacing w:val="-9"/>
        </w:rPr>
        <w:t xml:space="preserve"> </w:t>
      </w:r>
      <w:r>
        <w:t>the</w:t>
      </w:r>
      <w:r>
        <w:rPr>
          <w:spacing w:val="-6"/>
        </w:rPr>
        <w:t xml:space="preserve"> </w:t>
      </w:r>
      <w:r>
        <w:t>legislative</w:t>
      </w:r>
      <w:r>
        <w:rPr>
          <w:spacing w:val="-6"/>
        </w:rPr>
        <w:t xml:space="preserve"> </w:t>
      </w:r>
      <w:r>
        <w:t>process,</w:t>
      </w:r>
      <w:r>
        <w:rPr>
          <w:spacing w:val="-9"/>
        </w:rPr>
        <w:t xml:space="preserve"> </w:t>
      </w:r>
      <w:r>
        <w:t>the</w:t>
      </w:r>
      <w:r>
        <w:rPr>
          <w:spacing w:val="-3"/>
        </w:rPr>
        <w:t xml:space="preserve"> </w:t>
      </w:r>
      <w:r>
        <w:t>Bill</w:t>
      </w:r>
      <w:r>
        <w:rPr>
          <w:spacing w:val="-5"/>
        </w:rPr>
        <w:t xml:space="preserve"> </w:t>
      </w:r>
      <w:r>
        <w:t>was referred to the Legislative Council Sessional Government Administration Committee ‘A’</w:t>
      </w:r>
      <w:r>
        <w:rPr>
          <w:spacing w:val="-1"/>
        </w:rPr>
        <w:t xml:space="preserve"> </w:t>
      </w:r>
      <w:r>
        <w:t>for inquiry. The Committee called for public submissions and held public hearings, before reporting to the Legislative Council. A range of submissions addressed the human rights they considered would be affected by</w:t>
      </w:r>
      <w:r>
        <w:rPr>
          <w:spacing w:val="-1"/>
        </w:rPr>
        <w:t xml:space="preserve"> </w:t>
      </w:r>
      <w:r>
        <w:t>the Bill, including the</w:t>
      </w:r>
      <w:r>
        <w:rPr>
          <w:spacing w:val="-1"/>
        </w:rPr>
        <w:t xml:space="preserve"> </w:t>
      </w:r>
      <w:r>
        <w:t>right to life, reproductive rights,</w:t>
      </w:r>
      <w:r>
        <w:rPr>
          <w:spacing w:val="-1"/>
        </w:rPr>
        <w:t xml:space="preserve"> </w:t>
      </w:r>
      <w:r>
        <w:t>religious</w:t>
      </w:r>
      <w:r>
        <w:rPr>
          <w:spacing w:val="-1"/>
        </w:rPr>
        <w:t xml:space="preserve"> </w:t>
      </w:r>
      <w:r>
        <w:t>freedoms,</w:t>
      </w:r>
      <w:r>
        <w:rPr>
          <w:spacing w:val="-1"/>
        </w:rPr>
        <w:t xml:space="preserve"> </w:t>
      </w:r>
      <w:r>
        <w:t>and freedom of political</w:t>
      </w:r>
      <w:r>
        <w:rPr>
          <w:spacing w:val="-1"/>
        </w:rPr>
        <w:t xml:space="preserve"> </w:t>
      </w:r>
      <w:r>
        <w:t>expression.</w:t>
      </w:r>
      <w:r>
        <w:rPr>
          <w:spacing w:val="-2"/>
        </w:rPr>
        <w:t xml:space="preserve"> </w:t>
      </w:r>
      <w:r>
        <w:t>The</w:t>
      </w:r>
      <w:r>
        <w:rPr>
          <w:spacing w:val="-2"/>
        </w:rPr>
        <w:t xml:space="preserve"> </w:t>
      </w:r>
      <w:r>
        <w:t>Committee’s</w:t>
      </w:r>
      <w:r>
        <w:rPr>
          <w:spacing w:val="-2"/>
        </w:rPr>
        <w:t xml:space="preserve"> </w:t>
      </w:r>
      <w:r>
        <w:t>report</w:t>
      </w:r>
      <w:r>
        <w:rPr>
          <w:spacing w:val="-1"/>
        </w:rPr>
        <w:t xml:space="preserve"> </w:t>
      </w:r>
      <w:r>
        <w:t>outlined</w:t>
      </w:r>
      <w:r>
        <w:rPr>
          <w:spacing w:val="-4"/>
        </w:rPr>
        <w:t xml:space="preserve"> </w:t>
      </w:r>
      <w:r>
        <w:t>a</w:t>
      </w:r>
      <w:r>
        <w:rPr>
          <w:spacing w:val="-2"/>
        </w:rPr>
        <w:t xml:space="preserve"> </w:t>
      </w:r>
      <w:r>
        <w:t>range</w:t>
      </w:r>
      <w:r>
        <w:rPr>
          <w:spacing w:val="-2"/>
        </w:rPr>
        <w:t xml:space="preserve"> </w:t>
      </w:r>
      <w:r>
        <w:t>of</w:t>
      </w:r>
      <w:r>
        <w:rPr>
          <w:spacing w:val="-1"/>
        </w:rPr>
        <w:t xml:space="preserve"> </w:t>
      </w:r>
      <w:r>
        <w:t>competing</w:t>
      </w:r>
      <w:r>
        <w:rPr>
          <w:spacing w:val="-2"/>
        </w:rPr>
        <w:t xml:space="preserve"> </w:t>
      </w:r>
      <w:r>
        <w:t>views</w:t>
      </w:r>
      <w:r>
        <w:rPr>
          <w:spacing w:val="-5"/>
        </w:rPr>
        <w:t xml:space="preserve"> </w:t>
      </w:r>
      <w:r>
        <w:t>on</w:t>
      </w:r>
      <w:r>
        <w:rPr>
          <w:spacing w:val="-2"/>
        </w:rPr>
        <w:t xml:space="preserve"> </w:t>
      </w:r>
      <w:r>
        <w:t>the</w:t>
      </w:r>
      <w:r>
        <w:rPr>
          <w:spacing w:val="-2"/>
        </w:rPr>
        <w:t xml:space="preserve"> </w:t>
      </w:r>
      <w:r>
        <w:t>impact</w:t>
      </w:r>
      <w:r>
        <w:rPr>
          <w:spacing w:val="-1"/>
        </w:rPr>
        <w:t xml:space="preserve"> </w:t>
      </w:r>
      <w:r>
        <w:t>of</w:t>
      </w:r>
      <w:r>
        <w:rPr>
          <w:spacing w:val="-2"/>
        </w:rPr>
        <w:t xml:space="preserve"> </w:t>
      </w:r>
      <w:r>
        <w:t>the safe</w:t>
      </w:r>
      <w:r>
        <w:rPr>
          <w:spacing w:val="-7"/>
        </w:rPr>
        <w:t xml:space="preserve"> </w:t>
      </w:r>
      <w:r>
        <w:t>access</w:t>
      </w:r>
      <w:r>
        <w:rPr>
          <w:spacing w:val="-4"/>
        </w:rPr>
        <w:t xml:space="preserve"> </w:t>
      </w:r>
      <w:r>
        <w:t>zones</w:t>
      </w:r>
      <w:r>
        <w:rPr>
          <w:spacing w:val="-4"/>
        </w:rPr>
        <w:t xml:space="preserve"> </w:t>
      </w:r>
      <w:r>
        <w:t>on</w:t>
      </w:r>
      <w:r>
        <w:rPr>
          <w:spacing w:val="-7"/>
        </w:rPr>
        <w:t xml:space="preserve"> </w:t>
      </w:r>
      <w:r>
        <w:t>freedom</w:t>
      </w:r>
      <w:r>
        <w:rPr>
          <w:spacing w:val="-4"/>
        </w:rPr>
        <w:t xml:space="preserve"> </w:t>
      </w:r>
      <w:r>
        <w:t>of</w:t>
      </w:r>
      <w:r>
        <w:rPr>
          <w:spacing w:val="-4"/>
        </w:rPr>
        <w:t xml:space="preserve"> </w:t>
      </w:r>
      <w:r>
        <w:t>political</w:t>
      </w:r>
      <w:r>
        <w:rPr>
          <w:spacing w:val="-4"/>
        </w:rPr>
        <w:t xml:space="preserve"> </w:t>
      </w:r>
      <w:r>
        <w:t>communication</w:t>
      </w:r>
      <w:r>
        <w:rPr>
          <w:spacing w:val="-5"/>
        </w:rPr>
        <w:t xml:space="preserve"> </w:t>
      </w:r>
      <w:r>
        <w:t>and</w:t>
      </w:r>
      <w:r>
        <w:rPr>
          <w:spacing w:val="-4"/>
        </w:rPr>
        <w:t xml:space="preserve"> </w:t>
      </w:r>
      <w:r>
        <w:t>the</w:t>
      </w:r>
      <w:r>
        <w:rPr>
          <w:spacing w:val="-4"/>
        </w:rPr>
        <w:t xml:space="preserve"> </w:t>
      </w:r>
      <w:r>
        <w:t>right</w:t>
      </w:r>
      <w:r>
        <w:rPr>
          <w:spacing w:val="-6"/>
        </w:rPr>
        <w:t xml:space="preserve"> </w:t>
      </w:r>
      <w:r>
        <w:t>to protest.</w:t>
      </w:r>
      <w:r>
        <w:rPr>
          <w:spacing w:val="-7"/>
        </w:rPr>
        <w:t xml:space="preserve"> </w:t>
      </w:r>
      <w:r>
        <w:t>After</w:t>
      </w:r>
      <w:r>
        <w:rPr>
          <w:spacing w:val="-4"/>
        </w:rPr>
        <w:t xml:space="preserve"> </w:t>
      </w:r>
      <w:r>
        <w:t>considering</w:t>
      </w:r>
      <w:r>
        <w:rPr>
          <w:spacing w:val="-5"/>
        </w:rPr>
        <w:t xml:space="preserve"> </w:t>
      </w:r>
      <w:r>
        <w:t>the competing</w:t>
      </w:r>
      <w:r>
        <w:rPr>
          <w:spacing w:val="-10"/>
        </w:rPr>
        <w:t xml:space="preserve"> </w:t>
      </w:r>
      <w:r>
        <w:t>rights,</w:t>
      </w:r>
      <w:r>
        <w:rPr>
          <w:spacing w:val="-11"/>
        </w:rPr>
        <w:t xml:space="preserve"> </w:t>
      </w:r>
      <w:r>
        <w:t>the</w:t>
      </w:r>
      <w:r>
        <w:rPr>
          <w:spacing w:val="-9"/>
        </w:rPr>
        <w:t xml:space="preserve"> </w:t>
      </w:r>
      <w:r>
        <w:t>Committee</w:t>
      </w:r>
      <w:r>
        <w:rPr>
          <w:spacing w:val="-9"/>
        </w:rPr>
        <w:t xml:space="preserve"> </w:t>
      </w:r>
      <w:r>
        <w:t>concluded</w:t>
      </w:r>
      <w:r>
        <w:rPr>
          <w:spacing w:val="-12"/>
        </w:rPr>
        <w:t xml:space="preserve"> </w:t>
      </w:r>
      <w:r>
        <w:t>that</w:t>
      </w:r>
      <w:r>
        <w:rPr>
          <w:spacing w:val="-9"/>
        </w:rPr>
        <w:t xml:space="preserve"> </w:t>
      </w:r>
      <w:r>
        <w:t>the</w:t>
      </w:r>
      <w:r>
        <w:rPr>
          <w:spacing w:val="-9"/>
        </w:rPr>
        <w:t xml:space="preserve"> </w:t>
      </w:r>
      <w:r>
        <w:t>safe</w:t>
      </w:r>
      <w:r>
        <w:rPr>
          <w:spacing w:val="-9"/>
        </w:rPr>
        <w:t xml:space="preserve"> </w:t>
      </w:r>
      <w:r>
        <w:t>access</w:t>
      </w:r>
      <w:r>
        <w:rPr>
          <w:spacing w:val="-9"/>
        </w:rPr>
        <w:t xml:space="preserve"> </w:t>
      </w:r>
      <w:r>
        <w:t>zone</w:t>
      </w:r>
      <w:r>
        <w:rPr>
          <w:spacing w:val="-11"/>
        </w:rPr>
        <w:t xml:space="preserve"> </w:t>
      </w:r>
      <w:r>
        <w:t>provisions</w:t>
      </w:r>
      <w:r>
        <w:rPr>
          <w:spacing w:val="-4"/>
        </w:rPr>
        <w:t xml:space="preserve"> </w:t>
      </w:r>
      <w:r>
        <w:t>were</w:t>
      </w:r>
      <w:r>
        <w:rPr>
          <w:spacing w:val="-9"/>
        </w:rPr>
        <w:t xml:space="preserve"> </w:t>
      </w:r>
      <w:r>
        <w:t>‘justified</w:t>
      </w:r>
      <w:r>
        <w:rPr>
          <w:spacing w:val="-9"/>
        </w:rPr>
        <w:t xml:space="preserve"> </w:t>
      </w:r>
      <w:r>
        <w:t>because women</w:t>
      </w:r>
      <w:r>
        <w:rPr>
          <w:spacing w:val="-8"/>
        </w:rPr>
        <w:t xml:space="preserve"> </w:t>
      </w:r>
      <w:r>
        <w:t>and</w:t>
      </w:r>
      <w:r>
        <w:rPr>
          <w:spacing w:val="-9"/>
        </w:rPr>
        <w:t xml:space="preserve"> </w:t>
      </w:r>
      <w:r>
        <w:t>staff</w:t>
      </w:r>
      <w:r>
        <w:rPr>
          <w:spacing w:val="-8"/>
        </w:rPr>
        <w:t xml:space="preserve"> </w:t>
      </w:r>
      <w:r>
        <w:t>have</w:t>
      </w:r>
      <w:r>
        <w:rPr>
          <w:spacing w:val="-8"/>
        </w:rPr>
        <w:t xml:space="preserve"> </w:t>
      </w:r>
      <w:r>
        <w:t>been</w:t>
      </w:r>
      <w:r>
        <w:rPr>
          <w:spacing w:val="-8"/>
        </w:rPr>
        <w:t xml:space="preserve"> </w:t>
      </w:r>
      <w:r>
        <w:t>subject</w:t>
      </w:r>
      <w:r>
        <w:rPr>
          <w:spacing w:val="-10"/>
        </w:rPr>
        <w:t xml:space="preserve"> </w:t>
      </w:r>
      <w:r>
        <w:t>to</w:t>
      </w:r>
      <w:r>
        <w:rPr>
          <w:spacing w:val="-9"/>
        </w:rPr>
        <w:t xml:space="preserve"> </w:t>
      </w:r>
      <w:r>
        <w:t>harassment,</w:t>
      </w:r>
      <w:r>
        <w:rPr>
          <w:spacing w:val="-9"/>
        </w:rPr>
        <w:t xml:space="preserve"> </w:t>
      </w:r>
      <w:r>
        <w:t>physical</w:t>
      </w:r>
      <w:r>
        <w:rPr>
          <w:spacing w:val="-8"/>
        </w:rPr>
        <w:t xml:space="preserve"> </w:t>
      </w:r>
      <w:r>
        <w:t>violence,</w:t>
      </w:r>
      <w:r>
        <w:rPr>
          <w:spacing w:val="-9"/>
        </w:rPr>
        <w:t xml:space="preserve"> </w:t>
      </w:r>
      <w:r>
        <w:t>vilification</w:t>
      </w:r>
      <w:r>
        <w:rPr>
          <w:spacing w:val="-11"/>
        </w:rPr>
        <w:t xml:space="preserve"> </w:t>
      </w:r>
      <w:r>
        <w:t>and</w:t>
      </w:r>
      <w:r>
        <w:rPr>
          <w:spacing w:val="-9"/>
        </w:rPr>
        <w:t xml:space="preserve"> </w:t>
      </w:r>
      <w:r>
        <w:t>intimidation</w:t>
      </w:r>
      <w:r>
        <w:rPr>
          <w:spacing w:val="-9"/>
        </w:rPr>
        <w:t xml:space="preserve"> </w:t>
      </w:r>
      <w:r>
        <w:t>when</w:t>
      </w:r>
    </w:p>
    <w:p w14:paraId="7CB25E69" w14:textId="77777777" w:rsidR="008A4099" w:rsidRDefault="008A4099">
      <w:pPr>
        <w:pStyle w:val="BodyText"/>
        <w:rPr>
          <w:sz w:val="20"/>
        </w:rPr>
      </w:pPr>
    </w:p>
    <w:p w14:paraId="7CB25E6A" w14:textId="77777777" w:rsidR="008A4099" w:rsidRDefault="008A4099">
      <w:pPr>
        <w:pStyle w:val="BodyText"/>
        <w:rPr>
          <w:sz w:val="20"/>
        </w:rPr>
      </w:pPr>
    </w:p>
    <w:p w14:paraId="7CB25E6B" w14:textId="77777777" w:rsidR="008A4099" w:rsidRDefault="008A4099">
      <w:pPr>
        <w:pStyle w:val="BodyText"/>
        <w:rPr>
          <w:sz w:val="20"/>
        </w:rPr>
      </w:pPr>
    </w:p>
    <w:p w14:paraId="7CB25E6C" w14:textId="77777777" w:rsidR="008A4099" w:rsidRDefault="008A4099">
      <w:pPr>
        <w:pStyle w:val="BodyText"/>
        <w:rPr>
          <w:sz w:val="20"/>
        </w:rPr>
      </w:pPr>
    </w:p>
    <w:p w14:paraId="7CB25E6D" w14:textId="77777777" w:rsidR="008A4099" w:rsidRDefault="008A4099">
      <w:pPr>
        <w:pStyle w:val="BodyText"/>
        <w:rPr>
          <w:sz w:val="20"/>
        </w:rPr>
      </w:pPr>
    </w:p>
    <w:p w14:paraId="7CB25E6E" w14:textId="77777777" w:rsidR="008A4099" w:rsidRDefault="006A6EE2">
      <w:pPr>
        <w:pStyle w:val="BodyText"/>
        <w:spacing w:before="221"/>
        <w:rPr>
          <w:sz w:val="20"/>
        </w:rPr>
      </w:pPr>
      <w:r>
        <w:rPr>
          <w:noProof/>
        </w:rPr>
        <mc:AlternateContent>
          <mc:Choice Requires="wps">
            <w:drawing>
              <wp:anchor distT="0" distB="0" distL="0" distR="0" simplePos="0" relativeHeight="487600128" behindDoc="1" locked="0" layoutInCell="1" allowOverlap="1" wp14:anchorId="7CB26609" wp14:editId="7CB2660A">
                <wp:simplePos x="0" y="0"/>
                <wp:positionH relativeFrom="page">
                  <wp:posOffset>914704</wp:posOffset>
                </wp:positionH>
                <wp:positionV relativeFrom="paragraph">
                  <wp:posOffset>301971</wp:posOffset>
                </wp:positionV>
                <wp:extent cx="1829435" cy="762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83F5F3" id="Graphic 66" o:spid="_x0000_s1026" style="position:absolute;margin-left:1in;margin-top:23.8pt;width:144.0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" path="m1829054,l,,,7619r1829054,l1829054,xe" fillcolor="black" stroked="f">
                <v:path arrowok="t"/>
                <w10:wrap type="topAndBottom" anchorx="page"/>
              </v:shape>
            </w:pict>
          </mc:Fallback>
        </mc:AlternateContent>
      </w:r>
    </w:p>
    <w:p w14:paraId="7CB25E6F" w14:textId="77777777" w:rsidR="008A4099" w:rsidRDefault="006A6EE2">
      <w:pPr>
        <w:spacing w:before="112" w:line="242" w:lineRule="auto"/>
        <w:ind w:left="160" w:right="675"/>
        <w:jc w:val="both"/>
        <w:rPr>
          <w:sz w:val="18"/>
        </w:rPr>
      </w:pPr>
      <w:r>
        <w:rPr>
          <w:sz w:val="18"/>
          <w:vertAlign w:val="superscript"/>
        </w:rPr>
        <w:t>145</w:t>
      </w:r>
      <w:r>
        <w:rPr>
          <w:sz w:val="18"/>
        </w:rPr>
        <w:t xml:space="preserve"> United Nations High Commissioner for Human Rights, ‘UN Experts Urge Tasmania to Drop Its Anti-Protest Bill’; see similarly, in 2016, the Report of the Special Rapporteur on the Situation of Human Rights Defenders on his Mission to Australia, tabled 28 February 2018 A/HRC/37/51/Add.3.</w:t>
      </w:r>
    </w:p>
    <w:p w14:paraId="7CB25E70" w14:textId="77777777" w:rsidR="008A4099" w:rsidRDefault="006A6EE2">
      <w:pPr>
        <w:spacing w:before="16"/>
        <w:ind w:left="160"/>
        <w:jc w:val="both"/>
        <w:rPr>
          <w:sz w:val="18"/>
        </w:rPr>
      </w:pPr>
      <w:r>
        <w:rPr>
          <w:sz w:val="18"/>
          <w:vertAlign w:val="superscript"/>
        </w:rPr>
        <w:t>146</w:t>
      </w:r>
      <w:r>
        <w:rPr>
          <w:spacing w:val="1"/>
          <w:sz w:val="18"/>
        </w:rPr>
        <w:t xml:space="preserve"> </w:t>
      </w:r>
      <w:r>
        <w:rPr>
          <w:i/>
          <w:sz w:val="18"/>
        </w:rPr>
        <w:t>Brown</w:t>
      </w:r>
      <w:r>
        <w:rPr>
          <w:i/>
          <w:spacing w:val="3"/>
          <w:sz w:val="18"/>
        </w:rPr>
        <w:t xml:space="preserve"> </w:t>
      </w:r>
      <w:r>
        <w:rPr>
          <w:i/>
          <w:sz w:val="18"/>
        </w:rPr>
        <w:t>v</w:t>
      </w:r>
      <w:r>
        <w:rPr>
          <w:i/>
          <w:spacing w:val="-1"/>
          <w:sz w:val="18"/>
        </w:rPr>
        <w:t xml:space="preserve"> </w:t>
      </w:r>
      <w:r>
        <w:rPr>
          <w:i/>
          <w:sz w:val="18"/>
        </w:rPr>
        <w:t>Tasmania</w:t>
      </w:r>
      <w:r>
        <w:rPr>
          <w:i/>
          <w:spacing w:val="2"/>
          <w:sz w:val="18"/>
        </w:rPr>
        <w:t xml:space="preserve"> </w:t>
      </w:r>
      <w:r>
        <w:rPr>
          <w:sz w:val="18"/>
        </w:rPr>
        <w:t>[2017]</w:t>
      </w:r>
      <w:r>
        <w:rPr>
          <w:spacing w:val="1"/>
          <w:sz w:val="18"/>
        </w:rPr>
        <w:t xml:space="preserve"> </w:t>
      </w:r>
      <w:r>
        <w:rPr>
          <w:sz w:val="18"/>
        </w:rPr>
        <w:t>HCA</w:t>
      </w:r>
      <w:r>
        <w:rPr>
          <w:spacing w:val="-1"/>
          <w:sz w:val="18"/>
        </w:rPr>
        <w:t xml:space="preserve"> </w:t>
      </w:r>
      <w:r>
        <w:rPr>
          <w:spacing w:val="-5"/>
          <w:sz w:val="18"/>
        </w:rPr>
        <w:t>43.</w:t>
      </w:r>
    </w:p>
    <w:p w14:paraId="7CB25E71" w14:textId="282AF1E1" w:rsidR="008A4099" w:rsidRDefault="006A6EE2">
      <w:pPr>
        <w:spacing w:before="24"/>
        <w:ind w:left="160" w:right="674"/>
        <w:jc w:val="both"/>
        <w:rPr>
          <w:sz w:val="18"/>
        </w:rPr>
      </w:pPr>
      <w:r>
        <w:rPr>
          <w:sz w:val="18"/>
          <w:vertAlign w:val="superscript"/>
        </w:rPr>
        <w:t>147</w:t>
      </w:r>
      <w:r>
        <w:rPr>
          <w:sz w:val="18"/>
        </w:rPr>
        <w:t xml:space="preserve"> For example, the Gilbert + Tobin Centre for Public Law and the Centre for Crime, Law and Justice at the University of New South Wales submitted that key provisions in the Bill infringed the implied freedom of political communication, were discriminatory</w:t>
      </w:r>
      <w:r>
        <w:rPr>
          <w:spacing w:val="-3"/>
          <w:sz w:val="18"/>
        </w:rPr>
        <w:t xml:space="preserve"> </w:t>
      </w:r>
      <w:r>
        <w:rPr>
          <w:sz w:val="18"/>
        </w:rPr>
        <w:t>in</w:t>
      </w:r>
      <w:r>
        <w:rPr>
          <w:spacing w:val="-6"/>
          <w:sz w:val="18"/>
        </w:rPr>
        <w:t xml:space="preserve"> </w:t>
      </w:r>
      <w:r>
        <w:rPr>
          <w:sz w:val="18"/>
        </w:rPr>
        <w:t>their</w:t>
      </w:r>
      <w:r>
        <w:rPr>
          <w:spacing w:val="-6"/>
          <w:sz w:val="18"/>
        </w:rPr>
        <w:t xml:space="preserve"> </w:t>
      </w:r>
      <w:r>
        <w:rPr>
          <w:sz w:val="18"/>
        </w:rPr>
        <w:t>practical</w:t>
      </w:r>
      <w:r>
        <w:rPr>
          <w:spacing w:val="-6"/>
          <w:sz w:val="18"/>
        </w:rPr>
        <w:t xml:space="preserve"> </w:t>
      </w:r>
      <w:r>
        <w:rPr>
          <w:sz w:val="18"/>
        </w:rPr>
        <w:t>operation,</w:t>
      </w:r>
      <w:r>
        <w:rPr>
          <w:spacing w:val="-4"/>
          <w:sz w:val="18"/>
        </w:rPr>
        <w:t xml:space="preserve"> </w:t>
      </w:r>
      <w:r>
        <w:rPr>
          <w:sz w:val="18"/>
        </w:rPr>
        <w:t>and</w:t>
      </w:r>
      <w:r>
        <w:rPr>
          <w:spacing w:val="-3"/>
          <w:sz w:val="18"/>
        </w:rPr>
        <w:t xml:space="preserve"> </w:t>
      </w:r>
      <w:r>
        <w:rPr>
          <w:sz w:val="18"/>
        </w:rPr>
        <w:t>effected</w:t>
      </w:r>
      <w:r>
        <w:rPr>
          <w:spacing w:val="-6"/>
          <w:sz w:val="18"/>
        </w:rPr>
        <w:t xml:space="preserve"> </w:t>
      </w:r>
      <w:r>
        <w:rPr>
          <w:sz w:val="18"/>
        </w:rPr>
        <w:t>a</w:t>
      </w:r>
      <w:r>
        <w:rPr>
          <w:spacing w:val="-5"/>
          <w:sz w:val="18"/>
        </w:rPr>
        <w:t xml:space="preserve"> </w:t>
      </w:r>
      <w:r>
        <w:rPr>
          <w:sz w:val="18"/>
        </w:rPr>
        <w:t>reversal</w:t>
      </w:r>
      <w:r>
        <w:rPr>
          <w:spacing w:val="-6"/>
          <w:sz w:val="18"/>
        </w:rPr>
        <w:t xml:space="preserve"> </w:t>
      </w:r>
      <w:r>
        <w:rPr>
          <w:sz w:val="18"/>
        </w:rPr>
        <w:t>of</w:t>
      </w:r>
      <w:r>
        <w:rPr>
          <w:spacing w:val="-4"/>
          <w:sz w:val="18"/>
        </w:rPr>
        <w:t xml:space="preserve"> </w:t>
      </w:r>
      <w:r>
        <w:rPr>
          <w:sz w:val="18"/>
        </w:rPr>
        <w:t>the</w:t>
      </w:r>
      <w:r>
        <w:rPr>
          <w:spacing w:val="-7"/>
          <w:sz w:val="18"/>
        </w:rPr>
        <w:t xml:space="preserve"> </w:t>
      </w:r>
      <w:r>
        <w:rPr>
          <w:sz w:val="18"/>
        </w:rPr>
        <w:t>onus</w:t>
      </w:r>
      <w:r>
        <w:rPr>
          <w:spacing w:val="-7"/>
          <w:sz w:val="18"/>
        </w:rPr>
        <w:t xml:space="preserve"> </w:t>
      </w:r>
      <w:r>
        <w:rPr>
          <w:sz w:val="18"/>
        </w:rPr>
        <w:t>of</w:t>
      </w:r>
      <w:r>
        <w:rPr>
          <w:spacing w:val="-7"/>
          <w:sz w:val="18"/>
        </w:rPr>
        <w:t xml:space="preserve"> </w:t>
      </w:r>
      <w:r>
        <w:rPr>
          <w:sz w:val="18"/>
        </w:rPr>
        <w:t>proof</w:t>
      </w:r>
      <w:r>
        <w:rPr>
          <w:spacing w:val="-7"/>
          <w:sz w:val="18"/>
        </w:rPr>
        <w:t xml:space="preserve"> </w:t>
      </w:r>
      <w:r>
        <w:rPr>
          <w:sz w:val="18"/>
        </w:rPr>
        <w:t>in</w:t>
      </w:r>
      <w:r>
        <w:rPr>
          <w:spacing w:val="-5"/>
          <w:sz w:val="18"/>
        </w:rPr>
        <w:t xml:space="preserve"> </w:t>
      </w:r>
      <w:r>
        <w:rPr>
          <w:sz w:val="18"/>
        </w:rPr>
        <w:t>some</w:t>
      </w:r>
      <w:r>
        <w:rPr>
          <w:spacing w:val="-5"/>
          <w:sz w:val="18"/>
        </w:rPr>
        <w:t xml:space="preserve"> </w:t>
      </w:r>
      <w:r>
        <w:rPr>
          <w:sz w:val="18"/>
        </w:rPr>
        <w:t>circumstances:</w:t>
      </w:r>
      <w:r>
        <w:rPr>
          <w:spacing w:val="-4"/>
          <w:sz w:val="18"/>
        </w:rPr>
        <w:t xml:space="preserve"> </w:t>
      </w:r>
      <w:r>
        <w:rPr>
          <w:sz w:val="18"/>
        </w:rPr>
        <w:t>Gilbert</w:t>
      </w:r>
      <w:r>
        <w:rPr>
          <w:spacing w:val="-4"/>
          <w:sz w:val="18"/>
        </w:rPr>
        <w:t xml:space="preserve"> </w:t>
      </w:r>
      <w:r>
        <w:rPr>
          <w:sz w:val="18"/>
        </w:rPr>
        <w:t>+</w:t>
      </w:r>
      <w:r>
        <w:rPr>
          <w:spacing w:val="-5"/>
          <w:sz w:val="18"/>
        </w:rPr>
        <w:t xml:space="preserve"> </w:t>
      </w:r>
      <w:r>
        <w:rPr>
          <w:sz w:val="18"/>
        </w:rPr>
        <w:t xml:space="preserve">Tobin Centre for Public Law and the Centre for Crime, Law and Justice, ‘Submission to Department of Justice (Tasmania), Community Consultation: </w:t>
      </w:r>
      <w:r>
        <w:rPr>
          <w:i/>
          <w:sz w:val="18"/>
        </w:rPr>
        <w:t>Workplaces (Protection from Protesters) Amendment Bill 2019</w:t>
      </w:r>
      <w:r>
        <w:rPr>
          <w:sz w:val="18"/>
        </w:rPr>
        <w:t>’ (2019); Similarly, the Tasmanian Council</w:t>
      </w:r>
      <w:r>
        <w:rPr>
          <w:spacing w:val="-1"/>
          <w:sz w:val="18"/>
        </w:rPr>
        <w:t xml:space="preserve"> </w:t>
      </w:r>
      <w:r>
        <w:rPr>
          <w:sz w:val="18"/>
        </w:rPr>
        <w:t xml:space="preserve">of Social Service (‘TasCOSS’) noted that the revised Bill impinged upon the right of freedom of assembly and that this right ‘for the purpose of political expression’ was vital for marginalised members of the community: TasCOSS, ‘Submission to Department of Justice (Tasmania), Community Consultation: </w:t>
      </w:r>
      <w:r>
        <w:rPr>
          <w:i/>
          <w:sz w:val="18"/>
        </w:rPr>
        <w:t>Workplaces (Protection from Protesters) Amendment Bill 2019</w:t>
      </w:r>
      <w:r>
        <w:rPr>
          <w:sz w:val="18"/>
        </w:rPr>
        <w:t xml:space="preserve">’ (2019). See also TLRI, ‘Submission to Department of Justice (Tasmania), Community Consultation: </w:t>
      </w:r>
      <w:r>
        <w:rPr>
          <w:i/>
          <w:sz w:val="18"/>
        </w:rPr>
        <w:t>Workplaces (Protection from Protesters) Amendment Bill 2019</w:t>
      </w:r>
      <w:r>
        <w:rPr>
          <w:sz w:val="18"/>
        </w:rPr>
        <w:t>’ (3 March 2019).</w:t>
      </w:r>
    </w:p>
    <w:p w14:paraId="7CB25E72" w14:textId="77777777" w:rsidR="008A4099" w:rsidRDefault="006A6EE2">
      <w:pPr>
        <w:spacing w:before="23" w:line="242" w:lineRule="auto"/>
        <w:ind w:left="160" w:right="675"/>
        <w:jc w:val="both"/>
        <w:rPr>
          <w:sz w:val="18"/>
        </w:rPr>
      </w:pPr>
      <w:r>
        <w:rPr>
          <w:sz w:val="18"/>
          <w:vertAlign w:val="superscript"/>
        </w:rPr>
        <w:t>148</w:t>
      </w:r>
      <w:r>
        <w:rPr>
          <w:spacing w:val="-1"/>
          <w:sz w:val="18"/>
        </w:rPr>
        <w:t xml:space="preserve"> </w:t>
      </w:r>
      <w:r>
        <w:rPr>
          <w:sz w:val="18"/>
        </w:rPr>
        <w:t>See</w:t>
      </w:r>
      <w:r>
        <w:rPr>
          <w:spacing w:val="40"/>
          <w:sz w:val="18"/>
        </w:rPr>
        <w:t xml:space="preserve"> </w:t>
      </w:r>
      <w:r>
        <w:rPr>
          <w:sz w:val="18"/>
        </w:rPr>
        <w:t>TLRI,</w:t>
      </w:r>
      <w:r>
        <w:rPr>
          <w:spacing w:val="40"/>
          <w:sz w:val="18"/>
        </w:rPr>
        <w:t xml:space="preserve"> </w:t>
      </w:r>
      <w:r>
        <w:rPr>
          <w:sz w:val="18"/>
        </w:rPr>
        <w:t>‘Submission</w:t>
      </w:r>
      <w:r>
        <w:rPr>
          <w:spacing w:val="40"/>
          <w:sz w:val="18"/>
        </w:rPr>
        <w:t xml:space="preserve"> </w:t>
      </w:r>
      <w:r>
        <w:rPr>
          <w:sz w:val="18"/>
        </w:rPr>
        <w:t>to</w:t>
      </w:r>
      <w:r>
        <w:rPr>
          <w:spacing w:val="40"/>
          <w:sz w:val="18"/>
        </w:rPr>
        <w:t xml:space="preserve"> </w:t>
      </w:r>
      <w:r>
        <w:rPr>
          <w:sz w:val="18"/>
        </w:rPr>
        <w:t>Department</w:t>
      </w:r>
      <w:r>
        <w:rPr>
          <w:spacing w:val="40"/>
          <w:sz w:val="18"/>
        </w:rPr>
        <w:t xml:space="preserve"> </w:t>
      </w:r>
      <w:r>
        <w:rPr>
          <w:sz w:val="18"/>
        </w:rPr>
        <w:t>of</w:t>
      </w:r>
      <w:r>
        <w:rPr>
          <w:spacing w:val="40"/>
          <w:sz w:val="18"/>
        </w:rPr>
        <w:t xml:space="preserve"> </w:t>
      </w:r>
      <w:r>
        <w:rPr>
          <w:sz w:val="18"/>
        </w:rPr>
        <w:t>Justice</w:t>
      </w:r>
      <w:r>
        <w:rPr>
          <w:spacing w:val="40"/>
          <w:sz w:val="18"/>
        </w:rPr>
        <w:t xml:space="preserve"> </w:t>
      </w:r>
      <w:r>
        <w:rPr>
          <w:sz w:val="18"/>
        </w:rPr>
        <w:t>(Tasmania),</w:t>
      </w:r>
      <w:r>
        <w:rPr>
          <w:spacing w:val="40"/>
          <w:sz w:val="18"/>
        </w:rPr>
        <w:t xml:space="preserve"> </w:t>
      </w:r>
      <w:r>
        <w:rPr>
          <w:sz w:val="18"/>
        </w:rPr>
        <w:t>Community</w:t>
      </w:r>
      <w:r>
        <w:rPr>
          <w:spacing w:val="40"/>
          <w:sz w:val="18"/>
        </w:rPr>
        <w:t xml:space="preserve"> </w:t>
      </w:r>
      <w:r>
        <w:rPr>
          <w:sz w:val="18"/>
        </w:rPr>
        <w:t>Consultation:</w:t>
      </w:r>
      <w:r>
        <w:rPr>
          <w:spacing w:val="40"/>
          <w:sz w:val="18"/>
        </w:rPr>
        <w:t xml:space="preserve"> </w:t>
      </w:r>
      <w:r>
        <w:rPr>
          <w:i/>
          <w:sz w:val="18"/>
        </w:rPr>
        <w:t>Workplaces</w:t>
      </w:r>
      <w:r>
        <w:rPr>
          <w:i/>
          <w:spacing w:val="-1"/>
          <w:sz w:val="18"/>
        </w:rPr>
        <w:t xml:space="preserve"> </w:t>
      </w:r>
      <w:r>
        <w:rPr>
          <w:i/>
          <w:sz w:val="18"/>
        </w:rPr>
        <w:t>(Protection from</w:t>
      </w:r>
      <w:r>
        <w:rPr>
          <w:i/>
          <w:spacing w:val="-2"/>
          <w:sz w:val="18"/>
        </w:rPr>
        <w:t xml:space="preserve"> </w:t>
      </w:r>
      <w:r>
        <w:rPr>
          <w:i/>
          <w:sz w:val="18"/>
        </w:rPr>
        <w:t>Protesters) Amendment Bill 2019</w:t>
      </w:r>
      <w:r>
        <w:rPr>
          <w:sz w:val="18"/>
        </w:rPr>
        <w:t xml:space="preserve">’. This Bill was not passed; the Tasmanian Government subsequently enacted anti- protest amendments to the </w:t>
      </w:r>
      <w:r>
        <w:rPr>
          <w:i/>
          <w:sz w:val="18"/>
        </w:rPr>
        <w:t xml:space="preserve">Police Offences Act 1935 </w:t>
      </w:r>
      <w:r>
        <w:rPr>
          <w:sz w:val="18"/>
        </w:rPr>
        <w:t xml:space="preserve">(Tas), with the passage of the </w:t>
      </w:r>
      <w:r>
        <w:rPr>
          <w:i/>
          <w:sz w:val="18"/>
        </w:rPr>
        <w:t xml:space="preserve">Police Offences Amendment (Workplace Protection) Act 2022 </w:t>
      </w:r>
      <w:r>
        <w:rPr>
          <w:sz w:val="18"/>
        </w:rPr>
        <w:t>(Tas).</w:t>
      </w:r>
    </w:p>
    <w:p w14:paraId="7CB25E73" w14:textId="77777777" w:rsidR="008A4099" w:rsidRDefault="006A6EE2">
      <w:pPr>
        <w:spacing w:before="16" w:line="242" w:lineRule="auto"/>
        <w:ind w:left="160" w:right="684"/>
        <w:jc w:val="both"/>
        <w:rPr>
          <w:sz w:val="18"/>
        </w:rPr>
      </w:pPr>
      <w:r>
        <w:rPr>
          <w:sz w:val="18"/>
          <w:vertAlign w:val="superscript"/>
        </w:rPr>
        <w:t>149</w:t>
      </w:r>
      <w:r>
        <w:rPr>
          <w:sz w:val="18"/>
        </w:rPr>
        <w:t xml:space="preserve"> During the Second Reading Speech, then Minister for Health (Hon Michelle O’Byrne MP) said that, ‘A democracy has many different freedoms, some of which conflict with each other. The right to protest, if exercised without restraint, can interfere with other people’s rights of privacy and freedom from abuse … I believe access zones provide the appropriate balance between the right to protest and protecting women from being exposed to those who seek to shame and stigmatise them’. Tasmania, </w:t>
      </w:r>
      <w:r>
        <w:rPr>
          <w:i/>
          <w:sz w:val="18"/>
        </w:rPr>
        <w:t>Parliamentary Debates</w:t>
      </w:r>
      <w:r>
        <w:rPr>
          <w:sz w:val="18"/>
        </w:rPr>
        <w:t>, House of Assembly, 16 April 2013, 44 (Michelle O’Byrne).</w:t>
      </w:r>
    </w:p>
    <w:p w14:paraId="7CB25E74"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E75" w14:textId="77777777" w:rsidR="008A4099" w:rsidRDefault="008A4099">
      <w:pPr>
        <w:pStyle w:val="BodyText"/>
        <w:spacing w:before="194"/>
      </w:pPr>
    </w:p>
    <w:p w14:paraId="7CB25E76" w14:textId="77777777" w:rsidR="008A4099" w:rsidRDefault="006A6EE2">
      <w:pPr>
        <w:pStyle w:val="BodyText"/>
        <w:ind w:left="160"/>
      </w:pPr>
      <w:r>
        <w:t>attending</w:t>
      </w:r>
      <w:r>
        <w:rPr>
          <w:spacing w:val="40"/>
        </w:rPr>
        <w:t xml:space="preserve"> </w:t>
      </w:r>
      <w:r>
        <w:t>premises</w:t>
      </w:r>
      <w:r>
        <w:rPr>
          <w:spacing w:val="40"/>
        </w:rPr>
        <w:t xml:space="preserve"> </w:t>
      </w:r>
      <w:r>
        <w:t>at</w:t>
      </w:r>
      <w:r>
        <w:rPr>
          <w:spacing w:val="40"/>
        </w:rPr>
        <w:t xml:space="preserve"> </w:t>
      </w:r>
      <w:r>
        <w:t>which</w:t>
      </w:r>
      <w:r>
        <w:rPr>
          <w:spacing w:val="40"/>
        </w:rPr>
        <w:t xml:space="preserve"> </w:t>
      </w:r>
      <w:r>
        <w:t>terminations</w:t>
      </w:r>
      <w:r>
        <w:rPr>
          <w:spacing w:val="40"/>
        </w:rPr>
        <w:t xml:space="preserve"> </w:t>
      </w:r>
      <w:r>
        <w:t>are</w:t>
      </w:r>
      <w:r>
        <w:rPr>
          <w:spacing w:val="40"/>
        </w:rPr>
        <w:t xml:space="preserve"> </w:t>
      </w:r>
      <w:r>
        <w:t>provided’.</w:t>
      </w:r>
      <w:r>
        <w:rPr>
          <w:vertAlign w:val="superscript"/>
        </w:rPr>
        <w:t>150</w:t>
      </w:r>
      <w:r>
        <w:rPr>
          <w:spacing w:val="40"/>
        </w:rPr>
        <w:t xml:space="preserve"> </w:t>
      </w:r>
      <w:r>
        <w:t>The</w:t>
      </w:r>
      <w:r>
        <w:rPr>
          <w:spacing w:val="40"/>
        </w:rPr>
        <w:t xml:space="preserve"> </w:t>
      </w:r>
      <w:r>
        <w:t>Legislative</w:t>
      </w:r>
      <w:r>
        <w:rPr>
          <w:spacing w:val="40"/>
        </w:rPr>
        <w:t xml:space="preserve"> </w:t>
      </w:r>
      <w:r>
        <w:t>Council</w:t>
      </w:r>
      <w:r>
        <w:rPr>
          <w:spacing w:val="40"/>
        </w:rPr>
        <w:t xml:space="preserve"> </w:t>
      </w:r>
      <w:r>
        <w:t>passed</w:t>
      </w:r>
      <w:r>
        <w:rPr>
          <w:spacing w:val="40"/>
        </w:rPr>
        <w:t xml:space="preserve"> </w:t>
      </w:r>
      <w:r>
        <w:t>the</w:t>
      </w:r>
      <w:r>
        <w:rPr>
          <w:spacing w:val="80"/>
        </w:rPr>
        <w:t xml:space="preserve"> </w:t>
      </w:r>
      <w:r>
        <w:t>legislation.</w:t>
      </w:r>
      <w:r>
        <w:rPr>
          <w:vertAlign w:val="superscript"/>
        </w:rPr>
        <w:t>151</w:t>
      </w:r>
      <w:r>
        <w:t xml:space="preserve"> The validity of this legislation was upheld in a subsequent High Court challenge.</w:t>
      </w:r>
      <w:r>
        <w:rPr>
          <w:vertAlign w:val="superscript"/>
        </w:rPr>
        <w:t>152</w:t>
      </w:r>
    </w:p>
    <w:p w14:paraId="7CB25E77" w14:textId="77777777" w:rsidR="008A4099" w:rsidRDefault="006A6EE2">
      <w:pPr>
        <w:pStyle w:val="ListParagraph"/>
        <w:numPr>
          <w:ilvl w:val="2"/>
          <w:numId w:val="6"/>
        </w:numPr>
        <w:tabs>
          <w:tab w:val="left" w:pos="879"/>
        </w:tabs>
        <w:ind w:right="678" w:firstLine="0"/>
        <w:jc w:val="both"/>
      </w:pPr>
      <w:r>
        <w:t>As with Tasmania, Victorian legislation that imposed restrictions on protest activity at workplaces</w:t>
      </w:r>
      <w:r>
        <w:rPr>
          <w:spacing w:val="-14"/>
        </w:rPr>
        <w:t xml:space="preserve"> </w:t>
      </w:r>
      <w:r>
        <w:t>has</w:t>
      </w:r>
      <w:r>
        <w:rPr>
          <w:spacing w:val="-14"/>
        </w:rPr>
        <w:t xml:space="preserve"> </w:t>
      </w:r>
      <w:r>
        <w:t>been</w:t>
      </w:r>
      <w:r>
        <w:rPr>
          <w:spacing w:val="-14"/>
        </w:rPr>
        <w:t xml:space="preserve"> </w:t>
      </w:r>
      <w:r>
        <w:t>subjected</w:t>
      </w:r>
      <w:r>
        <w:rPr>
          <w:spacing w:val="-13"/>
        </w:rPr>
        <w:t xml:space="preserve"> </w:t>
      </w:r>
      <w:r>
        <w:t>to</w:t>
      </w:r>
      <w:r>
        <w:rPr>
          <w:spacing w:val="-14"/>
        </w:rPr>
        <w:t xml:space="preserve"> </w:t>
      </w:r>
      <w:r>
        <w:t>criticism</w:t>
      </w:r>
      <w:r>
        <w:rPr>
          <w:spacing w:val="-14"/>
        </w:rPr>
        <w:t xml:space="preserve"> </w:t>
      </w:r>
      <w:r>
        <w:t>on</w:t>
      </w:r>
      <w:r>
        <w:rPr>
          <w:spacing w:val="-14"/>
        </w:rPr>
        <w:t xml:space="preserve"> </w:t>
      </w:r>
      <w:r>
        <w:t>human</w:t>
      </w:r>
      <w:r>
        <w:rPr>
          <w:spacing w:val="-13"/>
        </w:rPr>
        <w:t xml:space="preserve"> </w:t>
      </w:r>
      <w:r>
        <w:t>rights</w:t>
      </w:r>
      <w:r>
        <w:rPr>
          <w:spacing w:val="-14"/>
        </w:rPr>
        <w:t xml:space="preserve"> </w:t>
      </w:r>
      <w:r>
        <w:t>grounds.</w:t>
      </w:r>
      <w:r>
        <w:rPr>
          <w:vertAlign w:val="superscript"/>
        </w:rPr>
        <w:t>153</w:t>
      </w:r>
      <w:r>
        <w:rPr>
          <w:spacing w:val="-14"/>
        </w:rPr>
        <w:t xml:space="preserve"> </w:t>
      </w:r>
      <w:r>
        <w:t>Legislation</w:t>
      </w:r>
      <w:r>
        <w:rPr>
          <w:spacing w:val="-14"/>
        </w:rPr>
        <w:t xml:space="preserve"> </w:t>
      </w:r>
      <w:r>
        <w:t>has</w:t>
      </w:r>
      <w:r>
        <w:rPr>
          <w:spacing w:val="-13"/>
        </w:rPr>
        <w:t xml:space="preserve"> </w:t>
      </w:r>
      <w:r>
        <w:t>also</w:t>
      </w:r>
      <w:r>
        <w:rPr>
          <w:spacing w:val="-14"/>
        </w:rPr>
        <w:t xml:space="preserve"> </w:t>
      </w:r>
      <w:r>
        <w:t>been</w:t>
      </w:r>
      <w:r>
        <w:rPr>
          <w:spacing w:val="-14"/>
        </w:rPr>
        <w:t xml:space="preserve"> </w:t>
      </w:r>
      <w:r>
        <w:t>passed in relation to safe access zones in the vicinity of abortion services in Victoria.</w:t>
      </w:r>
      <w:r>
        <w:rPr>
          <w:vertAlign w:val="superscript"/>
        </w:rPr>
        <w:t>154</w:t>
      </w:r>
      <w:r>
        <w:t xml:space="preserve"> In contrast to the Tasmanian position, however, a statement of compatibility document was prepared for both Victorian Bills, thus allowing for greater scrutiny and transparency of human rights considerations, as outlined </w:t>
      </w:r>
      <w:r>
        <w:rPr>
          <w:spacing w:val="-2"/>
        </w:rPr>
        <w:t>below.</w:t>
      </w:r>
    </w:p>
    <w:p w14:paraId="7CB25E78" w14:textId="77777777" w:rsidR="008A4099" w:rsidRDefault="006A6EE2">
      <w:pPr>
        <w:pStyle w:val="ListParagraph"/>
        <w:numPr>
          <w:ilvl w:val="2"/>
          <w:numId w:val="6"/>
        </w:numPr>
        <w:tabs>
          <w:tab w:val="left" w:pos="879"/>
        </w:tabs>
        <w:spacing w:before="216" w:line="242" w:lineRule="auto"/>
        <w:ind w:right="674" w:firstLine="0"/>
        <w:jc w:val="both"/>
        <w:rPr>
          <w:sz w:val="13"/>
        </w:rPr>
      </w:pPr>
      <w:r>
        <w:t>In</w:t>
      </w:r>
      <w:r>
        <w:rPr>
          <w:spacing w:val="-14"/>
        </w:rPr>
        <w:t xml:space="preserve"> </w:t>
      </w:r>
      <w:r>
        <w:t>August</w:t>
      </w:r>
      <w:r>
        <w:rPr>
          <w:spacing w:val="-14"/>
        </w:rPr>
        <w:t xml:space="preserve"> </w:t>
      </w:r>
      <w:r>
        <w:t>2022,</w:t>
      </w:r>
      <w:r>
        <w:rPr>
          <w:spacing w:val="-14"/>
        </w:rPr>
        <w:t xml:space="preserve"> </w:t>
      </w:r>
      <w:r>
        <w:t>the</w:t>
      </w:r>
      <w:r>
        <w:rPr>
          <w:spacing w:val="-12"/>
        </w:rPr>
        <w:t xml:space="preserve"> </w:t>
      </w:r>
      <w:r>
        <w:t>Victorian</w:t>
      </w:r>
      <w:r>
        <w:rPr>
          <w:spacing w:val="-13"/>
        </w:rPr>
        <w:t xml:space="preserve"> </w:t>
      </w:r>
      <w:r>
        <w:t>Government</w:t>
      </w:r>
      <w:r>
        <w:rPr>
          <w:spacing w:val="-12"/>
        </w:rPr>
        <w:t xml:space="preserve"> </w:t>
      </w:r>
      <w:r>
        <w:t>enacted</w:t>
      </w:r>
      <w:r>
        <w:rPr>
          <w:spacing w:val="-14"/>
        </w:rPr>
        <w:t xml:space="preserve"> </w:t>
      </w:r>
      <w:r>
        <w:t>the</w:t>
      </w:r>
      <w:r>
        <w:rPr>
          <w:spacing w:val="-14"/>
        </w:rPr>
        <w:t xml:space="preserve"> </w:t>
      </w:r>
      <w:r>
        <w:rPr>
          <w:i/>
        </w:rPr>
        <w:t>Sustainable</w:t>
      </w:r>
      <w:r>
        <w:rPr>
          <w:i/>
          <w:spacing w:val="-14"/>
        </w:rPr>
        <w:t xml:space="preserve"> </w:t>
      </w:r>
      <w:r>
        <w:rPr>
          <w:i/>
        </w:rPr>
        <w:t>Forests</w:t>
      </w:r>
      <w:r>
        <w:rPr>
          <w:i/>
          <w:spacing w:val="-11"/>
        </w:rPr>
        <w:t xml:space="preserve"> </w:t>
      </w:r>
      <w:r>
        <w:rPr>
          <w:i/>
        </w:rPr>
        <w:t>Timber</w:t>
      </w:r>
      <w:r>
        <w:rPr>
          <w:i/>
          <w:spacing w:val="-14"/>
        </w:rPr>
        <w:t xml:space="preserve"> </w:t>
      </w:r>
      <w:r>
        <w:rPr>
          <w:i/>
        </w:rPr>
        <w:t xml:space="preserve">Amendment (Timber Harvesting Safety Zones) Act 2022 </w:t>
      </w:r>
      <w:r>
        <w:t>(Vic),</w:t>
      </w:r>
      <w:r>
        <w:rPr>
          <w:spacing w:val="-2"/>
        </w:rPr>
        <w:t xml:space="preserve"> </w:t>
      </w:r>
      <w:r>
        <w:t>which imposed penalties on those taking part in protest</w:t>
      </w:r>
      <w:r>
        <w:rPr>
          <w:spacing w:val="-6"/>
        </w:rPr>
        <w:t xml:space="preserve"> </w:t>
      </w:r>
      <w:r>
        <w:t>action</w:t>
      </w:r>
      <w:r>
        <w:rPr>
          <w:spacing w:val="-5"/>
        </w:rPr>
        <w:t xml:space="preserve"> </w:t>
      </w:r>
      <w:r>
        <w:t>in</w:t>
      </w:r>
      <w:r>
        <w:rPr>
          <w:spacing w:val="-5"/>
        </w:rPr>
        <w:t xml:space="preserve"> </w:t>
      </w:r>
      <w:r>
        <w:t>native</w:t>
      </w:r>
      <w:r>
        <w:rPr>
          <w:spacing w:val="-7"/>
        </w:rPr>
        <w:t xml:space="preserve"> </w:t>
      </w:r>
      <w:r>
        <w:t>forest</w:t>
      </w:r>
      <w:r>
        <w:rPr>
          <w:spacing w:val="-3"/>
        </w:rPr>
        <w:t xml:space="preserve"> </w:t>
      </w:r>
      <w:r>
        <w:t>logging</w:t>
      </w:r>
      <w:r>
        <w:rPr>
          <w:spacing w:val="-5"/>
        </w:rPr>
        <w:t xml:space="preserve"> </w:t>
      </w:r>
      <w:r>
        <w:t>areas.</w:t>
      </w:r>
      <w:r>
        <w:rPr>
          <w:spacing w:val="-4"/>
        </w:rPr>
        <w:t xml:space="preserve"> </w:t>
      </w:r>
      <w:r>
        <w:t>Like</w:t>
      </w:r>
      <w:r>
        <w:rPr>
          <w:spacing w:val="-4"/>
        </w:rPr>
        <w:t xml:space="preserve"> </w:t>
      </w:r>
      <w:r>
        <w:t>the</w:t>
      </w:r>
      <w:r>
        <w:rPr>
          <w:spacing w:val="-4"/>
        </w:rPr>
        <w:t xml:space="preserve"> </w:t>
      </w:r>
      <w:r>
        <w:t>Tasmanian</w:t>
      </w:r>
      <w:r>
        <w:rPr>
          <w:spacing w:val="-4"/>
        </w:rPr>
        <w:t xml:space="preserve"> </w:t>
      </w:r>
      <w:r>
        <w:t>legislation,</w:t>
      </w:r>
      <w:r>
        <w:rPr>
          <w:spacing w:val="-7"/>
        </w:rPr>
        <w:t xml:space="preserve"> </w:t>
      </w:r>
      <w:r>
        <w:t>the</w:t>
      </w:r>
      <w:r>
        <w:rPr>
          <w:spacing w:val="-4"/>
        </w:rPr>
        <w:t xml:space="preserve"> </w:t>
      </w:r>
      <w:r>
        <w:t>Act</w:t>
      </w:r>
      <w:r>
        <w:rPr>
          <w:spacing w:val="-4"/>
        </w:rPr>
        <w:t xml:space="preserve"> </w:t>
      </w:r>
      <w:r>
        <w:t>has</w:t>
      </w:r>
      <w:r>
        <w:rPr>
          <w:spacing w:val="-4"/>
        </w:rPr>
        <w:t xml:space="preserve"> </w:t>
      </w:r>
      <w:r>
        <w:t>been</w:t>
      </w:r>
      <w:r>
        <w:rPr>
          <w:spacing w:val="-5"/>
        </w:rPr>
        <w:t xml:space="preserve"> </w:t>
      </w:r>
      <w:r>
        <w:t>criticised as disproportionate, unjustified, and lacking sufficient safeguards and oversight.</w:t>
      </w:r>
      <w:r>
        <w:rPr>
          <w:vertAlign w:val="superscript"/>
        </w:rPr>
        <w:t>155</w:t>
      </w:r>
      <w:r>
        <w:t xml:space="preserve"> Unlike the Tasmanian</w:t>
      </w:r>
      <w:r>
        <w:rPr>
          <w:spacing w:val="-7"/>
        </w:rPr>
        <w:t xml:space="preserve"> </w:t>
      </w:r>
      <w:r>
        <w:t>position,</w:t>
      </w:r>
      <w:r>
        <w:rPr>
          <w:spacing w:val="-9"/>
        </w:rPr>
        <w:t xml:space="preserve"> </w:t>
      </w:r>
      <w:r>
        <w:t>a</w:t>
      </w:r>
      <w:r>
        <w:rPr>
          <w:spacing w:val="-7"/>
        </w:rPr>
        <w:t xml:space="preserve"> </w:t>
      </w:r>
      <w:r>
        <w:t>statement</w:t>
      </w:r>
      <w:r>
        <w:rPr>
          <w:spacing w:val="-6"/>
        </w:rPr>
        <w:t xml:space="preserve"> </w:t>
      </w:r>
      <w:r>
        <w:t>of</w:t>
      </w:r>
      <w:r>
        <w:rPr>
          <w:spacing w:val="-6"/>
        </w:rPr>
        <w:t xml:space="preserve"> </w:t>
      </w:r>
      <w:r>
        <w:t>compatibility</w:t>
      </w:r>
      <w:r>
        <w:rPr>
          <w:spacing w:val="-9"/>
        </w:rPr>
        <w:t xml:space="preserve"> </w:t>
      </w:r>
      <w:r>
        <w:t>was</w:t>
      </w:r>
      <w:r>
        <w:rPr>
          <w:spacing w:val="-8"/>
        </w:rPr>
        <w:t xml:space="preserve"> </w:t>
      </w:r>
      <w:r>
        <w:t>prepared</w:t>
      </w:r>
      <w:r>
        <w:rPr>
          <w:spacing w:val="-9"/>
        </w:rPr>
        <w:t xml:space="preserve"> </w:t>
      </w:r>
      <w:r>
        <w:t>in</w:t>
      </w:r>
      <w:r>
        <w:rPr>
          <w:spacing w:val="-9"/>
        </w:rPr>
        <w:t xml:space="preserve"> </w:t>
      </w:r>
      <w:r>
        <w:t>relation</w:t>
      </w:r>
      <w:r>
        <w:rPr>
          <w:spacing w:val="-9"/>
        </w:rPr>
        <w:t xml:space="preserve"> </w:t>
      </w:r>
      <w:r>
        <w:t>to</w:t>
      </w:r>
      <w:r>
        <w:rPr>
          <w:spacing w:val="-9"/>
        </w:rPr>
        <w:t xml:space="preserve"> </w:t>
      </w:r>
      <w:r>
        <w:t>the</w:t>
      </w:r>
      <w:r>
        <w:rPr>
          <w:spacing w:val="-8"/>
        </w:rPr>
        <w:t xml:space="preserve"> </w:t>
      </w:r>
      <w:r>
        <w:t>Act,</w:t>
      </w:r>
      <w:r>
        <w:rPr>
          <w:spacing w:val="-7"/>
        </w:rPr>
        <w:t xml:space="preserve"> </w:t>
      </w:r>
      <w:r>
        <w:t>which</w:t>
      </w:r>
      <w:r>
        <w:rPr>
          <w:spacing w:val="-8"/>
        </w:rPr>
        <w:t xml:space="preserve"> </w:t>
      </w:r>
      <w:r>
        <w:t>allowed</w:t>
      </w:r>
      <w:r>
        <w:rPr>
          <w:spacing w:val="-9"/>
        </w:rPr>
        <w:t xml:space="preserve"> </w:t>
      </w:r>
      <w:r>
        <w:t>for Parliamentary scrutiny and transparency in relation to the human rights issues that were taken into account in developing the legislation.</w:t>
      </w:r>
      <w:r>
        <w:rPr>
          <w:position w:val="7"/>
          <w:sz w:val="13"/>
        </w:rPr>
        <w:t>156</w:t>
      </w:r>
    </w:p>
    <w:p w14:paraId="7CB25E79" w14:textId="77777777" w:rsidR="008A4099" w:rsidRDefault="006A6EE2">
      <w:pPr>
        <w:pStyle w:val="ListParagraph"/>
        <w:numPr>
          <w:ilvl w:val="2"/>
          <w:numId w:val="6"/>
        </w:numPr>
        <w:tabs>
          <w:tab w:val="left" w:pos="879"/>
        </w:tabs>
        <w:spacing w:before="219" w:line="242" w:lineRule="auto"/>
        <w:ind w:right="675" w:firstLine="0"/>
        <w:jc w:val="both"/>
      </w:pPr>
      <w:r>
        <w:t>Similarly,</w:t>
      </w:r>
      <w:r>
        <w:rPr>
          <w:spacing w:val="-1"/>
        </w:rPr>
        <w:t xml:space="preserve"> </w:t>
      </w:r>
      <w:r>
        <w:t>the</w:t>
      </w:r>
      <w:r>
        <w:rPr>
          <w:spacing w:val="-1"/>
        </w:rPr>
        <w:t xml:space="preserve"> </w:t>
      </w:r>
      <w:r>
        <w:t>Victorian</w:t>
      </w:r>
      <w:r>
        <w:rPr>
          <w:spacing w:val="-1"/>
        </w:rPr>
        <w:t xml:space="preserve"> </w:t>
      </w:r>
      <w:r>
        <w:t>legislation</w:t>
      </w:r>
      <w:r>
        <w:rPr>
          <w:spacing w:val="-1"/>
        </w:rPr>
        <w:t xml:space="preserve"> </w:t>
      </w:r>
      <w:r>
        <w:t>in</w:t>
      </w:r>
      <w:r>
        <w:rPr>
          <w:spacing w:val="-2"/>
        </w:rPr>
        <w:t xml:space="preserve"> </w:t>
      </w:r>
      <w:r>
        <w:t>relation</w:t>
      </w:r>
      <w:r>
        <w:rPr>
          <w:spacing w:val="-1"/>
        </w:rPr>
        <w:t xml:space="preserve"> </w:t>
      </w:r>
      <w:r>
        <w:t>to protesting</w:t>
      </w:r>
      <w:r>
        <w:rPr>
          <w:spacing w:val="-2"/>
        </w:rPr>
        <w:t xml:space="preserve"> </w:t>
      </w:r>
      <w:r>
        <w:t>in</w:t>
      </w:r>
      <w:r>
        <w:rPr>
          <w:spacing w:val="-2"/>
        </w:rPr>
        <w:t xml:space="preserve"> </w:t>
      </w:r>
      <w:r>
        <w:t>the vicinity</w:t>
      </w:r>
      <w:r>
        <w:rPr>
          <w:spacing w:val="-2"/>
        </w:rPr>
        <w:t xml:space="preserve"> </w:t>
      </w:r>
      <w:r>
        <w:t>of</w:t>
      </w:r>
      <w:r>
        <w:rPr>
          <w:spacing w:val="-1"/>
        </w:rPr>
        <w:t xml:space="preserve"> </w:t>
      </w:r>
      <w:r>
        <w:t>abortion facilities was</w:t>
      </w:r>
      <w:r>
        <w:rPr>
          <w:spacing w:val="-9"/>
        </w:rPr>
        <w:t xml:space="preserve"> </w:t>
      </w:r>
      <w:r>
        <w:t>accompanied</w:t>
      </w:r>
      <w:r>
        <w:rPr>
          <w:spacing w:val="-12"/>
        </w:rPr>
        <w:t xml:space="preserve"> </w:t>
      </w:r>
      <w:r>
        <w:t>by</w:t>
      </w:r>
      <w:r>
        <w:rPr>
          <w:spacing w:val="-12"/>
        </w:rPr>
        <w:t xml:space="preserve"> </w:t>
      </w:r>
      <w:r>
        <w:t>a</w:t>
      </w:r>
      <w:r>
        <w:rPr>
          <w:spacing w:val="-12"/>
        </w:rPr>
        <w:t xml:space="preserve"> </w:t>
      </w:r>
      <w:r>
        <w:t>statement</w:t>
      </w:r>
      <w:r>
        <w:rPr>
          <w:spacing w:val="-9"/>
        </w:rPr>
        <w:t xml:space="preserve"> </w:t>
      </w:r>
      <w:r>
        <w:t>of</w:t>
      </w:r>
      <w:r>
        <w:rPr>
          <w:spacing w:val="-11"/>
        </w:rPr>
        <w:t xml:space="preserve"> </w:t>
      </w:r>
      <w:r>
        <w:t>compatibility.</w:t>
      </w:r>
      <w:r>
        <w:rPr>
          <w:spacing w:val="-6"/>
        </w:rPr>
        <w:t xml:space="preserve"> </w:t>
      </w:r>
      <w:r>
        <w:t>Part</w:t>
      </w:r>
      <w:r>
        <w:rPr>
          <w:spacing w:val="-13"/>
        </w:rPr>
        <w:t xml:space="preserve"> </w:t>
      </w:r>
      <w:r>
        <w:t>9A</w:t>
      </w:r>
      <w:r>
        <w:rPr>
          <w:spacing w:val="-11"/>
        </w:rPr>
        <w:t xml:space="preserve"> </w:t>
      </w:r>
      <w:r>
        <w:t>of</w:t>
      </w:r>
      <w:r>
        <w:rPr>
          <w:spacing w:val="-11"/>
        </w:rPr>
        <w:t xml:space="preserve"> </w:t>
      </w:r>
      <w:r>
        <w:t>the</w:t>
      </w:r>
      <w:r>
        <w:rPr>
          <w:spacing w:val="-8"/>
        </w:rPr>
        <w:t xml:space="preserve"> </w:t>
      </w:r>
      <w:r>
        <w:rPr>
          <w:i/>
        </w:rPr>
        <w:t>Public</w:t>
      </w:r>
      <w:r>
        <w:rPr>
          <w:i/>
          <w:spacing w:val="-9"/>
        </w:rPr>
        <w:t xml:space="preserve"> </w:t>
      </w:r>
      <w:r>
        <w:rPr>
          <w:i/>
        </w:rPr>
        <w:t>Health</w:t>
      </w:r>
      <w:r>
        <w:rPr>
          <w:i/>
          <w:spacing w:val="-12"/>
        </w:rPr>
        <w:t xml:space="preserve"> </w:t>
      </w:r>
      <w:r>
        <w:rPr>
          <w:i/>
        </w:rPr>
        <w:t>and</w:t>
      </w:r>
      <w:r>
        <w:rPr>
          <w:i/>
          <w:spacing w:val="-10"/>
        </w:rPr>
        <w:t xml:space="preserve"> </w:t>
      </w:r>
      <w:r>
        <w:rPr>
          <w:i/>
        </w:rPr>
        <w:t>Wellbeing</w:t>
      </w:r>
      <w:r>
        <w:rPr>
          <w:i/>
          <w:spacing w:val="-12"/>
        </w:rPr>
        <w:t xml:space="preserve"> </w:t>
      </w:r>
      <w:r>
        <w:rPr>
          <w:i/>
        </w:rPr>
        <w:t>Act</w:t>
      </w:r>
      <w:r>
        <w:rPr>
          <w:i/>
          <w:spacing w:val="-11"/>
        </w:rPr>
        <w:t xml:space="preserve"> </w:t>
      </w:r>
      <w:r>
        <w:rPr>
          <w:i/>
        </w:rPr>
        <w:t xml:space="preserve">2008 </w:t>
      </w:r>
      <w:r>
        <w:t>(Vic)</w:t>
      </w:r>
      <w:r>
        <w:rPr>
          <w:vertAlign w:val="superscript"/>
        </w:rPr>
        <w:t>157</w:t>
      </w:r>
      <w:r>
        <w:t xml:space="preserve"> prohibits behaviour within a radius of 150 metres of any facility providing abortion services, including</w:t>
      </w:r>
      <w:r>
        <w:rPr>
          <w:spacing w:val="-12"/>
        </w:rPr>
        <w:t xml:space="preserve"> </w:t>
      </w:r>
      <w:r>
        <w:t>harassment,</w:t>
      </w:r>
      <w:r>
        <w:rPr>
          <w:spacing w:val="-12"/>
        </w:rPr>
        <w:t xml:space="preserve"> </w:t>
      </w:r>
      <w:r>
        <w:t>obstruction,</w:t>
      </w:r>
      <w:r>
        <w:rPr>
          <w:spacing w:val="-12"/>
        </w:rPr>
        <w:t xml:space="preserve"> </w:t>
      </w:r>
      <w:r>
        <w:t>intimidation,</w:t>
      </w:r>
      <w:r>
        <w:rPr>
          <w:spacing w:val="-12"/>
        </w:rPr>
        <w:t xml:space="preserve"> </w:t>
      </w:r>
      <w:r>
        <w:t>or</w:t>
      </w:r>
      <w:r>
        <w:rPr>
          <w:spacing w:val="-11"/>
        </w:rPr>
        <w:t xml:space="preserve"> </w:t>
      </w:r>
      <w:r>
        <w:t>recording</w:t>
      </w:r>
      <w:r>
        <w:rPr>
          <w:spacing w:val="-12"/>
        </w:rPr>
        <w:t xml:space="preserve"> </w:t>
      </w:r>
      <w:r>
        <w:t>people</w:t>
      </w:r>
      <w:r>
        <w:rPr>
          <w:spacing w:val="-12"/>
        </w:rPr>
        <w:t xml:space="preserve"> </w:t>
      </w:r>
      <w:r>
        <w:t>accessing</w:t>
      </w:r>
      <w:r>
        <w:rPr>
          <w:spacing w:val="-12"/>
        </w:rPr>
        <w:t xml:space="preserve"> </w:t>
      </w:r>
      <w:r>
        <w:t>the</w:t>
      </w:r>
      <w:r>
        <w:rPr>
          <w:spacing w:val="-12"/>
        </w:rPr>
        <w:t xml:space="preserve"> </w:t>
      </w:r>
      <w:r>
        <w:t>facility.</w:t>
      </w:r>
      <w:r>
        <w:rPr>
          <w:spacing w:val="-12"/>
        </w:rPr>
        <w:t xml:space="preserve"> </w:t>
      </w:r>
      <w:r>
        <w:t>The</w:t>
      </w:r>
      <w:r>
        <w:rPr>
          <w:spacing w:val="-12"/>
        </w:rPr>
        <w:t xml:space="preserve"> </w:t>
      </w:r>
      <w:r>
        <w:t>Act</w:t>
      </w:r>
      <w:r>
        <w:rPr>
          <w:spacing w:val="-11"/>
        </w:rPr>
        <w:t xml:space="preserve"> </w:t>
      </w:r>
      <w:r>
        <w:t>also prohibits ‘any communication</w:t>
      </w:r>
      <w:r>
        <w:rPr>
          <w:spacing w:val="-12"/>
        </w:rPr>
        <w:t xml:space="preserve"> </w:t>
      </w:r>
      <w:r>
        <w:t>in relation to abortion able to be seen or heard by a person in the safe access</w:t>
      </w:r>
      <w:r>
        <w:rPr>
          <w:spacing w:val="-5"/>
        </w:rPr>
        <w:t xml:space="preserve"> </w:t>
      </w:r>
      <w:r>
        <w:t>zone</w:t>
      </w:r>
      <w:r>
        <w:rPr>
          <w:spacing w:val="-6"/>
        </w:rPr>
        <w:t xml:space="preserve"> </w:t>
      </w:r>
      <w:r>
        <w:t>that</w:t>
      </w:r>
      <w:r>
        <w:rPr>
          <w:spacing w:val="-7"/>
        </w:rPr>
        <w:t xml:space="preserve"> </w:t>
      </w:r>
      <w:r>
        <w:t>is</w:t>
      </w:r>
      <w:r>
        <w:rPr>
          <w:spacing w:val="-5"/>
        </w:rPr>
        <w:t xml:space="preserve"> </w:t>
      </w:r>
      <w:r>
        <w:t>reasonably</w:t>
      </w:r>
      <w:r>
        <w:rPr>
          <w:spacing w:val="-6"/>
        </w:rPr>
        <w:t xml:space="preserve"> </w:t>
      </w:r>
      <w:r>
        <w:t>likely</w:t>
      </w:r>
      <w:r>
        <w:rPr>
          <w:spacing w:val="-6"/>
        </w:rPr>
        <w:t xml:space="preserve"> </w:t>
      </w:r>
      <w:r>
        <w:t>to</w:t>
      </w:r>
      <w:r>
        <w:rPr>
          <w:spacing w:val="-9"/>
        </w:rPr>
        <w:t xml:space="preserve"> </w:t>
      </w:r>
      <w:r>
        <w:t>cause</w:t>
      </w:r>
      <w:r>
        <w:rPr>
          <w:spacing w:val="-5"/>
        </w:rPr>
        <w:t xml:space="preserve"> </w:t>
      </w:r>
      <w:r>
        <w:t>distress</w:t>
      </w:r>
      <w:r>
        <w:rPr>
          <w:spacing w:val="-5"/>
        </w:rPr>
        <w:t xml:space="preserve"> </w:t>
      </w:r>
      <w:r>
        <w:t>or</w:t>
      </w:r>
      <w:r>
        <w:rPr>
          <w:spacing w:val="-8"/>
        </w:rPr>
        <w:t xml:space="preserve"> </w:t>
      </w:r>
      <w:r>
        <w:t>anxiety’.</w:t>
      </w:r>
      <w:r>
        <w:rPr>
          <w:spacing w:val="-6"/>
        </w:rPr>
        <w:t xml:space="preserve"> </w:t>
      </w:r>
      <w:r>
        <w:t>The</w:t>
      </w:r>
      <w:r>
        <w:rPr>
          <w:spacing w:val="-6"/>
        </w:rPr>
        <w:t xml:space="preserve"> </w:t>
      </w:r>
      <w:r>
        <w:t>human</w:t>
      </w:r>
      <w:r>
        <w:rPr>
          <w:spacing w:val="-8"/>
        </w:rPr>
        <w:t xml:space="preserve"> </w:t>
      </w:r>
      <w:r>
        <w:t>rights</w:t>
      </w:r>
      <w:r>
        <w:rPr>
          <w:spacing w:val="-8"/>
        </w:rPr>
        <w:t xml:space="preserve"> </w:t>
      </w:r>
      <w:r>
        <w:t>implications</w:t>
      </w:r>
      <w:r>
        <w:rPr>
          <w:spacing w:val="-5"/>
        </w:rPr>
        <w:t xml:space="preserve"> </w:t>
      </w:r>
      <w:r>
        <w:t>of</w:t>
      </w:r>
      <w:r>
        <w:rPr>
          <w:spacing w:val="-8"/>
        </w:rPr>
        <w:t xml:space="preserve"> </w:t>
      </w:r>
      <w:r>
        <w:t>this legislation</w:t>
      </w:r>
      <w:r>
        <w:rPr>
          <w:spacing w:val="-14"/>
        </w:rPr>
        <w:t xml:space="preserve"> </w:t>
      </w:r>
      <w:r>
        <w:t>were</w:t>
      </w:r>
      <w:r>
        <w:rPr>
          <w:spacing w:val="-14"/>
        </w:rPr>
        <w:t xml:space="preserve"> </w:t>
      </w:r>
      <w:r>
        <w:t>addressed</w:t>
      </w:r>
      <w:r>
        <w:rPr>
          <w:spacing w:val="-14"/>
        </w:rPr>
        <w:t xml:space="preserve"> </w:t>
      </w:r>
      <w:r>
        <w:t>in</w:t>
      </w:r>
      <w:r>
        <w:rPr>
          <w:spacing w:val="-13"/>
        </w:rPr>
        <w:t xml:space="preserve"> </w:t>
      </w:r>
      <w:r>
        <w:t>the</w:t>
      </w:r>
      <w:r>
        <w:rPr>
          <w:spacing w:val="-14"/>
        </w:rPr>
        <w:t xml:space="preserve"> </w:t>
      </w:r>
      <w:r>
        <w:t>statement</w:t>
      </w:r>
      <w:r>
        <w:rPr>
          <w:spacing w:val="-14"/>
        </w:rPr>
        <w:t xml:space="preserve"> </w:t>
      </w:r>
      <w:r>
        <w:t>of</w:t>
      </w:r>
      <w:r>
        <w:rPr>
          <w:spacing w:val="-14"/>
        </w:rPr>
        <w:t xml:space="preserve"> </w:t>
      </w:r>
      <w:r>
        <w:t>compatibility</w:t>
      </w:r>
      <w:r>
        <w:rPr>
          <w:spacing w:val="-13"/>
        </w:rPr>
        <w:t xml:space="preserve"> </w:t>
      </w:r>
      <w:r>
        <w:t>provided</w:t>
      </w:r>
      <w:r>
        <w:rPr>
          <w:spacing w:val="-14"/>
        </w:rPr>
        <w:t xml:space="preserve"> </w:t>
      </w:r>
      <w:r>
        <w:t>in</w:t>
      </w:r>
      <w:r>
        <w:rPr>
          <w:spacing w:val="-14"/>
        </w:rPr>
        <w:t xml:space="preserve"> </w:t>
      </w:r>
      <w:r>
        <w:t>accordance</w:t>
      </w:r>
      <w:r>
        <w:rPr>
          <w:spacing w:val="-14"/>
        </w:rPr>
        <w:t xml:space="preserve"> </w:t>
      </w:r>
      <w:r>
        <w:t>with</w:t>
      </w:r>
      <w:r>
        <w:rPr>
          <w:spacing w:val="-13"/>
        </w:rPr>
        <w:t xml:space="preserve"> </w:t>
      </w:r>
      <w:r>
        <w:t>the</w:t>
      </w:r>
      <w:r>
        <w:rPr>
          <w:spacing w:val="-14"/>
        </w:rPr>
        <w:t xml:space="preserve"> </w:t>
      </w:r>
      <w:r>
        <w:t>Vic</w:t>
      </w:r>
      <w:r>
        <w:rPr>
          <w:spacing w:val="-14"/>
        </w:rPr>
        <w:t xml:space="preserve"> </w:t>
      </w:r>
      <w:r>
        <w:t>Human Rights Charter. The broad prohibition of ‘communications’ was justified on the basis that limiting the prohibition to intimidating, harassing, or threatening conduct or conduct that impedes access, would impede enforcement and impose responsibility on vulnerable people to pursue complaints. The statement also considered that it was necessary to protect staff members and others from the ‘harmful effect of the otherwise peaceful protests given their sustained nature and the background of extreme conduct against which they occur’.</w:t>
      </w:r>
      <w:r>
        <w:rPr>
          <w:vertAlign w:val="superscript"/>
        </w:rPr>
        <w:t>158</w:t>
      </w:r>
    </w:p>
    <w:p w14:paraId="7CB25E7A" w14:textId="77777777" w:rsidR="008A4099" w:rsidRDefault="006A6EE2">
      <w:pPr>
        <w:pStyle w:val="ListParagraph"/>
        <w:numPr>
          <w:ilvl w:val="2"/>
          <w:numId w:val="6"/>
        </w:numPr>
        <w:tabs>
          <w:tab w:val="left" w:pos="879"/>
        </w:tabs>
        <w:spacing w:before="224" w:line="237" w:lineRule="auto"/>
        <w:ind w:right="674" w:firstLine="0"/>
        <w:jc w:val="both"/>
      </w:pPr>
      <w:r>
        <w:t>While most protest activity is regulated by State and Territory legislation, within its limited remit,</w:t>
      </w:r>
      <w:r>
        <w:rPr>
          <w:spacing w:val="-10"/>
        </w:rPr>
        <w:t xml:space="preserve"> </w:t>
      </w:r>
      <w:r>
        <w:t>the</w:t>
      </w:r>
      <w:r>
        <w:rPr>
          <w:spacing w:val="-9"/>
        </w:rPr>
        <w:t xml:space="preserve"> </w:t>
      </w:r>
      <w:r>
        <w:t>Commonwealth</w:t>
      </w:r>
      <w:r>
        <w:rPr>
          <w:spacing w:val="-10"/>
        </w:rPr>
        <w:t xml:space="preserve"> </w:t>
      </w:r>
      <w:r>
        <w:t>has</w:t>
      </w:r>
      <w:r>
        <w:rPr>
          <w:spacing w:val="-9"/>
        </w:rPr>
        <w:t xml:space="preserve"> </w:t>
      </w:r>
      <w:r>
        <w:t>also</w:t>
      </w:r>
      <w:r>
        <w:rPr>
          <w:spacing w:val="-9"/>
        </w:rPr>
        <w:t xml:space="preserve"> </w:t>
      </w:r>
      <w:r>
        <w:t>sought</w:t>
      </w:r>
      <w:r>
        <w:rPr>
          <w:spacing w:val="-9"/>
        </w:rPr>
        <w:t xml:space="preserve"> </w:t>
      </w:r>
      <w:r>
        <w:t>to</w:t>
      </w:r>
      <w:r>
        <w:rPr>
          <w:spacing w:val="-12"/>
        </w:rPr>
        <w:t xml:space="preserve"> </w:t>
      </w:r>
      <w:r>
        <w:t>impose</w:t>
      </w:r>
      <w:r>
        <w:rPr>
          <w:spacing w:val="-11"/>
        </w:rPr>
        <w:t xml:space="preserve"> </w:t>
      </w:r>
      <w:r>
        <w:t>restrictions</w:t>
      </w:r>
      <w:r>
        <w:rPr>
          <w:spacing w:val="-9"/>
        </w:rPr>
        <w:t xml:space="preserve"> </w:t>
      </w:r>
      <w:r>
        <w:t>on</w:t>
      </w:r>
      <w:r>
        <w:rPr>
          <w:spacing w:val="-10"/>
        </w:rPr>
        <w:t xml:space="preserve"> </w:t>
      </w:r>
      <w:r>
        <w:t>protest</w:t>
      </w:r>
      <w:r>
        <w:rPr>
          <w:spacing w:val="-9"/>
        </w:rPr>
        <w:t xml:space="preserve"> </w:t>
      </w:r>
      <w:r>
        <w:t>activity.</w:t>
      </w:r>
      <w:r>
        <w:rPr>
          <w:spacing w:val="-12"/>
        </w:rPr>
        <w:t xml:space="preserve"> </w:t>
      </w:r>
      <w:r>
        <w:t>The</w:t>
      </w:r>
      <w:r>
        <w:rPr>
          <w:spacing w:val="-4"/>
        </w:rPr>
        <w:t xml:space="preserve"> </w:t>
      </w:r>
      <w:r>
        <w:rPr>
          <w:i/>
        </w:rPr>
        <w:t>Criminal</w:t>
      </w:r>
      <w:r>
        <w:rPr>
          <w:i/>
          <w:spacing w:val="-9"/>
        </w:rPr>
        <w:t xml:space="preserve"> </w:t>
      </w:r>
      <w:r>
        <w:rPr>
          <w:i/>
        </w:rPr>
        <w:t xml:space="preserve">Code Amendment (Agricultural Protection) Act 2019 </w:t>
      </w:r>
      <w:r>
        <w:t>(Cth) was introduced in response to actions by animal rights activists on farming</w:t>
      </w:r>
      <w:r>
        <w:rPr>
          <w:spacing w:val="-2"/>
        </w:rPr>
        <w:t xml:space="preserve"> </w:t>
      </w:r>
      <w:r>
        <w:t>properties protesting the conditions in which animals</w:t>
      </w:r>
      <w:r>
        <w:rPr>
          <w:spacing w:val="-1"/>
        </w:rPr>
        <w:t xml:space="preserve"> </w:t>
      </w:r>
      <w:r>
        <w:t>were kept, processed,</w:t>
      </w:r>
    </w:p>
    <w:p w14:paraId="7CB25E7B" w14:textId="77777777" w:rsidR="008A4099" w:rsidRDefault="008A4099">
      <w:pPr>
        <w:pStyle w:val="BodyText"/>
        <w:rPr>
          <w:sz w:val="20"/>
        </w:rPr>
      </w:pPr>
    </w:p>
    <w:p w14:paraId="7CB25E7C" w14:textId="77777777" w:rsidR="008A4099" w:rsidRDefault="008A4099">
      <w:pPr>
        <w:pStyle w:val="BodyText"/>
        <w:rPr>
          <w:sz w:val="20"/>
        </w:rPr>
      </w:pPr>
    </w:p>
    <w:p w14:paraId="7CB25E7D" w14:textId="77777777" w:rsidR="008A4099" w:rsidRDefault="008A4099">
      <w:pPr>
        <w:pStyle w:val="BodyText"/>
        <w:rPr>
          <w:sz w:val="20"/>
        </w:rPr>
      </w:pPr>
    </w:p>
    <w:p w14:paraId="7CB25E7E" w14:textId="77777777" w:rsidR="008A4099" w:rsidRDefault="006A6EE2">
      <w:pPr>
        <w:pStyle w:val="BodyText"/>
        <w:spacing w:before="123"/>
        <w:rPr>
          <w:sz w:val="20"/>
        </w:rPr>
      </w:pPr>
      <w:r>
        <w:rPr>
          <w:noProof/>
        </w:rPr>
        <mc:AlternateContent>
          <mc:Choice Requires="wps">
            <w:drawing>
              <wp:anchor distT="0" distB="0" distL="0" distR="0" simplePos="0" relativeHeight="487600640" behindDoc="1" locked="0" layoutInCell="1" allowOverlap="1" wp14:anchorId="7CB2660B" wp14:editId="7CB2660C">
                <wp:simplePos x="0" y="0"/>
                <wp:positionH relativeFrom="page">
                  <wp:posOffset>914704</wp:posOffset>
                </wp:positionH>
                <wp:positionV relativeFrom="paragraph">
                  <wp:posOffset>239692</wp:posOffset>
                </wp:positionV>
                <wp:extent cx="1829435" cy="762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C45184" id="Graphic 67" o:spid="_x0000_s1026" style="position:absolute;margin-left:1in;margin-top:18.85pt;width:144.05pt;height:.6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" path="m1829054,l,,,7619r1829054,l1829054,xe" fillcolor="black" stroked="f">
                <v:path arrowok="t"/>
                <w10:wrap type="topAndBottom" anchorx="page"/>
              </v:shape>
            </w:pict>
          </mc:Fallback>
        </mc:AlternateContent>
      </w:r>
    </w:p>
    <w:p w14:paraId="7CB25E7F" w14:textId="77777777" w:rsidR="008A4099" w:rsidRDefault="006A6EE2">
      <w:pPr>
        <w:spacing w:before="112" w:line="244" w:lineRule="auto"/>
        <w:ind w:left="160" w:right="678"/>
        <w:jc w:val="both"/>
        <w:rPr>
          <w:sz w:val="18"/>
        </w:rPr>
      </w:pPr>
      <w:r>
        <w:rPr>
          <w:sz w:val="18"/>
          <w:vertAlign w:val="superscript"/>
        </w:rPr>
        <w:t>150</w:t>
      </w:r>
      <w:r>
        <w:rPr>
          <w:sz w:val="18"/>
        </w:rPr>
        <w:t xml:space="preserve"> Parliament of Tasmania, Legislative Council Government Administration Committee ‘A’, </w:t>
      </w:r>
      <w:r>
        <w:rPr>
          <w:i/>
          <w:sz w:val="18"/>
        </w:rPr>
        <w:t xml:space="preserve">Final Report on Reproductive Health (Access to Terminations) Bill 2013 </w:t>
      </w:r>
      <w:r>
        <w:rPr>
          <w:sz w:val="18"/>
        </w:rPr>
        <w:t>(Report, 2013) 81, Finding 25.</w:t>
      </w:r>
    </w:p>
    <w:p w14:paraId="7CB25E80" w14:textId="77777777" w:rsidR="008A4099" w:rsidRDefault="006A6EE2">
      <w:pPr>
        <w:spacing w:before="17"/>
        <w:ind w:left="160"/>
        <w:jc w:val="both"/>
        <w:rPr>
          <w:sz w:val="18"/>
        </w:rPr>
      </w:pPr>
      <w:r>
        <w:rPr>
          <w:sz w:val="18"/>
          <w:vertAlign w:val="superscript"/>
        </w:rPr>
        <w:t>151</w:t>
      </w:r>
      <w:r>
        <w:rPr>
          <w:sz w:val="18"/>
        </w:rPr>
        <w:t xml:space="preserve"> </w:t>
      </w:r>
      <w:r>
        <w:rPr>
          <w:i/>
          <w:sz w:val="18"/>
        </w:rPr>
        <w:t>Reproductive Health (Access</w:t>
      </w:r>
      <w:r>
        <w:rPr>
          <w:i/>
          <w:spacing w:val="-1"/>
          <w:sz w:val="18"/>
        </w:rPr>
        <w:t xml:space="preserve"> </w:t>
      </w:r>
      <w:r>
        <w:rPr>
          <w:i/>
          <w:sz w:val="18"/>
        </w:rPr>
        <w:t>to Terminations)</w:t>
      </w:r>
      <w:r>
        <w:rPr>
          <w:i/>
          <w:spacing w:val="1"/>
          <w:sz w:val="18"/>
        </w:rPr>
        <w:t xml:space="preserve"> </w:t>
      </w:r>
      <w:r>
        <w:rPr>
          <w:i/>
          <w:sz w:val="18"/>
        </w:rPr>
        <w:t>Act</w:t>
      </w:r>
      <w:r>
        <w:rPr>
          <w:i/>
          <w:spacing w:val="-2"/>
          <w:sz w:val="18"/>
        </w:rPr>
        <w:t xml:space="preserve"> </w:t>
      </w:r>
      <w:r>
        <w:rPr>
          <w:i/>
          <w:sz w:val="18"/>
        </w:rPr>
        <w:t>2013</w:t>
      </w:r>
      <w:r>
        <w:rPr>
          <w:i/>
          <w:spacing w:val="4"/>
          <w:sz w:val="18"/>
        </w:rPr>
        <w:t xml:space="preserve"> </w:t>
      </w:r>
      <w:r>
        <w:rPr>
          <w:spacing w:val="-2"/>
          <w:sz w:val="18"/>
        </w:rPr>
        <w:t>(Tas).</w:t>
      </w:r>
    </w:p>
    <w:p w14:paraId="7CB25E81" w14:textId="77777777" w:rsidR="008A4099" w:rsidRDefault="006A6EE2">
      <w:pPr>
        <w:spacing w:before="22" w:line="242" w:lineRule="auto"/>
        <w:ind w:left="160" w:right="677"/>
        <w:jc w:val="both"/>
        <w:rPr>
          <w:sz w:val="18"/>
        </w:rPr>
      </w:pPr>
      <w:r>
        <w:rPr>
          <w:sz w:val="18"/>
          <w:vertAlign w:val="superscript"/>
        </w:rPr>
        <w:t>152</w:t>
      </w:r>
      <w:r>
        <w:rPr>
          <w:sz w:val="18"/>
        </w:rPr>
        <w:t xml:space="preserve"> </w:t>
      </w:r>
      <w:r>
        <w:rPr>
          <w:i/>
          <w:sz w:val="18"/>
        </w:rPr>
        <w:t>Clubb v</w:t>
      </w:r>
      <w:r>
        <w:rPr>
          <w:i/>
          <w:spacing w:val="-1"/>
          <w:sz w:val="18"/>
        </w:rPr>
        <w:t xml:space="preserve"> </w:t>
      </w:r>
      <w:r>
        <w:rPr>
          <w:i/>
          <w:sz w:val="18"/>
        </w:rPr>
        <w:t>Edwards; Preston v</w:t>
      </w:r>
      <w:r>
        <w:rPr>
          <w:i/>
          <w:spacing w:val="-1"/>
          <w:sz w:val="18"/>
        </w:rPr>
        <w:t xml:space="preserve"> </w:t>
      </w:r>
      <w:r>
        <w:rPr>
          <w:i/>
          <w:sz w:val="18"/>
        </w:rPr>
        <w:t xml:space="preserve">Avery </w:t>
      </w:r>
      <w:r>
        <w:rPr>
          <w:sz w:val="18"/>
        </w:rPr>
        <w:t>[2019] HCA</w:t>
      </w:r>
      <w:r>
        <w:rPr>
          <w:spacing w:val="-1"/>
          <w:sz w:val="18"/>
        </w:rPr>
        <w:t xml:space="preserve"> </w:t>
      </w:r>
      <w:r>
        <w:rPr>
          <w:sz w:val="18"/>
        </w:rPr>
        <w:t>11. In this case, Preston challenged the</w:t>
      </w:r>
      <w:r>
        <w:rPr>
          <w:spacing w:val="-1"/>
          <w:sz w:val="18"/>
        </w:rPr>
        <w:t xml:space="preserve"> </w:t>
      </w:r>
      <w:r>
        <w:rPr>
          <w:sz w:val="18"/>
        </w:rPr>
        <w:t>constitutionality of the</w:t>
      </w:r>
      <w:r>
        <w:rPr>
          <w:spacing w:val="-1"/>
          <w:sz w:val="18"/>
        </w:rPr>
        <w:t xml:space="preserve"> </w:t>
      </w:r>
      <w:r>
        <w:rPr>
          <w:sz w:val="18"/>
        </w:rPr>
        <w:t>charges of engaging in prohibited behaviour</w:t>
      </w:r>
      <w:r>
        <w:rPr>
          <w:spacing w:val="-1"/>
          <w:sz w:val="18"/>
        </w:rPr>
        <w:t xml:space="preserve"> </w:t>
      </w:r>
      <w:r>
        <w:rPr>
          <w:sz w:val="18"/>
        </w:rPr>
        <w:t xml:space="preserve">in a safe access zone under s 9(2) of the </w:t>
      </w:r>
      <w:r>
        <w:rPr>
          <w:i/>
          <w:sz w:val="18"/>
        </w:rPr>
        <w:t xml:space="preserve">Reproductive Health Act </w:t>
      </w:r>
      <w:r>
        <w:rPr>
          <w:sz w:val="18"/>
        </w:rPr>
        <w:t>on the basis that the safe access zone provisions impermissibly burdened the implied freedom of political communication in the Constitution.</w:t>
      </w:r>
    </w:p>
    <w:p w14:paraId="7CB25E82" w14:textId="77777777" w:rsidR="008A4099" w:rsidRDefault="006A6EE2">
      <w:pPr>
        <w:ind w:left="160" w:right="674"/>
        <w:jc w:val="both"/>
        <w:rPr>
          <w:sz w:val="18"/>
        </w:rPr>
      </w:pPr>
      <w:r>
        <w:rPr>
          <w:position w:val="6"/>
          <w:sz w:val="12"/>
        </w:rPr>
        <w:t>153</w:t>
      </w:r>
      <w:r>
        <w:rPr>
          <w:spacing w:val="18"/>
          <w:position w:val="6"/>
          <w:sz w:val="12"/>
        </w:rPr>
        <w:t xml:space="preserve"> </w:t>
      </w:r>
      <w:r>
        <w:rPr>
          <w:i/>
          <w:sz w:val="18"/>
        </w:rPr>
        <w:t>Sustainable Forests Timber Amendment (Timber Harvesting</w:t>
      </w:r>
      <w:r>
        <w:rPr>
          <w:i/>
          <w:spacing w:val="-1"/>
          <w:sz w:val="18"/>
        </w:rPr>
        <w:t xml:space="preserve"> </w:t>
      </w:r>
      <w:r>
        <w:rPr>
          <w:i/>
          <w:sz w:val="18"/>
        </w:rPr>
        <w:t xml:space="preserve">Safety Zones) Act 2022 </w:t>
      </w:r>
      <w:r>
        <w:rPr>
          <w:sz w:val="18"/>
        </w:rPr>
        <w:t xml:space="preserve">(Vic). The passage of an anti-protest law relating to workplaces in Queensland predated the enactment of the </w:t>
      </w:r>
      <w:r>
        <w:rPr>
          <w:i/>
          <w:sz w:val="18"/>
        </w:rPr>
        <w:t xml:space="preserve">Human Rights Act 2019 </w:t>
      </w:r>
      <w:r>
        <w:rPr>
          <w:sz w:val="18"/>
        </w:rPr>
        <w:t>(Qld), so that the proposed legislation was not required to be accompanied by a statement of compatibility with human rights.</w:t>
      </w:r>
    </w:p>
    <w:p w14:paraId="7CB25E83" w14:textId="77777777" w:rsidR="008A4099" w:rsidRDefault="006A6EE2">
      <w:pPr>
        <w:spacing w:line="208" w:lineRule="exact"/>
        <w:ind w:left="160"/>
        <w:jc w:val="both"/>
        <w:rPr>
          <w:sz w:val="18"/>
        </w:rPr>
      </w:pPr>
      <w:r>
        <w:rPr>
          <w:position w:val="6"/>
          <w:sz w:val="12"/>
        </w:rPr>
        <w:t>154</w:t>
      </w:r>
      <w:r>
        <w:rPr>
          <w:spacing w:val="14"/>
          <w:position w:val="6"/>
          <w:sz w:val="12"/>
        </w:rPr>
        <w:t xml:space="preserve"> </w:t>
      </w:r>
      <w:r>
        <w:rPr>
          <w:i/>
          <w:sz w:val="18"/>
        </w:rPr>
        <w:t>Public</w:t>
      </w:r>
      <w:r>
        <w:rPr>
          <w:i/>
          <w:spacing w:val="-2"/>
          <w:sz w:val="18"/>
        </w:rPr>
        <w:t xml:space="preserve"> </w:t>
      </w:r>
      <w:r>
        <w:rPr>
          <w:i/>
          <w:sz w:val="18"/>
        </w:rPr>
        <w:t>Health and</w:t>
      </w:r>
      <w:r>
        <w:rPr>
          <w:i/>
          <w:spacing w:val="-2"/>
          <w:sz w:val="18"/>
        </w:rPr>
        <w:t xml:space="preserve"> </w:t>
      </w:r>
      <w:r>
        <w:rPr>
          <w:i/>
          <w:sz w:val="18"/>
        </w:rPr>
        <w:t>Wellbeing</w:t>
      </w:r>
      <w:r>
        <w:rPr>
          <w:i/>
          <w:spacing w:val="-2"/>
          <w:sz w:val="18"/>
        </w:rPr>
        <w:t xml:space="preserve"> </w:t>
      </w:r>
      <w:r>
        <w:rPr>
          <w:i/>
          <w:sz w:val="18"/>
        </w:rPr>
        <w:t>Act</w:t>
      </w:r>
      <w:r>
        <w:rPr>
          <w:i/>
          <w:spacing w:val="-3"/>
          <w:sz w:val="18"/>
        </w:rPr>
        <w:t xml:space="preserve"> </w:t>
      </w:r>
      <w:r>
        <w:rPr>
          <w:i/>
          <w:sz w:val="18"/>
        </w:rPr>
        <w:t>2008</w:t>
      </w:r>
      <w:r>
        <w:rPr>
          <w:i/>
          <w:spacing w:val="2"/>
          <w:sz w:val="18"/>
        </w:rPr>
        <w:t xml:space="preserve"> </w:t>
      </w:r>
      <w:r>
        <w:rPr>
          <w:spacing w:val="-2"/>
          <w:sz w:val="18"/>
        </w:rPr>
        <w:t>(Vic).</w:t>
      </w:r>
    </w:p>
    <w:p w14:paraId="7CB25E84" w14:textId="77777777" w:rsidR="008A4099" w:rsidRDefault="006A6EE2">
      <w:pPr>
        <w:spacing w:before="14"/>
        <w:ind w:left="160" w:right="673"/>
        <w:jc w:val="both"/>
        <w:rPr>
          <w:sz w:val="18"/>
        </w:rPr>
      </w:pPr>
      <w:r>
        <w:rPr>
          <w:sz w:val="18"/>
          <w:vertAlign w:val="superscript"/>
        </w:rPr>
        <w:t>155</w:t>
      </w:r>
      <w:r>
        <w:rPr>
          <w:spacing w:val="-1"/>
          <w:sz w:val="18"/>
        </w:rPr>
        <w:t xml:space="preserve"> </w:t>
      </w:r>
      <w:r>
        <w:rPr>
          <w:sz w:val="18"/>
        </w:rPr>
        <w:t>See open letter to the Premier, and Ministers for Workplace Safety and Agriculture. Environmental Justice Australia, ‘Legal, Human Rights and Environment Groups call on Victorian Government to Withdraw Draconian Anti-Protest Laws’ (Media</w:t>
      </w:r>
      <w:r>
        <w:rPr>
          <w:spacing w:val="-12"/>
          <w:sz w:val="18"/>
        </w:rPr>
        <w:t xml:space="preserve"> </w:t>
      </w:r>
      <w:r>
        <w:rPr>
          <w:sz w:val="18"/>
        </w:rPr>
        <w:t>Release,</w:t>
      </w:r>
      <w:r>
        <w:rPr>
          <w:spacing w:val="-11"/>
          <w:sz w:val="18"/>
        </w:rPr>
        <w:t xml:space="preserve"> </w:t>
      </w:r>
      <w:r>
        <w:rPr>
          <w:sz w:val="18"/>
        </w:rPr>
        <w:t>8</w:t>
      </w:r>
      <w:r>
        <w:rPr>
          <w:spacing w:val="-11"/>
          <w:sz w:val="18"/>
        </w:rPr>
        <w:t xml:space="preserve"> </w:t>
      </w:r>
      <w:r>
        <w:rPr>
          <w:sz w:val="18"/>
        </w:rPr>
        <w:t>June</w:t>
      </w:r>
      <w:r>
        <w:rPr>
          <w:spacing w:val="-11"/>
          <w:sz w:val="18"/>
        </w:rPr>
        <w:t xml:space="preserve"> </w:t>
      </w:r>
      <w:r>
        <w:rPr>
          <w:sz w:val="18"/>
        </w:rPr>
        <w:t>2022)</w:t>
      </w:r>
      <w:r>
        <w:rPr>
          <w:spacing w:val="-12"/>
          <w:sz w:val="18"/>
        </w:rPr>
        <w:t xml:space="preserve"> </w:t>
      </w:r>
      <w:r>
        <w:rPr>
          <w:sz w:val="18"/>
        </w:rPr>
        <w:t xml:space="preserve">&lt;https://envirojustice.org.au/press-release/legal-human-rights-and-environment-groups-call-on- </w:t>
      </w:r>
      <w:r>
        <w:rPr>
          <w:spacing w:val="-2"/>
          <w:sz w:val="18"/>
        </w:rPr>
        <w:t>victorian-government-to-withdraw-draconian-anti-protest-laws/&gt;.</w:t>
      </w:r>
    </w:p>
    <w:p w14:paraId="7CB25E85" w14:textId="77777777" w:rsidR="008A4099" w:rsidRDefault="006A6EE2">
      <w:pPr>
        <w:spacing w:before="21"/>
        <w:ind w:left="160"/>
        <w:rPr>
          <w:sz w:val="18"/>
        </w:rPr>
      </w:pPr>
      <w:r>
        <w:rPr>
          <w:sz w:val="18"/>
          <w:vertAlign w:val="superscript"/>
        </w:rPr>
        <w:t>156</w:t>
      </w:r>
      <w:r>
        <w:rPr>
          <w:sz w:val="18"/>
        </w:rPr>
        <w:t xml:space="preserve"> Victoria,</w:t>
      </w:r>
      <w:r>
        <w:rPr>
          <w:spacing w:val="1"/>
          <w:sz w:val="18"/>
        </w:rPr>
        <w:t xml:space="preserve"> </w:t>
      </w:r>
      <w:r>
        <w:rPr>
          <w:i/>
          <w:sz w:val="18"/>
        </w:rPr>
        <w:t>Parliamentary</w:t>
      </w:r>
      <w:r>
        <w:rPr>
          <w:i/>
          <w:spacing w:val="-1"/>
          <w:sz w:val="18"/>
        </w:rPr>
        <w:t xml:space="preserve"> </w:t>
      </w:r>
      <w:r>
        <w:rPr>
          <w:i/>
          <w:sz w:val="18"/>
        </w:rPr>
        <w:t>Debates</w:t>
      </w:r>
      <w:r>
        <w:rPr>
          <w:sz w:val="18"/>
        </w:rPr>
        <w:t>,</w:t>
      </w:r>
      <w:r>
        <w:rPr>
          <w:spacing w:val="-2"/>
          <w:sz w:val="18"/>
        </w:rPr>
        <w:t xml:space="preserve"> </w:t>
      </w:r>
      <w:r>
        <w:rPr>
          <w:sz w:val="18"/>
        </w:rPr>
        <w:t>Legislative</w:t>
      </w:r>
      <w:r>
        <w:rPr>
          <w:spacing w:val="-1"/>
          <w:sz w:val="18"/>
        </w:rPr>
        <w:t xml:space="preserve"> </w:t>
      </w:r>
      <w:r>
        <w:rPr>
          <w:sz w:val="18"/>
        </w:rPr>
        <w:t>Council,</w:t>
      </w:r>
      <w:r>
        <w:rPr>
          <w:spacing w:val="-2"/>
          <w:sz w:val="18"/>
        </w:rPr>
        <w:t xml:space="preserve"> </w:t>
      </w:r>
      <w:r>
        <w:rPr>
          <w:sz w:val="18"/>
        </w:rPr>
        <w:t>24</w:t>
      </w:r>
      <w:r>
        <w:rPr>
          <w:spacing w:val="-1"/>
          <w:sz w:val="18"/>
        </w:rPr>
        <w:t xml:space="preserve"> </w:t>
      </w:r>
      <w:r>
        <w:rPr>
          <w:sz w:val="18"/>
        </w:rPr>
        <w:t>May</w:t>
      </w:r>
      <w:r>
        <w:rPr>
          <w:spacing w:val="-1"/>
          <w:sz w:val="18"/>
        </w:rPr>
        <w:t xml:space="preserve"> </w:t>
      </w:r>
      <w:r>
        <w:rPr>
          <w:sz w:val="18"/>
        </w:rPr>
        <w:t>2022, 1912</w:t>
      </w:r>
      <w:r>
        <w:rPr>
          <w:spacing w:val="1"/>
          <w:sz w:val="18"/>
        </w:rPr>
        <w:t xml:space="preserve"> </w:t>
      </w:r>
      <w:r>
        <w:rPr>
          <w:sz w:val="18"/>
        </w:rPr>
        <w:t>(Mary-Ann</w:t>
      </w:r>
      <w:r>
        <w:rPr>
          <w:spacing w:val="1"/>
          <w:sz w:val="18"/>
        </w:rPr>
        <w:t xml:space="preserve"> </w:t>
      </w:r>
      <w:r>
        <w:rPr>
          <w:spacing w:val="-2"/>
          <w:sz w:val="18"/>
        </w:rPr>
        <w:t>Thomas).</w:t>
      </w:r>
    </w:p>
    <w:p w14:paraId="7CB25E86" w14:textId="77777777" w:rsidR="008A4099" w:rsidRDefault="006A6EE2">
      <w:pPr>
        <w:spacing w:before="24"/>
        <w:ind w:left="160"/>
        <w:rPr>
          <w:sz w:val="18"/>
        </w:rPr>
      </w:pPr>
      <w:r>
        <w:rPr>
          <w:sz w:val="18"/>
          <w:vertAlign w:val="superscript"/>
        </w:rPr>
        <w:t>157</w:t>
      </w:r>
      <w:r>
        <w:rPr>
          <w:spacing w:val="-1"/>
          <w:sz w:val="18"/>
        </w:rPr>
        <w:t xml:space="preserve"> </w:t>
      </w:r>
      <w:r>
        <w:rPr>
          <w:sz w:val="18"/>
        </w:rPr>
        <w:t>Inserted by the</w:t>
      </w:r>
      <w:r>
        <w:rPr>
          <w:spacing w:val="-1"/>
          <w:sz w:val="18"/>
        </w:rPr>
        <w:t xml:space="preserve"> </w:t>
      </w:r>
      <w:r>
        <w:rPr>
          <w:i/>
          <w:sz w:val="18"/>
        </w:rPr>
        <w:t>Public</w:t>
      </w:r>
      <w:r>
        <w:rPr>
          <w:i/>
          <w:spacing w:val="-2"/>
          <w:sz w:val="18"/>
        </w:rPr>
        <w:t xml:space="preserve"> </w:t>
      </w:r>
      <w:r>
        <w:rPr>
          <w:i/>
          <w:sz w:val="18"/>
        </w:rPr>
        <w:t>Health</w:t>
      </w:r>
      <w:r>
        <w:rPr>
          <w:i/>
          <w:spacing w:val="-2"/>
          <w:sz w:val="18"/>
        </w:rPr>
        <w:t xml:space="preserve"> </w:t>
      </w:r>
      <w:r>
        <w:rPr>
          <w:i/>
          <w:sz w:val="18"/>
        </w:rPr>
        <w:t>and Wellbeing Amendment (Safe</w:t>
      </w:r>
      <w:r>
        <w:rPr>
          <w:i/>
          <w:spacing w:val="-1"/>
          <w:sz w:val="18"/>
        </w:rPr>
        <w:t xml:space="preserve"> </w:t>
      </w:r>
      <w:r>
        <w:rPr>
          <w:i/>
          <w:sz w:val="18"/>
        </w:rPr>
        <w:t>Access</w:t>
      </w:r>
      <w:r>
        <w:rPr>
          <w:i/>
          <w:spacing w:val="-2"/>
          <w:sz w:val="18"/>
        </w:rPr>
        <w:t xml:space="preserve"> </w:t>
      </w:r>
      <w:r>
        <w:rPr>
          <w:i/>
          <w:sz w:val="18"/>
        </w:rPr>
        <w:t>Zones)</w:t>
      </w:r>
      <w:r>
        <w:rPr>
          <w:i/>
          <w:spacing w:val="-1"/>
          <w:sz w:val="18"/>
        </w:rPr>
        <w:t xml:space="preserve"> </w:t>
      </w:r>
      <w:r>
        <w:rPr>
          <w:i/>
          <w:sz w:val="18"/>
        </w:rPr>
        <w:t>Act</w:t>
      </w:r>
      <w:r>
        <w:rPr>
          <w:i/>
          <w:spacing w:val="-1"/>
          <w:sz w:val="18"/>
        </w:rPr>
        <w:t xml:space="preserve"> </w:t>
      </w:r>
      <w:r>
        <w:rPr>
          <w:i/>
          <w:sz w:val="18"/>
        </w:rPr>
        <w:t>2015</w:t>
      </w:r>
      <w:r>
        <w:rPr>
          <w:i/>
          <w:spacing w:val="6"/>
          <w:sz w:val="18"/>
        </w:rPr>
        <w:t xml:space="preserve"> </w:t>
      </w:r>
      <w:r>
        <w:rPr>
          <w:spacing w:val="-2"/>
          <w:sz w:val="18"/>
        </w:rPr>
        <w:t>(Vic).</w:t>
      </w:r>
    </w:p>
    <w:p w14:paraId="7CB25E87" w14:textId="77777777" w:rsidR="008A4099" w:rsidRDefault="006A6EE2">
      <w:pPr>
        <w:spacing w:before="23"/>
        <w:ind w:left="160"/>
        <w:rPr>
          <w:sz w:val="18"/>
        </w:rPr>
      </w:pPr>
      <w:r>
        <w:rPr>
          <w:sz w:val="18"/>
          <w:vertAlign w:val="superscript"/>
        </w:rPr>
        <w:t>158</w:t>
      </w:r>
      <w:r>
        <w:rPr>
          <w:spacing w:val="-1"/>
          <w:sz w:val="18"/>
        </w:rPr>
        <w:t xml:space="preserve"> </w:t>
      </w:r>
      <w:r>
        <w:rPr>
          <w:sz w:val="18"/>
        </w:rPr>
        <w:t xml:space="preserve">Victoria, </w:t>
      </w:r>
      <w:r>
        <w:rPr>
          <w:i/>
          <w:sz w:val="18"/>
        </w:rPr>
        <w:t>Parliamentary</w:t>
      </w:r>
      <w:r>
        <w:rPr>
          <w:i/>
          <w:spacing w:val="-2"/>
          <w:sz w:val="18"/>
        </w:rPr>
        <w:t xml:space="preserve"> </w:t>
      </w:r>
      <w:r>
        <w:rPr>
          <w:i/>
          <w:sz w:val="18"/>
        </w:rPr>
        <w:t>Debates</w:t>
      </w:r>
      <w:r>
        <w:rPr>
          <w:sz w:val="18"/>
        </w:rPr>
        <w:t>,</w:t>
      </w:r>
      <w:r>
        <w:rPr>
          <w:spacing w:val="-2"/>
          <w:sz w:val="18"/>
        </w:rPr>
        <w:t xml:space="preserve"> </w:t>
      </w:r>
      <w:r>
        <w:rPr>
          <w:sz w:val="18"/>
        </w:rPr>
        <w:t>Legislative</w:t>
      </w:r>
      <w:r>
        <w:rPr>
          <w:spacing w:val="-2"/>
          <w:sz w:val="18"/>
        </w:rPr>
        <w:t xml:space="preserve"> </w:t>
      </w:r>
      <w:r>
        <w:rPr>
          <w:sz w:val="18"/>
        </w:rPr>
        <w:t>Assembly,</w:t>
      </w:r>
      <w:r>
        <w:rPr>
          <w:spacing w:val="-2"/>
          <w:sz w:val="18"/>
        </w:rPr>
        <w:t xml:space="preserve"> </w:t>
      </w:r>
      <w:r>
        <w:rPr>
          <w:sz w:val="18"/>
        </w:rPr>
        <w:t>22 October</w:t>
      </w:r>
      <w:r>
        <w:rPr>
          <w:spacing w:val="-1"/>
          <w:sz w:val="18"/>
        </w:rPr>
        <w:t xml:space="preserve"> </w:t>
      </w:r>
      <w:r>
        <w:rPr>
          <w:sz w:val="18"/>
        </w:rPr>
        <w:t>2015, 3973 (Statement</w:t>
      </w:r>
      <w:r>
        <w:rPr>
          <w:spacing w:val="-3"/>
          <w:sz w:val="18"/>
        </w:rPr>
        <w:t xml:space="preserve"> </w:t>
      </w:r>
      <w:r>
        <w:rPr>
          <w:sz w:val="18"/>
        </w:rPr>
        <w:t>of</w:t>
      </w:r>
      <w:r>
        <w:rPr>
          <w:spacing w:val="4"/>
          <w:sz w:val="18"/>
        </w:rPr>
        <w:t xml:space="preserve"> </w:t>
      </w:r>
      <w:r>
        <w:rPr>
          <w:sz w:val="18"/>
        </w:rPr>
        <w:t>Compatibility). The</w:t>
      </w:r>
      <w:r>
        <w:rPr>
          <w:spacing w:val="-2"/>
          <w:sz w:val="18"/>
        </w:rPr>
        <w:t xml:space="preserve"> </w:t>
      </w:r>
      <w:r>
        <w:rPr>
          <w:spacing w:val="-5"/>
          <w:sz w:val="18"/>
        </w:rPr>
        <w:t>Act</w:t>
      </w:r>
    </w:p>
    <w:p w14:paraId="7CB25E88" w14:textId="77777777" w:rsidR="008A4099" w:rsidRDefault="008A4099">
      <w:pPr>
        <w:rPr>
          <w:sz w:val="18"/>
        </w:rPr>
        <w:sectPr w:rsidR="008A4099" w:rsidSect="00D43B2D">
          <w:pgSz w:w="11910" w:h="16840"/>
          <w:pgMar w:top="980" w:right="760" w:bottom="940" w:left="1280" w:header="718" w:footer="753" w:gutter="0"/>
          <w:cols w:space="720"/>
        </w:sectPr>
      </w:pPr>
    </w:p>
    <w:p w14:paraId="7CB25E89" w14:textId="77777777" w:rsidR="008A4099" w:rsidRDefault="008A4099">
      <w:pPr>
        <w:pStyle w:val="BodyText"/>
        <w:spacing w:before="216"/>
      </w:pPr>
    </w:p>
    <w:p w14:paraId="7CB25E8A" w14:textId="77777777" w:rsidR="008A4099" w:rsidRDefault="006A6EE2">
      <w:pPr>
        <w:pStyle w:val="BodyText"/>
        <w:ind w:left="160" w:right="673"/>
        <w:jc w:val="both"/>
      </w:pPr>
      <w:r>
        <w:t>and slaughtered.</w:t>
      </w:r>
      <w:r>
        <w:rPr>
          <w:vertAlign w:val="superscript"/>
        </w:rPr>
        <w:t>159</w:t>
      </w:r>
      <w:r>
        <w:t xml:space="preserve"> Under the process created for the review of draft legislation from a human rights perspective,</w:t>
      </w:r>
      <w:r>
        <w:rPr>
          <w:spacing w:val="-3"/>
        </w:rPr>
        <w:t xml:space="preserve"> </w:t>
      </w:r>
      <w:r>
        <w:t>the</w:t>
      </w:r>
      <w:r>
        <w:rPr>
          <w:spacing w:val="-3"/>
        </w:rPr>
        <w:t xml:space="preserve"> </w:t>
      </w:r>
      <w:r>
        <w:t>Parliamentary</w:t>
      </w:r>
      <w:r>
        <w:rPr>
          <w:spacing w:val="-3"/>
        </w:rPr>
        <w:t xml:space="preserve"> </w:t>
      </w:r>
      <w:r>
        <w:t>Joint</w:t>
      </w:r>
      <w:r>
        <w:rPr>
          <w:spacing w:val="-2"/>
        </w:rPr>
        <w:t xml:space="preserve"> </w:t>
      </w:r>
      <w:r>
        <w:t>Committee</w:t>
      </w:r>
      <w:r>
        <w:rPr>
          <w:spacing w:val="-3"/>
        </w:rPr>
        <w:t xml:space="preserve"> </w:t>
      </w:r>
      <w:r>
        <w:t>on</w:t>
      </w:r>
      <w:r>
        <w:rPr>
          <w:spacing w:val="-3"/>
        </w:rPr>
        <w:t xml:space="preserve"> </w:t>
      </w:r>
      <w:r>
        <w:t>Human</w:t>
      </w:r>
      <w:r>
        <w:rPr>
          <w:spacing w:val="-3"/>
        </w:rPr>
        <w:t xml:space="preserve"> </w:t>
      </w:r>
      <w:r>
        <w:t>Rights (‘PJCHR’)</w:t>
      </w:r>
      <w:r>
        <w:rPr>
          <w:spacing w:val="-2"/>
        </w:rPr>
        <w:t xml:space="preserve"> </w:t>
      </w:r>
      <w:r>
        <w:t>considered</w:t>
      </w:r>
      <w:r>
        <w:rPr>
          <w:spacing w:val="-5"/>
        </w:rPr>
        <w:t xml:space="preserve"> </w:t>
      </w:r>
      <w:r>
        <w:t>the</w:t>
      </w:r>
      <w:r>
        <w:rPr>
          <w:spacing w:val="-5"/>
        </w:rPr>
        <w:t xml:space="preserve"> </w:t>
      </w:r>
      <w:r>
        <w:t>impact</w:t>
      </w:r>
      <w:r>
        <w:rPr>
          <w:spacing w:val="-2"/>
        </w:rPr>
        <w:t xml:space="preserve"> </w:t>
      </w:r>
      <w:r>
        <w:t>of the new offences on freedoms of expression and assembly. The Committee noted that the explanatory notes and statement of compatibility were deficient and sought the Minister’s advice on the proportionality</w:t>
      </w:r>
      <w:r>
        <w:rPr>
          <w:spacing w:val="-13"/>
        </w:rPr>
        <w:t xml:space="preserve"> </w:t>
      </w:r>
      <w:r>
        <w:t>of</w:t>
      </w:r>
      <w:r>
        <w:rPr>
          <w:spacing w:val="-12"/>
        </w:rPr>
        <w:t xml:space="preserve"> </w:t>
      </w:r>
      <w:r>
        <w:t>any</w:t>
      </w:r>
      <w:r>
        <w:rPr>
          <w:spacing w:val="-10"/>
        </w:rPr>
        <w:t xml:space="preserve"> </w:t>
      </w:r>
      <w:r>
        <w:t>burden</w:t>
      </w:r>
      <w:r>
        <w:rPr>
          <w:spacing w:val="-10"/>
        </w:rPr>
        <w:t xml:space="preserve"> </w:t>
      </w:r>
      <w:r>
        <w:t>on</w:t>
      </w:r>
      <w:r>
        <w:rPr>
          <w:spacing w:val="-13"/>
        </w:rPr>
        <w:t xml:space="preserve"> </w:t>
      </w:r>
      <w:r>
        <w:t>those</w:t>
      </w:r>
      <w:r>
        <w:rPr>
          <w:spacing w:val="-12"/>
        </w:rPr>
        <w:t xml:space="preserve"> </w:t>
      </w:r>
      <w:r>
        <w:t>freedoms.</w:t>
      </w:r>
      <w:r>
        <w:rPr>
          <w:vertAlign w:val="superscript"/>
        </w:rPr>
        <w:t>160</w:t>
      </w:r>
      <w:r>
        <w:rPr>
          <w:spacing w:val="-10"/>
        </w:rPr>
        <w:t xml:space="preserve"> </w:t>
      </w:r>
      <w:r>
        <w:t>Indicating</w:t>
      </w:r>
      <w:r>
        <w:rPr>
          <w:spacing w:val="-11"/>
        </w:rPr>
        <w:t xml:space="preserve"> </w:t>
      </w:r>
      <w:r>
        <w:t>a</w:t>
      </w:r>
      <w:r>
        <w:rPr>
          <w:spacing w:val="-13"/>
        </w:rPr>
        <w:t xml:space="preserve"> </w:t>
      </w:r>
      <w:r>
        <w:t>weakness</w:t>
      </w:r>
      <w:r>
        <w:rPr>
          <w:spacing w:val="-13"/>
        </w:rPr>
        <w:t xml:space="preserve"> </w:t>
      </w:r>
      <w:r>
        <w:t>of</w:t>
      </w:r>
      <w:r>
        <w:rPr>
          <w:spacing w:val="-12"/>
        </w:rPr>
        <w:t xml:space="preserve"> </w:t>
      </w:r>
      <w:r>
        <w:t>the</w:t>
      </w:r>
      <w:r>
        <w:rPr>
          <w:spacing w:val="-8"/>
        </w:rPr>
        <w:t xml:space="preserve"> </w:t>
      </w:r>
      <w:r>
        <w:t>Parliamentary</w:t>
      </w:r>
      <w:r>
        <w:rPr>
          <w:spacing w:val="-13"/>
        </w:rPr>
        <w:t xml:space="preserve"> </w:t>
      </w:r>
      <w:r>
        <w:t>scrutiny model,</w:t>
      </w:r>
      <w:r>
        <w:rPr>
          <w:spacing w:val="-2"/>
        </w:rPr>
        <w:t xml:space="preserve"> </w:t>
      </w:r>
      <w:r>
        <w:t>no</w:t>
      </w:r>
      <w:r>
        <w:rPr>
          <w:spacing w:val="-5"/>
        </w:rPr>
        <w:t xml:space="preserve"> </w:t>
      </w:r>
      <w:r>
        <w:t>response</w:t>
      </w:r>
      <w:r>
        <w:rPr>
          <w:spacing w:val="-2"/>
        </w:rPr>
        <w:t xml:space="preserve"> </w:t>
      </w:r>
      <w:r>
        <w:t>was</w:t>
      </w:r>
      <w:r>
        <w:rPr>
          <w:spacing w:val="-2"/>
        </w:rPr>
        <w:t xml:space="preserve"> </w:t>
      </w:r>
      <w:r>
        <w:t>received</w:t>
      </w:r>
      <w:r>
        <w:rPr>
          <w:spacing w:val="-4"/>
        </w:rPr>
        <w:t xml:space="preserve"> </w:t>
      </w:r>
      <w:r>
        <w:t>from</w:t>
      </w:r>
      <w:r>
        <w:rPr>
          <w:spacing w:val="-4"/>
        </w:rPr>
        <w:t xml:space="preserve"> </w:t>
      </w:r>
      <w:r>
        <w:t>the</w:t>
      </w:r>
      <w:r>
        <w:rPr>
          <w:spacing w:val="-2"/>
        </w:rPr>
        <w:t xml:space="preserve"> </w:t>
      </w:r>
      <w:r>
        <w:t>Government</w:t>
      </w:r>
      <w:r>
        <w:rPr>
          <w:spacing w:val="-4"/>
        </w:rPr>
        <w:t xml:space="preserve"> </w:t>
      </w:r>
      <w:r>
        <w:t>before</w:t>
      </w:r>
      <w:r>
        <w:rPr>
          <w:spacing w:val="-2"/>
        </w:rPr>
        <w:t xml:space="preserve"> </w:t>
      </w:r>
      <w:r>
        <w:t>the</w:t>
      </w:r>
      <w:r>
        <w:rPr>
          <w:spacing w:val="-2"/>
        </w:rPr>
        <w:t xml:space="preserve"> </w:t>
      </w:r>
      <w:r>
        <w:t>proposed</w:t>
      </w:r>
      <w:r>
        <w:rPr>
          <w:spacing w:val="-2"/>
        </w:rPr>
        <w:t xml:space="preserve"> </w:t>
      </w:r>
      <w:r>
        <w:t>legislation</w:t>
      </w:r>
      <w:r>
        <w:rPr>
          <w:spacing w:val="-2"/>
        </w:rPr>
        <w:t xml:space="preserve"> </w:t>
      </w:r>
      <w:r>
        <w:t>was</w:t>
      </w:r>
      <w:r>
        <w:rPr>
          <w:spacing w:val="-2"/>
        </w:rPr>
        <w:t xml:space="preserve"> </w:t>
      </w:r>
      <w:r>
        <w:t>debated.</w:t>
      </w:r>
      <w:r>
        <w:rPr>
          <w:position w:val="7"/>
          <w:sz w:val="13"/>
        </w:rPr>
        <w:t>161</w:t>
      </w:r>
      <w:r>
        <w:rPr>
          <w:spacing w:val="40"/>
          <w:position w:val="7"/>
          <w:sz w:val="13"/>
        </w:rPr>
        <w:t xml:space="preserve"> </w:t>
      </w:r>
      <w:r>
        <w:t>The Senate</w:t>
      </w:r>
      <w:r>
        <w:rPr>
          <w:spacing w:val="-1"/>
        </w:rPr>
        <w:t xml:space="preserve"> </w:t>
      </w:r>
      <w:r>
        <w:t>Standing Committee on</w:t>
      </w:r>
      <w:r>
        <w:rPr>
          <w:spacing w:val="-2"/>
        </w:rPr>
        <w:t xml:space="preserve"> </w:t>
      </w:r>
      <w:r>
        <w:t>Legal and Constitutional Affairs also</w:t>
      </w:r>
      <w:r>
        <w:rPr>
          <w:spacing w:val="-1"/>
        </w:rPr>
        <w:t xml:space="preserve"> </w:t>
      </w:r>
      <w:r>
        <w:t>held an</w:t>
      </w:r>
      <w:r>
        <w:rPr>
          <w:spacing w:val="-2"/>
        </w:rPr>
        <w:t xml:space="preserve"> </w:t>
      </w:r>
      <w:r>
        <w:t>inquiry</w:t>
      </w:r>
      <w:r>
        <w:rPr>
          <w:spacing w:val="-2"/>
        </w:rPr>
        <w:t xml:space="preserve"> </w:t>
      </w:r>
      <w:r>
        <w:t>into</w:t>
      </w:r>
      <w:r>
        <w:rPr>
          <w:spacing w:val="-1"/>
        </w:rPr>
        <w:t xml:space="preserve"> </w:t>
      </w:r>
      <w:r>
        <w:t>the Bill. Submissions to the inquiry raised concerns that it contravened the implied Constitutional freedom of political</w:t>
      </w:r>
      <w:r>
        <w:rPr>
          <w:spacing w:val="-1"/>
        </w:rPr>
        <w:t xml:space="preserve"> </w:t>
      </w:r>
      <w:r>
        <w:t>communication</w:t>
      </w:r>
      <w:r>
        <w:rPr>
          <w:spacing w:val="-4"/>
        </w:rPr>
        <w:t xml:space="preserve"> </w:t>
      </w:r>
      <w:r>
        <w:t>and</w:t>
      </w:r>
      <w:r>
        <w:rPr>
          <w:spacing w:val="-2"/>
        </w:rPr>
        <w:t xml:space="preserve"> </w:t>
      </w:r>
      <w:r>
        <w:t>would</w:t>
      </w:r>
      <w:r>
        <w:rPr>
          <w:spacing w:val="-2"/>
        </w:rPr>
        <w:t xml:space="preserve"> </w:t>
      </w:r>
      <w:r>
        <w:t>discourage</w:t>
      </w:r>
      <w:r>
        <w:rPr>
          <w:spacing w:val="-2"/>
        </w:rPr>
        <w:t xml:space="preserve"> </w:t>
      </w:r>
      <w:r>
        <w:t>whistleblowers</w:t>
      </w:r>
      <w:r>
        <w:rPr>
          <w:spacing w:val="-2"/>
        </w:rPr>
        <w:t xml:space="preserve"> </w:t>
      </w:r>
      <w:r>
        <w:t>from</w:t>
      </w:r>
      <w:r>
        <w:rPr>
          <w:spacing w:val="-1"/>
        </w:rPr>
        <w:t xml:space="preserve"> </w:t>
      </w:r>
      <w:r>
        <w:t>revealing</w:t>
      </w:r>
      <w:r>
        <w:rPr>
          <w:spacing w:val="-4"/>
        </w:rPr>
        <w:t xml:space="preserve"> </w:t>
      </w:r>
      <w:r>
        <w:t>abuses.</w:t>
      </w:r>
      <w:r>
        <w:rPr>
          <w:vertAlign w:val="superscript"/>
        </w:rPr>
        <w:t>162</w:t>
      </w:r>
      <w:r>
        <w:rPr>
          <w:spacing w:val="-2"/>
        </w:rPr>
        <w:t xml:space="preserve"> </w:t>
      </w:r>
      <w:r>
        <w:t>Despite</w:t>
      </w:r>
      <w:r>
        <w:rPr>
          <w:spacing w:val="-2"/>
        </w:rPr>
        <w:t xml:space="preserve"> </w:t>
      </w:r>
      <w:r>
        <w:t>these concerns, the government-dominated Committee recommended that the proposed laws be passed.</w:t>
      </w:r>
      <w:r>
        <w:rPr>
          <w:vertAlign w:val="superscript"/>
        </w:rPr>
        <w:t>163</w:t>
      </w:r>
      <w:r>
        <w:t xml:space="preserve"> Again,</w:t>
      </w:r>
      <w:r>
        <w:rPr>
          <w:spacing w:val="-14"/>
        </w:rPr>
        <w:t xml:space="preserve"> </w:t>
      </w:r>
      <w:r>
        <w:t>the</w:t>
      </w:r>
      <w:r>
        <w:rPr>
          <w:spacing w:val="-14"/>
        </w:rPr>
        <w:t xml:space="preserve"> </w:t>
      </w:r>
      <w:r>
        <w:t>lack</w:t>
      </w:r>
      <w:r>
        <w:rPr>
          <w:spacing w:val="-14"/>
        </w:rPr>
        <w:t xml:space="preserve"> </w:t>
      </w:r>
      <w:r>
        <w:t>of</w:t>
      </w:r>
      <w:r>
        <w:rPr>
          <w:spacing w:val="-13"/>
        </w:rPr>
        <w:t xml:space="preserve"> </w:t>
      </w:r>
      <w:r>
        <w:t>response</w:t>
      </w:r>
      <w:r>
        <w:rPr>
          <w:spacing w:val="-14"/>
        </w:rPr>
        <w:t xml:space="preserve"> </w:t>
      </w:r>
      <w:r>
        <w:t>to</w:t>
      </w:r>
      <w:r>
        <w:rPr>
          <w:spacing w:val="-14"/>
        </w:rPr>
        <w:t xml:space="preserve"> </w:t>
      </w:r>
      <w:r>
        <w:t>concerns</w:t>
      </w:r>
      <w:r>
        <w:rPr>
          <w:spacing w:val="-14"/>
        </w:rPr>
        <w:t xml:space="preserve"> </w:t>
      </w:r>
      <w:r>
        <w:t>regarding</w:t>
      </w:r>
      <w:r>
        <w:rPr>
          <w:spacing w:val="-13"/>
        </w:rPr>
        <w:t xml:space="preserve"> </w:t>
      </w:r>
      <w:r>
        <w:t>the</w:t>
      </w:r>
      <w:r>
        <w:rPr>
          <w:spacing w:val="-14"/>
        </w:rPr>
        <w:t xml:space="preserve"> </w:t>
      </w:r>
      <w:r>
        <w:t>human</w:t>
      </w:r>
      <w:r>
        <w:rPr>
          <w:spacing w:val="-14"/>
        </w:rPr>
        <w:t xml:space="preserve"> </w:t>
      </w:r>
      <w:r>
        <w:t>rights</w:t>
      </w:r>
      <w:r>
        <w:rPr>
          <w:spacing w:val="-14"/>
        </w:rPr>
        <w:t xml:space="preserve"> </w:t>
      </w:r>
      <w:r>
        <w:t>implications</w:t>
      </w:r>
      <w:r>
        <w:rPr>
          <w:spacing w:val="-13"/>
        </w:rPr>
        <w:t xml:space="preserve"> </w:t>
      </w:r>
      <w:r>
        <w:t>of</w:t>
      </w:r>
      <w:r>
        <w:rPr>
          <w:spacing w:val="-14"/>
        </w:rPr>
        <w:t xml:space="preserve"> </w:t>
      </w:r>
      <w:r>
        <w:t>this</w:t>
      </w:r>
      <w:r>
        <w:rPr>
          <w:spacing w:val="-14"/>
        </w:rPr>
        <w:t xml:space="preserve"> </w:t>
      </w:r>
      <w:r>
        <w:t>legislation</w:t>
      </w:r>
      <w:r>
        <w:rPr>
          <w:spacing w:val="-14"/>
        </w:rPr>
        <w:t xml:space="preserve"> </w:t>
      </w:r>
      <w:r>
        <w:t>points to</w:t>
      </w:r>
      <w:r>
        <w:rPr>
          <w:spacing w:val="-14"/>
        </w:rPr>
        <w:t xml:space="preserve"> </w:t>
      </w:r>
      <w:r>
        <w:t>the</w:t>
      </w:r>
      <w:r>
        <w:rPr>
          <w:spacing w:val="-14"/>
        </w:rPr>
        <w:t xml:space="preserve"> </w:t>
      </w:r>
      <w:r>
        <w:t>shortcomings</w:t>
      </w:r>
      <w:r>
        <w:rPr>
          <w:spacing w:val="-11"/>
        </w:rPr>
        <w:t xml:space="preserve"> </w:t>
      </w:r>
      <w:r>
        <w:t>of</w:t>
      </w:r>
      <w:r>
        <w:rPr>
          <w:spacing w:val="-14"/>
        </w:rPr>
        <w:t xml:space="preserve"> </w:t>
      </w:r>
      <w:r>
        <w:t>a</w:t>
      </w:r>
      <w:r>
        <w:rPr>
          <w:spacing w:val="-11"/>
        </w:rPr>
        <w:t xml:space="preserve"> </w:t>
      </w:r>
      <w:r>
        <w:t>Parliamentary</w:t>
      </w:r>
      <w:r>
        <w:rPr>
          <w:spacing w:val="-14"/>
        </w:rPr>
        <w:t xml:space="preserve"> </w:t>
      </w:r>
      <w:r>
        <w:t>committee</w:t>
      </w:r>
      <w:r>
        <w:rPr>
          <w:spacing w:val="-12"/>
        </w:rPr>
        <w:t xml:space="preserve"> </w:t>
      </w:r>
      <w:r>
        <w:t>scrutiny-only</w:t>
      </w:r>
      <w:r>
        <w:rPr>
          <w:spacing w:val="-14"/>
        </w:rPr>
        <w:t xml:space="preserve"> </w:t>
      </w:r>
      <w:r>
        <w:t>approach</w:t>
      </w:r>
      <w:r>
        <w:rPr>
          <w:spacing w:val="-14"/>
        </w:rPr>
        <w:t xml:space="preserve"> </w:t>
      </w:r>
      <w:r>
        <w:t>to</w:t>
      </w:r>
      <w:r>
        <w:rPr>
          <w:spacing w:val="-12"/>
        </w:rPr>
        <w:t xml:space="preserve"> </w:t>
      </w:r>
      <w:r>
        <w:t>protection</w:t>
      </w:r>
      <w:r>
        <w:rPr>
          <w:spacing w:val="-14"/>
        </w:rPr>
        <w:t xml:space="preserve"> </w:t>
      </w:r>
      <w:r>
        <w:t>of</w:t>
      </w:r>
      <w:r>
        <w:rPr>
          <w:spacing w:val="-13"/>
        </w:rPr>
        <w:t xml:space="preserve"> </w:t>
      </w:r>
      <w:r>
        <w:t>human</w:t>
      </w:r>
      <w:r>
        <w:rPr>
          <w:spacing w:val="-14"/>
        </w:rPr>
        <w:t xml:space="preserve"> </w:t>
      </w:r>
      <w:r>
        <w:t>rights.</w:t>
      </w:r>
    </w:p>
    <w:p w14:paraId="7CB25E8B" w14:textId="77777777" w:rsidR="008A4099" w:rsidRDefault="006A6EE2">
      <w:pPr>
        <w:pStyle w:val="Heading4"/>
        <w:spacing w:before="243"/>
        <w:jc w:val="both"/>
      </w:pPr>
      <w:bookmarkStart w:id="18" w:name="_TOC_250042"/>
      <w:r>
        <w:t>Responses</w:t>
      </w:r>
      <w:r>
        <w:rPr>
          <w:spacing w:val="-4"/>
        </w:rPr>
        <w:t xml:space="preserve"> </w:t>
      </w:r>
      <w:r>
        <w:t>to</w:t>
      </w:r>
      <w:r>
        <w:rPr>
          <w:spacing w:val="-2"/>
        </w:rPr>
        <w:t xml:space="preserve"> </w:t>
      </w:r>
      <w:r>
        <w:t>COVID-</w:t>
      </w:r>
      <w:bookmarkEnd w:id="18"/>
      <w:r>
        <w:rPr>
          <w:spacing w:val="-5"/>
        </w:rPr>
        <w:t>19</w:t>
      </w:r>
    </w:p>
    <w:p w14:paraId="7CB25E8C" w14:textId="77777777" w:rsidR="008A4099" w:rsidRDefault="006A6EE2">
      <w:pPr>
        <w:pStyle w:val="ListParagraph"/>
        <w:numPr>
          <w:ilvl w:val="2"/>
          <w:numId w:val="6"/>
        </w:numPr>
        <w:tabs>
          <w:tab w:val="left" w:pos="879"/>
        </w:tabs>
        <w:spacing w:before="260"/>
        <w:ind w:right="674" w:firstLine="0"/>
        <w:jc w:val="both"/>
      </w:pPr>
      <w:r>
        <w:t>As</w:t>
      </w:r>
      <w:r>
        <w:rPr>
          <w:spacing w:val="-3"/>
        </w:rPr>
        <w:t xml:space="preserve"> </w:t>
      </w:r>
      <w:r>
        <w:t>with</w:t>
      </w:r>
      <w:r>
        <w:rPr>
          <w:spacing w:val="-6"/>
        </w:rPr>
        <w:t xml:space="preserve"> </w:t>
      </w:r>
      <w:r>
        <w:t>other</w:t>
      </w:r>
      <w:r>
        <w:rPr>
          <w:spacing w:val="-5"/>
        </w:rPr>
        <w:t xml:space="preserve"> </w:t>
      </w:r>
      <w:r>
        <w:t>jurisdictions,</w:t>
      </w:r>
      <w:r>
        <w:rPr>
          <w:spacing w:val="-8"/>
        </w:rPr>
        <w:t xml:space="preserve"> </w:t>
      </w:r>
      <w:r>
        <w:t>the</w:t>
      </w:r>
      <w:r>
        <w:rPr>
          <w:spacing w:val="-3"/>
        </w:rPr>
        <w:t xml:space="preserve"> </w:t>
      </w:r>
      <w:r>
        <w:t>Tasmanian</w:t>
      </w:r>
      <w:r>
        <w:rPr>
          <w:spacing w:val="-3"/>
        </w:rPr>
        <w:t xml:space="preserve"> </w:t>
      </w:r>
      <w:r>
        <w:t>Government’s coronavirus</w:t>
      </w:r>
      <w:r>
        <w:rPr>
          <w:spacing w:val="-5"/>
        </w:rPr>
        <w:t xml:space="preserve"> </w:t>
      </w:r>
      <w:r>
        <w:t>(‘COVID-19’)</w:t>
      </w:r>
      <w:r>
        <w:rPr>
          <w:spacing w:val="-5"/>
        </w:rPr>
        <w:t xml:space="preserve"> </w:t>
      </w:r>
      <w:r>
        <w:t>response imposed wide-ranging restrictions. Many of the legislative restrictions were enforced by threat of significant</w:t>
      </w:r>
      <w:r>
        <w:rPr>
          <w:spacing w:val="-1"/>
        </w:rPr>
        <w:t xml:space="preserve"> </w:t>
      </w:r>
      <w:r>
        <w:t>criminal</w:t>
      </w:r>
      <w:r>
        <w:rPr>
          <w:spacing w:val="-1"/>
        </w:rPr>
        <w:t xml:space="preserve"> </w:t>
      </w:r>
      <w:r>
        <w:t>penalties. In</w:t>
      </w:r>
      <w:r>
        <w:rPr>
          <w:spacing w:val="-2"/>
        </w:rPr>
        <w:t xml:space="preserve"> </w:t>
      </w:r>
      <w:r>
        <w:t>times</w:t>
      </w:r>
      <w:r>
        <w:rPr>
          <w:spacing w:val="-2"/>
        </w:rPr>
        <w:t xml:space="preserve"> </w:t>
      </w:r>
      <w:r>
        <w:t>of</w:t>
      </w:r>
      <w:r>
        <w:rPr>
          <w:spacing w:val="-2"/>
        </w:rPr>
        <w:t xml:space="preserve"> </w:t>
      </w:r>
      <w:r>
        <w:t>crisis,</w:t>
      </w:r>
      <w:r>
        <w:rPr>
          <w:spacing w:val="-2"/>
        </w:rPr>
        <w:t xml:space="preserve"> </w:t>
      </w:r>
      <w:r>
        <w:t>human</w:t>
      </w:r>
      <w:r>
        <w:rPr>
          <w:spacing w:val="-2"/>
        </w:rPr>
        <w:t xml:space="preserve"> </w:t>
      </w:r>
      <w:r>
        <w:t>rights,</w:t>
      </w:r>
      <w:r>
        <w:rPr>
          <w:spacing w:val="-2"/>
        </w:rPr>
        <w:t xml:space="preserve"> </w:t>
      </w:r>
      <w:r>
        <w:t>and</w:t>
      </w:r>
      <w:r>
        <w:rPr>
          <w:spacing w:val="-2"/>
        </w:rPr>
        <w:t xml:space="preserve"> </w:t>
      </w:r>
      <w:r>
        <w:t>the</w:t>
      </w:r>
      <w:r>
        <w:rPr>
          <w:spacing w:val="-2"/>
        </w:rPr>
        <w:t xml:space="preserve"> </w:t>
      </w:r>
      <w:r>
        <w:t>ways</w:t>
      </w:r>
      <w:r>
        <w:rPr>
          <w:spacing w:val="-4"/>
        </w:rPr>
        <w:t xml:space="preserve"> </w:t>
      </w:r>
      <w:r>
        <w:t>in</w:t>
      </w:r>
      <w:r>
        <w:rPr>
          <w:spacing w:val="-2"/>
        </w:rPr>
        <w:t xml:space="preserve"> </w:t>
      </w:r>
      <w:r>
        <w:t>which</w:t>
      </w:r>
      <w:r>
        <w:rPr>
          <w:spacing w:val="-2"/>
        </w:rPr>
        <w:t xml:space="preserve"> </w:t>
      </w:r>
      <w:r>
        <w:t>competing</w:t>
      </w:r>
      <w:r>
        <w:rPr>
          <w:spacing w:val="-2"/>
        </w:rPr>
        <w:t xml:space="preserve"> </w:t>
      </w:r>
      <w:r>
        <w:t>rights are</w:t>
      </w:r>
      <w:r>
        <w:rPr>
          <w:spacing w:val="-7"/>
        </w:rPr>
        <w:t xml:space="preserve"> </w:t>
      </w:r>
      <w:r>
        <w:t>balanced,</w:t>
      </w:r>
      <w:r>
        <w:rPr>
          <w:spacing w:val="-7"/>
        </w:rPr>
        <w:t xml:space="preserve"> </w:t>
      </w:r>
      <w:r>
        <w:t>limited,</w:t>
      </w:r>
      <w:r>
        <w:rPr>
          <w:spacing w:val="-5"/>
        </w:rPr>
        <w:t xml:space="preserve"> </w:t>
      </w:r>
      <w:r>
        <w:t>and</w:t>
      </w:r>
      <w:r>
        <w:rPr>
          <w:spacing w:val="-7"/>
        </w:rPr>
        <w:t xml:space="preserve"> </w:t>
      </w:r>
      <w:r>
        <w:t>respected,</w:t>
      </w:r>
      <w:r>
        <w:rPr>
          <w:spacing w:val="-5"/>
        </w:rPr>
        <w:t xml:space="preserve"> </w:t>
      </w:r>
      <w:r>
        <w:t>are</w:t>
      </w:r>
      <w:r>
        <w:rPr>
          <w:spacing w:val="-7"/>
        </w:rPr>
        <w:t xml:space="preserve"> </w:t>
      </w:r>
      <w:r>
        <w:t>particularly</w:t>
      </w:r>
      <w:r>
        <w:rPr>
          <w:spacing w:val="-7"/>
        </w:rPr>
        <w:t xml:space="preserve"> </w:t>
      </w:r>
      <w:r>
        <w:t>important.</w:t>
      </w:r>
      <w:r>
        <w:rPr>
          <w:spacing w:val="-7"/>
        </w:rPr>
        <w:t xml:space="preserve"> </w:t>
      </w:r>
      <w:r>
        <w:t>COVID-19</w:t>
      </w:r>
      <w:r>
        <w:rPr>
          <w:spacing w:val="-5"/>
        </w:rPr>
        <w:t xml:space="preserve"> </w:t>
      </w:r>
      <w:r>
        <w:t>was</w:t>
      </w:r>
      <w:r>
        <w:rPr>
          <w:spacing w:val="-4"/>
        </w:rPr>
        <w:t xml:space="preserve"> </w:t>
      </w:r>
      <w:r>
        <w:t>a</w:t>
      </w:r>
      <w:r>
        <w:rPr>
          <w:spacing w:val="-7"/>
        </w:rPr>
        <w:t xml:space="preserve"> </w:t>
      </w:r>
      <w:r>
        <w:t>worldwide</w:t>
      </w:r>
      <w:r>
        <w:rPr>
          <w:spacing w:val="-7"/>
        </w:rPr>
        <w:t xml:space="preserve"> </w:t>
      </w:r>
      <w:r>
        <w:t>pandemic with significant consequences for societies and health. In response to the public health emergency, governments across Australia passed a range of laws to deal with the COVID-19 pandemic. Many of these laws were introduced rapidly and often gave authorities extraordinary powers to make decisive public</w:t>
      </w:r>
      <w:r>
        <w:rPr>
          <w:spacing w:val="-7"/>
        </w:rPr>
        <w:t xml:space="preserve"> </w:t>
      </w:r>
      <w:r>
        <w:t>health</w:t>
      </w:r>
      <w:r>
        <w:rPr>
          <w:spacing w:val="-10"/>
        </w:rPr>
        <w:t xml:space="preserve"> </w:t>
      </w:r>
      <w:r>
        <w:t>decisions</w:t>
      </w:r>
      <w:r>
        <w:rPr>
          <w:spacing w:val="-9"/>
        </w:rPr>
        <w:t xml:space="preserve"> </w:t>
      </w:r>
      <w:r>
        <w:t>that</w:t>
      </w:r>
      <w:r>
        <w:rPr>
          <w:spacing w:val="-11"/>
        </w:rPr>
        <w:t xml:space="preserve"> </w:t>
      </w:r>
      <w:r>
        <w:t>would</w:t>
      </w:r>
      <w:r>
        <w:rPr>
          <w:spacing w:val="-10"/>
        </w:rPr>
        <w:t xml:space="preserve"> </w:t>
      </w:r>
      <w:r>
        <w:t>interfere</w:t>
      </w:r>
      <w:r>
        <w:rPr>
          <w:spacing w:val="-7"/>
        </w:rPr>
        <w:t xml:space="preserve"> </w:t>
      </w:r>
      <w:r>
        <w:t>with</w:t>
      </w:r>
      <w:r>
        <w:rPr>
          <w:spacing w:val="-10"/>
        </w:rPr>
        <w:t xml:space="preserve"> </w:t>
      </w:r>
      <w:r>
        <w:t>human</w:t>
      </w:r>
      <w:r>
        <w:rPr>
          <w:spacing w:val="-9"/>
        </w:rPr>
        <w:t xml:space="preserve"> </w:t>
      </w:r>
      <w:r>
        <w:t>rights</w:t>
      </w:r>
      <w:r>
        <w:rPr>
          <w:spacing w:val="-6"/>
        </w:rPr>
        <w:t xml:space="preserve"> </w:t>
      </w:r>
      <w:r>
        <w:t>and</w:t>
      </w:r>
      <w:r>
        <w:rPr>
          <w:spacing w:val="-7"/>
        </w:rPr>
        <w:t xml:space="preserve"> </w:t>
      </w:r>
      <w:r>
        <w:t>individual</w:t>
      </w:r>
      <w:r>
        <w:rPr>
          <w:spacing w:val="-8"/>
        </w:rPr>
        <w:t xml:space="preserve"> </w:t>
      </w:r>
      <w:r>
        <w:t>liberties</w:t>
      </w:r>
      <w:r>
        <w:rPr>
          <w:spacing w:val="-1"/>
        </w:rPr>
        <w:t xml:space="preserve"> </w:t>
      </w:r>
      <w:r>
        <w:t>(such</w:t>
      </w:r>
      <w:r>
        <w:rPr>
          <w:spacing w:val="-10"/>
        </w:rPr>
        <w:t xml:space="preserve"> </w:t>
      </w:r>
      <w:r>
        <w:t>as</w:t>
      </w:r>
      <w:r>
        <w:rPr>
          <w:spacing w:val="-9"/>
        </w:rPr>
        <w:t xml:space="preserve"> </w:t>
      </w:r>
      <w:r>
        <w:t>freedom of movement and association), while seeking to protect other rights (such as the right to life and the right to health).</w:t>
      </w:r>
    </w:p>
    <w:p w14:paraId="7CB25E8D" w14:textId="77777777" w:rsidR="008A4099" w:rsidRDefault="006A6EE2">
      <w:pPr>
        <w:pStyle w:val="ListParagraph"/>
        <w:numPr>
          <w:ilvl w:val="2"/>
          <w:numId w:val="6"/>
        </w:numPr>
        <w:tabs>
          <w:tab w:val="left" w:pos="879"/>
        </w:tabs>
        <w:spacing w:before="216"/>
        <w:ind w:right="671" w:firstLine="0"/>
        <w:jc w:val="both"/>
      </w:pPr>
      <w:r>
        <w:t>In</w:t>
      </w:r>
      <w:r>
        <w:rPr>
          <w:spacing w:val="-13"/>
        </w:rPr>
        <w:t xml:space="preserve"> </w:t>
      </w:r>
      <w:r>
        <w:t>March</w:t>
      </w:r>
      <w:r>
        <w:rPr>
          <w:spacing w:val="-12"/>
        </w:rPr>
        <w:t xml:space="preserve"> </w:t>
      </w:r>
      <w:r>
        <w:t>2020,</w:t>
      </w:r>
      <w:r>
        <w:rPr>
          <w:spacing w:val="-14"/>
        </w:rPr>
        <w:t xml:space="preserve"> </w:t>
      </w:r>
      <w:r>
        <w:t>the</w:t>
      </w:r>
      <w:r>
        <w:rPr>
          <w:spacing w:val="-12"/>
        </w:rPr>
        <w:t xml:space="preserve"> </w:t>
      </w:r>
      <w:r>
        <w:t>Tasmanian</w:t>
      </w:r>
      <w:r>
        <w:rPr>
          <w:spacing w:val="-10"/>
        </w:rPr>
        <w:t xml:space="preserve"> </w:t>
      </w:r>
      <w:r>
        <w:t>Government</w:t>
      </w:r>
      <w:r>
        <w:rPr>
          <w:spacing w:val="-13"/>
        </w:rPr>
        <w:t xml:space="preserve"> </w:t>
      </w:r>
      <w:r>
        <w:t>responded</w:t>
      </w:r>
      <w:r>
        <w:rPr>
          <w:spacing w:val="-14"/>
        </w:rPr>
        <w:t xml:space="preserve"> </w:t>
      </w:r>
      <w:r>
        <w:t>to</w:t>
      </w:r>
      <w:r>
        <w:rPr>
          <w:spacing w:val="-14"/>
        </w:rPr>
        <w:t xml:space="preserve"> </w:t>
      </w:r>
      <w:r>
        <w:t>the</w:t>
      </w:r>
      <w:r>
        <w:rPr>
          <w:spacing w:val="-14"/>
        </w:rPr>
        <w:t xml:space="preserve"> </w:t>
      </w:r>
      <w:r>
        <w:t>threat</w:t>
      </w:r>
      <w:r>
        <w:rPr>
          <w:spacing w:val="-13"/>
        </w:rPr>
        <w:t xml:space="preserve"> </w:t>
      </w:r>
      <w:r>
        <w:t>of</w:t>
      </w:r>
      <w:r>
        <w:rPr>
          <w:spacing w:val="-13"/>
        </w:rPr>
        <w:t xml:space="preserve"> </w:t>
      </w:r>
      <w:r>
        <w:t>the</w:t>
      </w:r>
      <w:r>
        <w:rPr>
          <w:spacing w:val="-12"/>
        </w:rPr>
        <w:t xml:space="preserve"> </w:t>
      </w:r>
      <w:r>
        <w:t>COVID-19</w:t>
      </w:r>
      <w:r>
        <w:rPr>
          <w:spacing w:val="-12"/>
        </w:rPr>
        <w:t xml:space="preserve"> </w:t>
      </w:r>
      <w:r>
        <w:t xml:space="preserve">pandemic by declaring a public health state of emergency under the </w:t>
      </w:r>
      <w:r>
        <w:rPr>
          <w:i/>
        </w:rPr>
        <w:t xml:space="preserve">Public Health Act 1997 </w:t>
      </w:r>
      <w:r>
        <w:t>(Tas), allowing the Director of Public Health to ‘require a person to quarantine or isolate, require a person to undergo a clinical assessment, ban entry of people to an area or</w:t>
      </w:r>
      <w:r>
        <w:rPr>
          <w:spacing w:val="-1"/>
        </w:rPr>
        <w:t xml:space="preserve"> </w:t>
      </w:r>
      <w:r>
        <w:t>remove people from an</w:t>
      </w:r>
      <w:r>
        <w:rPr>
          <w:spacing w:val="-1"/>
        </w:rPr>
        <w:t xml:space="preserve"> </w:t>
      </w:r>
      <w:r>
        <w:t>area,</w:t>
      </w:r>
      <w:r>
        <w:rPr>
          <w:spacing w:val="-1"/>
        </w:rPr>
        <w:t xml:space="preserve"> </w:t>
      </w:r>
      <w:r>
        <w:t>and take any action required</w:t>
      </w:r>
      <w:r>
        <w:rPr>
          <w:spacing w:val="-5"/>
        </w:rPr>
        <w:t xml:space="preserve"> </w:t>
      </w:r>
      <w:r>
        <w:t>to</w:t>
      </w:r>
      <w:r>
        <w:rPr>
          <w:spacing w:val="-7"/>
        </w:rPr>
        <w:t xml:space="preserve"> </w:t>
      </w:r>
      <w:r>
        <w:t>manage</w:t>
      </w:r>
      <w:r>
        <w:rPr>
          <w:spacing w:val="-7"/>
        </w:rPr>
        <w:t xml:space="preserve"> </w:t>
      </w:r>
      <w:r>
        <w:t>the</w:t>
      </w:r>
      <w:r>
        <w:rPr>
          <w:spacing w:val="-7"/>
        </w:rPr>
        <w:t xml:space="preserve"> </w:t>
      </w:r>
      <w:r>
        <w:t>threat</w:t>
      </w:r>
      <w:r>
        <w:rPr>
          <w:spacing w:val="-1"/>
        </w:rPr>
        <w:t xml:space="preserve"> </w:t>
      </w:r>
      <w:r>
        <w:t>coronavirus</w:t>
      </w:r>
      <w:r>
        <w:rPr>
          <w:spacing w:val="-4"/>
        </w:rPr>
        <w:t xml:space="preserve"> </w:t>
      </w:r>
      <w:r>
        <w:t>poses</w:t>
      </w:r>
      <w:r>
        <w:rPr>
          <w:spacing w:val="-7"/>
        </w:rPr>
        <w:t xml:space="preserve"> </w:t>
      </w:r>
      <w:r>
        <w:t>to</w:t>
      </w:r>
      <w:r>
        <w:rPr>
          <w:spacing w:val="-5"/>
        </w:rPr>
        <w:t xml:space="preserve"> </w:t>
      </w:r>
      <w:r>
        <w:t>public</w:t>
      </w:r>
      <w:r>
        <w:rPr>
          <w:spacing w:val="-7"/>
        </w:rPr>
        <w:t xml:space="preserve"> </w:t>
      </w:r>
      <w:r>
        <w:t>health’.</w:t>
      </w:r>
      <w:r>
        <w:rPr>
          <w:vertAlign w:val="superscript"/>
        </w:rPr>
        <w:t>164</w:t>
      </w:r>
      <w:r>
        <w:rPr>
          <w:spacing w:val="-5"/>
        </w:rPr>
        <w:t xml:space="preserve"> </w:t>
      </w:r>
      <w:r>
        <w:t>In</w:t>
      </w:r>
      <w:r>
        <w:rPr>
          <w:spacing w:val="-5"/>
        </w:rPr>
        <w:t xml:space="preserve"> </w:t>
      </w:r>
      <w:r>
        <w:t>addition,</w:t>
      </w:r>
      <w:r>
        <w:rPr>
          <w:spacing w:val="-7"/>
        </w:rPr>
        <w:t xml:space="preserve"> </w:t>
      </w:r>
      <w:r>
        <w:t>the</w:t>
      </w:r>
      <w:r>
        <w:rPr>
          <w:spacing w:val="-7"/>
        </w:rPr>
        <w:t xml:space="preserve"> </w:t>
      </w:r>
      <w:r>
        <w:t>Premier</w:t>
      </w:r>
      <w:r>
        <w:rPr>
          <w:spacing w:val="-4"/>
        </w:rPr>
        <w:t xml:space="preserve"> </w:t>
      </w:r>
      <w:r>
        <w:t>declared</w:t>
      </w:r>
      <w:r>
        <w:rPr>
          <w:spacing w:val="-7"/>
        </w:rPr>
        <w:t xml:space="preserve"> </w:t>
      </w:r>
      <w:r>
        <w:t>a state</w:t>
      </w:r>
      <w:r>
        <w:rPr>
          <w:spacing w:val="-3"/>
        </w:rPr>
        <w:t xml:space="preserve"> </w:t>
      </w:r>
      <w:r>
        <w:t>of</w:t>
      </w:r>
      <w:r>
        <w:rPr>
          <w:spacing w:val="-2"/>
        </w:rPr>
        <w:t xml:space="preserve"> </w:t>
      </w:r>
      <w:r>
        <w:t>emergency</w:t>
      </w:r>
      <w:r>
        <w:rPr>
          <w:spacing w:val="-4"/>
        </w:rPr>
        <w:t xml:space="preserve"> </w:t>
      </w:r>
      <w:r>
        <w:t>under</w:t>
      </w:r>
      <w:r>
        <w:rPr>
          <w:spacing w:val="-3"/>
        </w:rPr>
        <w:t xml:space="preserve"> </w:t>
      </w:r>
      <w:r>
        <w:t xml:space="preserve">the </w:t>
      </w:r>
      <w:r>
        <w:rPr>
          <w:i/>
        </w:rPr>
        <w:t>Emergency</w:t>
      </w:r>
      <w:r>
        <w:rPr>
          <w:i/>
          <w:spacing w:val="-3"/>
        </w:rPr>
        <w:t xml:space="preserve"> </w:t>
      </w:r>
      <w:r>
        <w:rPr>
          <w:i/>
        </w:rPr>
        <w:t>Management</w:t>
      </w:r>
      <w:r>
        <w:rPr>
          <w:i/>
          <w:spacing w:val="-5"/>
        </w:rPr>
        <w:t xml:space="preserve"> </w:t>
      </w:r>
      <w:r>
        <w:rPr>
          <w:i/>
        </w:rPr>
        <w:t>Act 2006</w:t>
      </w:r>
      <w:r>
        <w:rPr>
          <w:i/>
          <w:spacing w:val="-2"/>
        </w:rPr>
        <w:t xml:space="preserve"> </w:t>
      </w:r>
      <w:r>
        <w:t>(Tas),</w:t>
      </w:r>
      <w:r>
        <w:rPr>
          <w:vertAlign w:val="superscript"/>
        </w:rPr>
        <w:t>165</w:t>
      </w:r>
      <w:r>
        <w:rPr>
          <w:spacing w:val="-1"/>
        </w:rPr>
        <w:t xml:space="preserve"> </w:t>
      </w:r>
      <w:r>
        <w:t>allowing</w:t>
      </w:r>
      <w:r>
        <w:rPr>
          <w:spacing w:val="-4"/>
        </w:rPr>
        <w:t xml:space="preserve"> </w:t>
      </w:r>
      <w:r>
        <w:t>the</w:t>
      </w:r>
      <w:r>
        <w:rPr>
          <w:spacing w:val="-1"/>
        </w:rPr>
        <w:t xml:space="preserve"> </w:t>
      </w:r>
      <w:r>
        <w:t>State</w:t>
      </w:r>
      <w:r>
        <w:rPr>
          <w:spacing w:val="-3"/>
        </w:rPr>
        <w:t xml:space="preserve"> </w:t>
      </w:r>
      <w:r>
        <w:t>Controller to</w:t>
      </w:r>
      <w:r>
        <w:rPr>
          <w:spacing w:val="8"/>
        </w:rPr>
        <w:t xml:space="preserve"> </w:t>
      </w:r>
      <w:r>
        <w:t>exercise</w:t>
      </w:r>
      <w:r>
        <w:rPr>
          <w:spacing w:val="8"/>
        </w:rPr>
        <w:t xml:space="preserve"> </w:t>
      </w:r>
      <w:r>
        <w:t>broad</w:t>
      </w:r>
      <w:r>
        <w:rPr>
          <w:spacing w:val="10"/>
        </w:rPr>
        <w:t xml:space="preserve"> </w:t>
      </w:r>
      <w:r>
        <w:t>powers,</w:t>
      </w:r>
      <w:r>
        <w:rPr>
          <w:spacing w:val="7"/>
        </w:rPr>
        <w:t xml:space="preserve"> </w:t>
      </w:r>
      <w:r>
        <w:t>including:</w:t>
      </w:r>
      <w:r>
        <w:rPr>
          <w:spacing w:val="13"/>
        </w:rPr>
        <w:t xml:space="preserve"> </w:t>
      </w:r>
      <w:r>
        <w:t>issuing</w:t>
      </w:r>
      <w:r>
        <w:rPr>
          <w:spacing w:val="10"/>
        </w:rPr>
        <w:t xml:space="preserve"> </w:t>
      </w:r>
      <w:r>
        <w:t>directions</w:t>
      </w:r>
      <w:r>
        <w:rPr>
          <w:spacing w:val="12"/>
        </w:rPr>
        <w:t xml:space="preserve"> </w:t>
      </w:r>
      <w:r>
        <w:t>that</w:t>
      </w:r>
      <w:r>
        <w:rPr>
          <w:spacing w:val="11"/>
        </w:rPr>
        <w:t xml:space="preserve"> </w:t>
      </w:r>
      <w:r>
        <w:t>restrict</w:t>
      </w:r>
      <w:r>
        <w:rPr>
          <w:spacing w:val="9"/>
        </w:rPr>
        <w:t xml:space="preserve"> </w:t>
      </w:r>
      <w:r>
        <w:t>movement;</w:t>
      </w:r>
      <w:r>
        <w:rPr>
          <w:spacing w:val="11"/>
        </w:rPr>
        <w:t xml:space="preserve"> </w:t>
      </w:r>
      <w:r>
        <w:t>closing</w:t>
      </w:r>
      <w:r>
        <w:rPr>
          <w:spacing w:val="7"/>
        </w:rPr>
        <w:t xml:space="preserve"> </w:t>
      </w:r>
      <w:r>
        <w:t>public</w:t>
      </w:r>
      <w:r>
        <w:rPr>
          <w:spacing w:val="9"/>
        </w:rPr>
        <w:t xml:space="preserve"> </w:t>
      </w:r>
      <w:r>
        <w:rPr>
          <w:spacing w:val="-2"/>
        </w:rPr>
        <w:t>places;</w:t>
      </w:r>
    </w:p>
    <w:p w14:paraId="7CB25E8E" w14:textId="77777777" w:rsidR="008A4099" w:rsidRDefault="008A4099">
      <w:pPr>
        <w:pStyle w:val="BodyText"/>
        <w:rPr>
          <w:sz w:val="20"/>
        </w:rPr>
      </w:pPr>
    </w:p>
    <w:p w14:paraId="7CB25E8F" w14:textId="77777777" w:rsidR="008A4099" w:rsidRDefault="008A4099">
      <w:pPr>
        <w:pStyle w:val="BodyText"/>
        <w:rPr>
          <w:sz w:val="20"/>
        </w:rPr>
      </w:pPr>
    </w:p>
    <w:p w14:paraId="7CB25E90" w14:textId="77777777" w:rsidR="008A4099" w:rsidRDefault="008A4099">
      <w:pPr>
        <w:pStyle w:val="BodyText"/>
        <w:rPr>
          <w:sz w:val="20"/>
        </w:rPr>
      </w:pPr>
    </w:p>
    <w:p w14:paraId="7CB25E91" w14:textId="77777777" w:rsidR="008A4099" w:rsidRDefault="006A6EE2">
      <w:pPr>
        <w:pStyle w:val="BodyText"/>
        <w:spacing w:before="38"/>
        <w:rPr>
          <w:sz w:val="20"/>
        </w:rPr>
      </w:pPr>
      <w:r>
        <w:rPr>
          <w:noProof/>
        </w:rPr>
        <mc:AlternateContent>
          <mc:Choice Requires="wps">
            <w:drawing>
              <wp:anchor distT="0" distB="0" distL="0" distR="0" simplePos="0" relativeHeight="487601152" behindDoc="1" locked="0" layoutInCell="1" allowOverlap="1" wp14:anchorId="7CB2660D" wp14:editId="7CB2660E">
                <wp:simplePos x="0" y="0"/>
                <wp:positionH relativeFrom="page">
                  <wp:posOffset>914704</wp:posOffset>
                </wp:positionH>
                <wp:positionV relativeFrom="paragraph">
                  <wp:posOffset>185819</wp:posOffset>
                </wp:positionV>
                <wp:extent cx="1829435" cy="762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C9CA1" id="Graphic 68" o:spid="_x0000_s1026" style="position:absolute;margin-left:1in;margin-top:14.65pt;width:144.05pt;height:.6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" path="m1829054,l,,,7619r1829054,l1829054,xe" fillcolor="black" stroked="f">
                <v:path arrowok="t"/>
                <w10:wrap type="topAndBottom" anchorx="page"/>
              </v:shape>
            </w:pict>
          </mc:Fallback>
        </mc:AlternateContent>
      </w:r>
    </w:p>
    <w:p w14:paraId="7CB25E92" w14:textId="77777777" w:rsidR="008A4099" w:rsidRDefault="006A6EE2">
      <w:pPr>
        <w:spacing w:before="93"/>
        <w:ind w:left="160" w:right="678"/>
        <w:jc w:val="both"/>
        <w:rPr>
          <w:sz w:val="18"/>
        </w:rPr>
      </w:pPr>
      <w:r>
        <w:rPr>
          <w:sz w:val="18"/>
        </w:rPr>
        <w:t xml:space="preserve">introduced a new offence into the Commonwealth </w:t>
      </w:r>
      <w:r>
        <w:rPr>
          <w:i/>
          <w:sz w:val="18"/>
        </w:rPr>
        <w:t xml:space="preserve">Criminal Code Act 1995 </w:t>
      </w:r>
      <w:r>
        <w:rPr>
          <w:sz w:val="18"/>
        </w:rPr>
        <w:t>of using a carriage service to incite trespass on agricultural</w:t>
      </w:r>
      <w:r>
        <w:rPr>
          <w:spacing w:val="-2"/>
          <w:sz w:val="18"/>
        </w:rPr>
        <w:t xml:space="preserve"> </w:t>
      </w:r>
      <w:r>
        <w:rPr>
          <w:sz w:val="18"/>
        </w:rPr>
        <w:t>land.</w:t>
      </w:r>
      <w:r>
        <w:rPr>
          <w:spacing w:val="-2"/>
          <w:sz w:val="18"/>
        </w:rPr>
        <w:t xml:space="preserve"> </w:t>
      </w:r>
      <w:r>
        <w:rPr>
          <w:sz w:val="18"/>
        </w:rPr>
        <w:t>This</w:t>
      </w:r>
      <w:r>
        <w:rPr>
          <w:spacing w:val="-2"/>
          <w:sz w:val="18"/>
        </w:rPr>
        <w:t xml:space="preserve"> </w:t>
      </w:r>
      <w:r>
        <w:rPr>
          <w:sz w:val="18"/>
        </w:rPr>
        <w:t>offence</w:t>
      </w:r>
      <w:r>
        <w:rPr>
          <w:spacing w:val="-2"/>
          <w:sz w:val="18"/>
        </w:rPr>
        <w:t xml:space="preserve"> </w:t>
      </w:r>
      <w:r>
        <w:rPr>
          <w:sz w:val="18"/>
        </w:rPr>
        <w:t>carries</w:t>
      </w:r>
      <w:r>
        <w:rPr>
          <w:spacing w:val="-2"/>
          <w:sz w:val="18"/>
        </w:rPr>
        <w:t xml:space="preserve"> </w:t>
      </w:r>
      <w:r>
        <w:rPr>
          <w:sz w:val="18"/>
        </w:rPr>
        <w:t>a</w:t>
      </w:r>
      <w:r>
        <w:rPr>
          <w:spacing w:val="-2"/>
          <w:sz w:val="18"/>
        </w:rPr>
        <w:t xml:space="preserve"> </w:t>
      </w:r>
      <w:r>
        <w:rPr>
          <w:sz w:val="18"/>
        </w:rPr>
        <w:t>penalty</w:t>
      </w:r>
      <w:r>
        <w:rPr>
          <w:spacing w:val="-1"/>
          <w:sz w:val="18"/>
        </w:rPr>
        <w:t xml:space="preserve"> </w:t>
      </w:r>
      <w:r>
        <w:rPr>
          <w:sz w:val="18"/>
        </w:rPr>
        <w:t>of</w:t>
      </w:r>
      <w:r>
        <w:rPr>
          <w:spacing w:val="-2"/>
          <w:sz w:val="18"/>
        </w:rPr>
        <w:t xml:space="preserve"> </w:t>
      </w:r>
      <w:r>
        <w:rPr>
          <w:sz w:val="18"/>
        </w:rPr>
        <w:t>up</w:t>
      </w:r>
      <w:r>
        <w:rPr>
          <w:spacing w:val="-1"/>
          <w:sz w:val="18"/>
        </w:rPr>
        <w:t xml:space="preserve"> </w:t>
      </w:r>
      <w:r>
        <w:rPr>
          <w:sz w:val="18"/>
        </w:rPr>
        <w:t>to</w:t>
      </w:r>
      <w:r>
        <w:rPr>
          <w:spacing w:val="-1"/>
          <w:sz w:val="18"/>
        </w:rPr>
        <w:t xml:space="preserve"> </w:t>
      </w:r>
      <w:r>
        <w:rPr>
          <w:sz w:val="18"/>
        </w:rPr>
        <w:t>12</w:t>
      </w:r>
      <w:r>
        <w:rPr>
          <w:spacing w:val="-1"/>
          <w:sz w:val="18"/>
        </w:rPr>
        <w:t xml:space="preserve"> </w:t>
      </w:r>
      <w:r>
        <w:rPr>
          <w:sz w:val="18"/>
        </w:rPr>
        <w:t>months</w:t>
      </w:r>
      <w:r>
        <w:rPr>
          <w:spacing w:val="-4"/>
          <w:sz w:val="18"/>
        </w:rPr>
        <w:t xml:space="preserve"> </w:t>
      </w:r>
      <w:r>
        <w:rPr>
          <w:sz w:val="18"/>
        </w:rPr>
        <w:t>imprisonment.</w:t>
      </w:r>
      <w:r>
        <w:rPr>
          <w:spacing w:val="-2"/>
          <w:sz w:val="18"/>
        </w:rPr>
        <w:t xml:space="preserve"> </w:t>
      </w:r>
      <w:r>
        <w:rPr>
          <w:sz w:val="18"/>
        </w:rPr>
        <w:t>Another</w:t>
      </w:r>
      <w:r>
        <w:rPr>
          <w:spacing w:val="-2"/>
          <w:sz w:val="18"/>
        </w:rPr>
        <w:t xml:space="preserve"> </w:t>
      </w:r>
      <w:r>
        <w:rPr>
          <w:sz w:val="18"/>
        </w:rPr>
        <w:t>offence</w:t>
      </w:r>
      <w:r>
        <w:rPr>
          <w:spacing w:val="-2"/>
          <w:sz w:val="18"/>
        </w:rPr>
        <w:t xml:space="preserve"> </w:t>
      </w:r>
      <w:r>
        <w:rPr>
          <w:sz w:val="18"/>
        </w:rPr>
        <w:t>created</w:t>
      </w:r>
      <w:r>
        <w:rPr>
          <w:spacing w:val="-1"/>
          <w:sz w:val="18"/>
        </w:rPr>
        <w:t xml:space="preserve"> </w:t>
      </w:r>
      <w:r>
        <w:rPr>
          <w:sz w:val="18"/>
        </w:rPr>
        <w:t>by</w:t>
      </w:r>
      <w:r>
        <w:rPr>
          <w:spacing w:val="-1"/>
          <w:sz w:val="18"/>
        </w:rPr>
        <w:t xml:space="preserve"> </w:t>
      </w:r>
      <w:r>
        <w:rPr>
          <w:sz w:val="18"/>
        </w:rPr>
        <w:t>this</w:t>
      </w:r>
      <w:r>
        <w:rPr>
          <w:spacing w:val="-2"/>
          <w:sz w:val="18"/>
        </w:rPr>
        <w:t xml:space="preserve"> </w:t>
      </w:r>
      <w:r>
        <w:rPr>
          <w:sz w:val="18"/>
        </w:rPr>
        <w:t>Act</w:t>
      </w:r>
      <w:r>
        <w:rPr>
          <w:spacing w:val="-2"/>
          <w:sz w:val="18"/>
        </w:rPr>
        <w:t xml:space="preserve"> </w:t>
      </w:r>
      <w:r>
        <w:rPr>
          <w:sz w:val="18"/>
        </w:rPr>
        <w:t xml:space="preserve">(using a carriage service to incite property damage or theft on agricultural land) carries a penalty of up to five years imprisonment: </w:t>
      </w:r>
      <w:r>
        <w:rPr>
          <w:i/>
          <w:sz w:val="18"/>
        </w:rPr>
        <w:t xml:space="preserve">Criminal Code Act 1995 </w:t>
      </w:r>
      <w:r>
        <w:rPr>
          <w:sz w:val="18"/>
        </w:rPr>
        <w:t>(Cth) s 474.47.</w:t>
      </w:r>
    </w:p>
    <w:p w14:paraId="7CB25E93" w14:textId="77777777" w:rsidR="008A4099" w:rsidRDefault="006A6EE2">
      <w:pPr>
        <w:spacing w:before="20"/>
        <w:ind w:left="160"/>
        <w:jc w:val="both"/>
        <w:rPr>
          <w:sz w:val="18"/>
        </w:rPr>
      </w:pPr>
      <w:r>
        <w:rPr>
          <w:sz w:val="18"/>
          <w:vertAlign w:val="superscript"/>
        </w:rPr>
        <w:t>160</w:t>
      </w:r>
      <w:r>
        <w:rPr>
          <w:spacing w:val="40"/>
          <w:sz w:val="18"/>
        </w:rPr>
        <w:t xml:space="preserve"> </w:t>
      </w:r>
      <w:r>
        <w:rPr>
          <w:sz w:val="18"/>
        </w:rPr>
        <w:t>Parliamentary</w:t>
      </w:r>
      <w:r>
        <w:rPr>
          <w:spacing w:val="41"/>
          <w:sz w:val="18"/>
        </w:rPr>
        <w:t xml:space="preserve"> </w:t>
      </w:r>
      <w:r>
        <w:rPr>
          <w:sz w:val="18"/>
        </w:rPr>
        <w:t>Joint</w:t>
      </w:r>
      <w:r>
        <w:rPr>
          <w:spacing w:val="40"/>
          <w:sz w:val="18"/>
        </w:rPr>
        <w:t xml:space="preserve"> </w:t>
      </w:r>
      <w:r>
        <w:rPr>
          <w:sz w:val="18"/>
        </w:rPr>
        <w:t>Committee</w:t>
      </w:r>
      <w:r>
        <w:rPr>
          <w:spacing w:val="40"/>
          <w:sz w:val="18"/>
        </w:rPr>
        <w:t xml:space="preserve"> </w:t>
      </w:r>
      <w:r>
        <w:rPr>
          <w:sz w:val="18"/>
        </w:rPr>
        <w:t>on</w:t>
      </w:r>
      <w:r>
        <w:rPr>
          <w:spacing w:val="38"/>
          <w:sz w:val="18"/>
        </w:rPr>
        <w:t xml:space="preserve"> </w:t>
      </w:r>
      <w:r>
        <w:rPr>
          <w:sz w:val="18"/>
        </w:rPr>
        <w:t>Human</w:t>
      </w:r>
      <w:r>
        <w:rPr>
          <w:spacing w:val="42"/>
          <w:sz w:val="18"/>
        </w:rPr>
        <w:t xml:space="preserve"> </w:t>
      </w:r>
      <w:r>
        <w:rPr>
          <w:sz w:val="18"/>
        </w:rPr>
        <w:t>Rights,</w:t>
      </w:r>
      <w:r>
        <w:rPr>
          <w:spacing w:val="42"/>
          <w:sz w:val="18"/>
        </w:rPr>
        <w:t xml:space="preserve"> </w:t>
      </w:r>
      <w:r>
        <w:rPr>
          <w:i/>
          <w:sz w:val="18"/>
        </w:rPr>
        <w:t>Human</w:t>
      </w:r>
      <w:r>
        <w:rPr>
          <w:i/>
          <w:spacing w:val="42"/>
          <w:sz w:val="18"/>
        </w:rPr>
        <w:t xml:space="preserve"> </w:t>
      </w:r>
      <w:r>
        <w:rPr>
          <w:i/>
          <w:sz w:val="18"/>
        </w:rPr>
        <w:t>Rights</w:t>
      </w:r>
      <w:r>
        <w:rPr>
          <w:i/>
          <w:spacing w:val="40"/>
          <w:sz w:val="18"/>
        </w:rPr>
        <w:t xml:space="preserve"> </w:t>
      </w:r>
      <w:r>
        <w:rPr>
          <w:i/>
          <w:sz w:val="18"/>
        </w:rPr>
        <w:t>Scrutiny</w:t>
      </w:r>
      <w:r>
        <w:rPr>
          <w:i/>
          <w:spacing w:val="40"/>
          <w:sz w:val="18"/>
        </w:rPr>
        <w:t xml:space="preserve"> </w:t>
      </w:r>
      <w:r>
        <w:rPr>
          <w:i/>
          <w:sz w:val="18"/>
        </w:rPr>
        <w:t>Report</w:t>
      </w:r>
      <w:r>
        <w:rPr>
          <w:i/>
          <w:spacing w:val="37"/>
          <w:sz w:val="18"/>
        </w:rPr>
        <w:t xml:space="preserve"> </w:t>
      </w:r>
      <w:r>
        <w:rPr>
          <w:i/>
          <w:sz w:val="18"/>
        </w:rPr>
        <w:t>3</w:t>
      </w:r>
      <w:r>
        <w:rPr>
          <w:i/>
          <w:spacing w:val="39"/>
          <w:sz w:val="18"/>
        </w:rPr>
        <w:t xml:space="preserve"> </w:t>
      </w:r>
      <w:r>
        <w:rPr>
          <w:i/>
          <w:sz w:val="18"/>
        </w:rPr>
        <w:t>of</w:t>
      </w:r>
      <w:r>
        <w:rPr>
          <w:i/>
          <w:spacing w:val="40"/>
          <w:sz w:val="18"/>
        </w:rPr>
        <w:t xml:space="preserve"> </w:t>
      </w:r>
      <w:r>
        <w:rPr>
          <w:i/>
          <w:sz w:val="18"/>
        </w:rPr>
        <w:t>2019</w:t>
      </w:r>
      <w:r>
        <w:rPr>
          <w:i/>
          <w:spacing w:val="43"/>
          <w:sz w:val="18"/>
        </w:rPr>
        <w:t xml:space="preserve"> </w:t>
      </w:r>
      <w:r>
        <w:rPr>
          <w:sz w:val="18"/>
        </w:rPr>
        <w:t>(30</w:t>
      </w:r>
      <w:r>
        <w:rPr>
          <w:spacing w:val="41"/>
          <w:sz w:val="18"/>
        </w:rPr>
        <w:t xml:space="preserve"> </w:t>
      </w:r>
      <w:r>
        <w:rPr>
          <w:sz w:val="18"/>
        </w:rPr>
        <w:t>July</w:t>
      </w:r>
      <w:r>
        <w:rPr>
          <w:spacing w:val="40"/>
          <w:sz w:val="18"/>
        </w:rPr>
        <w:t xml:space="preserve"> </w:t>
      </w:r>
      <w:r>
        <w:rPr>
          <w:sz w:val="18"/>
        </w:rPr>
        <w:t>2019)</w:t>
      </w:r>
      <w:r>
        <w:rPr>
          <w:spacing w:val="40"/>
          <w:sz w:val="18"/>
        </w:rPr>
        <w:t xml:space="preserve"> </w:t>
      </w:r>
      <w:r>
        <w:rPr>
          <w:spacing w:val="-4"/>
          <w:sz w:val="18"/>
        </w:rPr>
        <w:t>3–10</w:t>
      </w:r>
    </w:p>
    <w:p w14:paraId="7CB25E94" w14:textId="77777777" w:rsidR="008A4099" w:rsidRDefault="006A6EE2">
      <w:pPr>
        <w:spacing w:before="4"/>
        <w:ind w:left="160" w:right="680"/>
        <w:rPr>
          <w:sz w:val="18"/>
        </w:rPr>
      </w:pPr>
      <w:r>
        <w:rPr>
          <w:spacing w:val="-2"/>
          <w:sz w:val="18"/>
        </w:rPr>
        <w:t>&lt;https://</w:t>
      </w:r>
      <w:hyperlink r:id="rId77">
        <w:r>
          <w:rPr>
            <w:spacing w:val="-2"/>
            <w:sz w:val="18"/>
          </w:rPr>
          <w:t>www.aph.gov.au/Parliamentary_Business/Committees/Joint/Human_Rights/Scrutiny_reports/2019/Report_3_of_20</w:t>
        </w:r>
      </w:hyperlink>
      <w:r>
        <w:rPr>
          <w:spacing w:val="-2"/>
          <w:sz w:val="18"/>
        </w:rPr>
        <w:t xml:space="preserve"> </w:t>
      </w:r>
      <w:r>
        <w:rPr>
          <w:spacing w:val="-4"/>
          <w:sz w:val="18"/>
        </w:rPr>
        <w:t>19&gt;.</w:t>
      </w:r>
    </w:p>
    <w:p w14:paraId="7CB25E95" w14:textId="77777777" w:rsidR="008A4099" w:rsidRDefault="006A6EE2">
      <w:pPr>
        <w:spacing w:before="18"/>
        <w:ind w:left="160"/>
        <w:rPr>
          <w:sz w:val="18"/>
        </w:rPr>
      </w:pPr>
      <w:r>
        <w:rPr>
          <w:sz w:val="18"/>
          <w:vertAlign w:val="superscript"/>
        </w:rPr>
        <w:t>161</w:t>
      </w:r>
      <w:r>
        <w:rPr>
          <w:spacing w:val="2"/>
          <w:sz w:val="18"/>
        </w:rPr>
        <w:t xml:space="preserve"> </w:t>
      </w:r>
      <w:r>
        <w:rPr>
          <w:sz w:val="18"/>
        </w:rPr>
        <w:t>See</w:t>
      </w:r>
      <w:r>
        <w:rPr>
          <w:spacing w:val="1"/>
          <w:sz w:val="18"/>
        </w:rPr>
        <w:t xml:space="preserve"> </w:t>
      </w:r>
      <w:r>
        <w:rPr>
          <w:sz w:val="18"/>
        </w:rPr>
        <w:t>further discussion</w:t>
      </w:r>
      <w:r>
        <w:rPr>
          <w:spacing w:val="3"/>
          <w:sz w:val="18"/>
        </w:rPr>
        <w:t xml:space="preserve"> </w:t>
      </w:r>
      <w:r>
        <w:rPr>
          <w:sz w:val="18"/>
        </w:rPr>
        <w:t>at</w:t>
      </w:r>
      <w:r>
        <w:rPr>
          <w:spacing w:val="2"/>
          <w:sz w:val="18"/>
        </w:rPr>
        <w:t xml:space="preserve"> </w:t>
      </w:r>
      <w:r>
        <w:rPr>
          <w:spacing w:val="-2"/>
          <w:sz w:val="18"/>
        </w:rPr>
        <w:t>[3.3].</w:t>
      </w:r>
    </w:p>
    <w:p w14:paraId="7CB25E96" w14:textId="77777777" w:rsidR="008A4099" w:rsidRDefault="006A6EE2">
      <w:pPr>
        <w:spacing w:before="24" w:line="242" w:lineRule="auto"/>
        <w:ind w:left="160" w:right="674"/>
        <w:jc w:val="both"/>
        <w:rPr>
          <w:sz w:val="18"/>
        </w:rPr>
      </w:pPr>
      <w:r>
        <w:rPr>
          <w:sz w:val="18"/>
          <w:vertAlign w:val="superscript"/>
        </w:rPr>
        <w:t>162</w:t>
      </w:r>
      <w:r>
        <w:rPr>
          <w:sz w:val="18"/>
        </w:rPr>
        <w:t xml:space="preserve"> For example, the Law Council and the NSW Council for Civil Liberties, citing </w:t>
      </w:r>
      <w:r>
        <w:rPr>
          <w:i/>
          <w:sz w:val="18"/>
        </w:rPr>
        <w:t>ABC</w:t>
      </w:r>
      <w:r>
        <w:rPr>
          <w:i/>
          <w:spacing w:val="-1"/>
          <w:sz w:val="18"/>
        </w:rPr>
        <w:t xml:space="preserve"> </w:t>
      </w:r>
      <w:r>
        <w:rPr>
          <w:sz w:val="18"/>
        </w:rPr>
        <w:t xml:space="preserve">v </w:t>
      </w:r>
      <w:r>
        <w:rPr>
          <w:i/>
          <w:sz w:val="18"/>
        </w:rPr>
        <w:t>Lenah Game Meats Pty</w:t>
      </w:r>
      <w:r>
        <w:rPr>
          <w:i/>
          <w:spacing w:val="-2"/>
          <w:sz w:val="18"/>
        </w:rPr>
        <w:t xml:space="preserve"> </w:t>
      </w:r>
      <w:r>
        <w:rPr>
          <w:i/>
          <w:sz w:val="18"/>
        </w:rPr>
        <w:t xml:space="preserve">Ltd </w:t>
      </w:r>
      <w:r>
        <w:rPr>
          <w:sz w:val="18"/>
        </w:rPr>
        <w:t>[2001] HCA</w:t>
      </w:r>
      <w:r>
        <w:rPr>
          <w:spacing w:val="-5"/>
          <w:sz w:val="18"/>
        </w:rPr>
        <w:t xml:space="preserve"> </w:t>
      </w:r>
      <w:r>
        <w:rPr>
          <w:sz w:val="18"/>
        </w:rPr>
        <w:t>63,</w:t>
      </w:r>
      <w:r>
        <w:rPr>
          <w:spacing w:val="-5"/>
          <w:sz w:val="18"/>
        </w:rPr>
        <w:t xml:space="preserve"> </w:t>
      </w:r>
      <w:r>
        <w:rPr>
          <w:sz w:val="18"/>
        </w:rPr>
        <w:t>concluded</w:t>
      </w:r>
      <w:r>
        <w:rPr>
          <w:spacing w:val="-6"/>
          <w:sz w:val="18"/>
        </w:rPr>
        <w:t xml:space="preserve"> </w:t>
      </w:r>
      <w:r>
        <w:rPr>
          <w:sz w:val="18"/>
        </w:rPr>
        <w:t>that</w:t>
      </w:r>
      <w:r>
        <w:rPr>
          <w:spacing w:val="-5"/>
          <w:sz w:val="18"/>
        </w:rPr>
        <w:t xml:space="preserve"> </w:t>
      </w:r>
      <w:r>
        <w:rPr>
          <w:sz w:val="18"/>
        </w:rPr>
        <w:t>the</w:t>
      </w:r>
      <w:r>
        <w:rPr>
          <w:spacing w:val="-6"/>
          <w:sz w:val="18"/>
        </w:rPr>
        <w:t xml:space="preserve"> </w:t>
      </w:r>
      <w:r>
        <w:rPr>
          <w:sz w:val="18"/>
        </w:rPr>
        <w:t>High</w:t>
      </w:r>
      <w:r>
        <w:rPr>
          <w:spacing w:val="-5"/>
          <w:sz w:val="18"/>
        </w:rPr>
        <w:t xml:space="preserve"> </w:t>
      </w:r>
      <w:r>
        <w:rPr>
          <w:sz w:val="18"/>
        </w:rPr>
        <w:t>Court</w:t>
      </w:r>
      <w:r>
        <w:rPr>
          <w:spacing w:val="-6"/>
          <w:sz w:val="18"/>
        </w:rPr>
        <w:t xml:space="preserve"> </w:t>
      </w:r>
      <w:r>
        <w:rPr>
          <w:sz w:val="18"/>
        </w:rPr>
        <w:t>would</w:t>
      </w:r>
      <w:r>
        <w:rPr>
          <w:spacing w:val="-5"/>
          <w:sz w:val="18"/>
        </w:rPr>
        <w:t xml:space="preserve"> </w:t>
      </w:r>
      <w:r>
        <w:rPr>
          <w:sz w:val="18"/>
        </w:rPr>
        <w:t>be</w:t>
      </w:r>
      <w:r>
        <w:rPr>
          <w:spacing w:val="-6"/>
          <w:sz w:val="18"/>
        </w:rPr>
        <w:t xml:space="preserve"> </w:t>
      </w:r>
      <w:r>
        <w:rPr>
          <w:sz w:val="18"/>
        </w:rPr>
        <w:t>likely</w:t>
      </w:r>
      <w:r>
        <w:rPr>
          <w:spacing w:val="-5"/>
          <w:sz w:val="18"/>
        </w:rPr>
        <w:t xml:space="preserve"> </w:t>
      </w:r>
      <w:r>
        <w:rPr>
          <w:sz w:val="18"/>
        </w:rPr>
        <w:t>to</w:t>
      </w:r>
      <w:r>
        <w:rPr>
          <w:spacing w:val="-5"/>
          <w:sz w:val="18"/>
        </w:rPr>
        <w:t xml:space="preserve"> </w:t>
      </w:r>
      <w:r>
        <w:rPr>
          <w:sz w:val="18"/>
        </w:rPr>
        <w:t>find</w:t>
      </w:r>
      <w:r>
        <w:rPr>
          <w:spacing w:val="-5"/>
          <w:sz w:val="18"/>
        </w:rPr>
        <w:t xml:space="preserve"> </w:t>
      </w:r>
      <w:r>
        <w:rPr>
          <w:sz w:val="18"/>
        </w:rPr>
        <w:t>the</w:t>
      </w:r>
      <w:r>
        <w:rPr>
          <w:spacing w:val="-6"/>
          <w:sz w:val="18"/>
        </w:rPr>
        <w:t xml:space="preserve"> </w:t>
      </w:r>
      <w:r>
        <w:rPr>
          <w:sz w:val="18"/>
        </w:rPr>
        <w:t>proposed</w:t>
      </w:r>
      <w:r>
        <w:rPr>
          <w:spacing w:val="-5"/>
          <w:sz w:val="18"/>
        </w:rPr>
        <w:t xml:space="preserve"> </w:t>
      </w:r>
      <w:r>
        <w:rPr>
          <w:sz w:val="18"/>
        </w:rPr>
        <w:t>offences</w:t>
      </w:r>
      <w:r>
        <w:rPr>
          <w:spacing w:val="-5"/>
          <w:sz w:val="18"/>
        </w:rPr>
        <w:t xml:space="preserve"> </w:t>
      </w:r>
      <w:r>
        <w:rPr>
          <w:sz w:val="18"/>
        </w:rPr>
        <w:t>invalid:</w:t>
      </w:r>
      <w:r>
        <w:rPr>
          <w:spacing w:val="-5"/>
          <w:sz w:val="18"/>
        </w:rPr>
        <w:t xml:space="preserve"> </w:t>
      </w:r>
      <w:r>
        <w:rPr>
          <w:sz w:val="18"/>
        </w:rPr>
        <w:t>see</w:t>
      </w:r>
      <w:r>
        <w:rPr>
          <w:spacing w:val="-5"/>
          <w:sz w:val="18"/>
        </w:rPr>
        <w:t xml:space="preserve"> </w:t>
      </w:r>
      <w:r>
        <w:rPr>
          <w:sz w:val="18"/>
        </w:rPr>
        <w:t>Gabrielle</w:t>
      </w:r>
      <w:r>
        <w:rPr>
          <w:spacing w:val="-5"/>
          <w:sz w:val="18"/>
        </w:rPr>
        <w:t xml:space="preserve"> </w:t>
      </w:r>
      <w:r>
        <w:rPr>
          <w:sz w:val="18"/>
        </w:rPr>
        <w:t>Bashir,</w:t>
      </w:r>
      <w:r>
        <w:rPr>
          <w:spacing w:val="-5"/>
          <w:sz w:val="18"/>
        </w:rPr>
        <w:t xml:space="preserve"> </w:t>
      </w:r>
      <w:r>
        <w:rPr>
          <w:sz w:val="18"/>
        </w:rPr>
        <w:t>Co-Chair, National</w:t>
      </w:r>
      <w:r>
        <w:rPr>
          <w:spacing w:val="36"/>
          <w:sz w:val="18"/>
        </w:rPr>
        <w:t xml:space="preserve">  </w:t>
      </w:r>
      <w:r>
        <w:rPr>
          <w:sz w:val="18"/>
        </w:rPr>
        <w:t>Criminal</w:t>
      </w:r>
      <w:r>
        <w:rPr>
          <w:spacing w:val="36"/>
          <w:sz w:val="18"/>
        </w:rPr>
        <w:t xml:space="preserve">  </w:t>
      </w:r>
      <w:r>
        <w:rPr>
          <w:sz w:val="18"/>
        </w:rPr>
        <w:t>Law</w:t>
      </w:r>
      <w:r>
        <w:rPr>
          <w:spacing w:val="35"/>
          <w:sz w:val="18"/>
        </w:rPr>
        <w:t xml:space="preserve">  </w:t>
      </w:r>
      <w:r>
        <w:rPr>
          <w:sz w:val="18"/>
        </w:rPr>
        <w:t>Committee,</w:t>
      </w:r>
      <w:r>
        <w:rPr>
          <w:spacing w:val="36"/>
          <w:sz w:val="18"/>
        </w:rPr>
        <w:t xml:space="preserve">  </w:t>
      </w:r>
      <w:r>
        <w:rPr>
          <w:sz w:val="18"/>
        </w:rPr>
        <w:t>Law</w:t>
      </w:r>
      <w:r>
        <w:rPr>
          <w:spacing w:val="36"/>
          <w:sz w:val="18"/>
        </w:rPr>
        <w:t xml:space="preserve">  </w:t>
      </w:r>
      <w:r>
        <w:rPr>
          <w:sz w:val="18"/>
        </w:rPr>
        <w:t>Council</w:t>
      </w:r>
      <w:r>
        <w:rPr>
          <w:spacing w:val="36"/>
          <w:sz w:val="18"/>
        </w:rPr>
        <w:t xml:space="preserve">  </w:t>
      </w:r>
      <w:r>
        <w:rPr>
          <w:sz w:val="18"/>
        </w:rPr>
        <w:t>of</w:t>
      </w:r>
      <w:r>
        <w:rPr>
          <w:spacing w:val="36"/>
          <w:sz w:val="18"/>
        </w:rPr>
        <w:t xml:space="preserve">  </w:t>
      </w:r>
      <w:r>
        <w:rPr>
          <w:sz w:val="18"/>
        </w:rPr>
        <w:t>Australia,</w:t>
      </w:r>
      <w:r>
        <w:rPr>
          <w:spacing w:val="36"/>
          <w:sz w:val="18"/>
        </w:rPr>
        <w:t xml:space="preserve">  </w:t>
      </w:r>
      <w:r>
        <w:rPr>
          <w:sz w:val="18"/>
        </w:rPr>
        <w:t>Committee</w:t>
      </w:r>
      <w:r>
        <w:rPr>
          <w:spacing w:val="35"/>
          <w:sz w:val="18"/>
        </w:rPr>
        <w:t xml:space="preserve">  </w:t>
      </w:r>
      <w:r>
        <w:rPr>
          <w:sz w:val="18"/>
        </w:rPr>
        <w:t>Hansard,</w:t>
      </w:r>
      <w:r>
        <w:rPr>
          <w:spacing w:val="37"/>
          <w:sz w:val="18"/>
        </w:rPr>
        <w:t xml:space="preserve">  </w:t>
      </w:r>
      <w:r>
        <w:rPr>
          <w:sz w:val="18"/>
        </w:rPr>
        <w:t>12</w:t>
      </w:r>
      <w:r>
        <w:rPr>
          <w:spacing w:val="37"/>
          <w:sz w:val="18"/>
        </w:rPr>
        <w:t xml:space="preserve">  </w:t>
      </w:r>
      <w:r>
        <w:rPr>
          <w:sz w:val="18"/>
        </w:rPr>
        <w:t>August</w:t>
      </w:r>
      <w:r>
        <w:rPr>
          <w:spacing w:val="35"/>
          <w:sz w:val="18"/>
        </w:rPr>
        <w:t xml:space="preserve">  </w:t>
      </w:r>
      <w:r>
        <w:rPr>
          <w:sz w:val="18"/>
        </w:rPr>
        <w:t>2019,</w:t>
      </w:r>
      <w:r>
        <w:rPr>
          <w:spacing w:val="36"/>
          <w:sz w:val="18"/>
        </w:rPr>
        <w:t xml:space="preserve">  </w:t>
      </w:r>
      <w:r>
        <w:rPr>
          <w:spacing w:val="-5"/>
          <w:sz w:val="18"/>
        </w:rPr>
        <w:t>20</w:t>
      </w:r>
    </w:p>
    <w:p w14:paraId="7CB25E97" w14:textId="77777777" w:rsidR="008A4099" w:rsidRDefault="006A6EE2">
      <w:pPr>
        <w:ind w:left="160" w:right="679"/>
        <w:jc w:val="both"/>
        <w:rPr>
          <w:sz w:val="18"/>
        </w:rPr>
      </w:pPr>
      <w:r>
        <w:rPr>
          <w:sz w:val="18"/>
        </w:rPr>
        <w:t>&lt;https://</w:t>
      </w:r>
      <w:hyperlink r:id="rId78">
        <w:r>
          <w:rPr>
            <w:sz w:val="18"/>
          </w:rPr>
          <w:t>www.lawcouncil.asn.au/about-us/advisory-committees/national-criminal-law-committee</w:t>
        </w:r>
      </w:hyperlink>
      <w:r>
        <w:rPr>
          <w:sz w:val="18"/>
        </w:rPr>
        <w:t>&gt;; NSW Council for Civil Liberties, Submission 65 (31 July 2019) 4 &lt;https:/</w:t>
      </w:r>
      <w:hyperlink r:id="rId79">
        <w:r>
          <w:rPr>
            <w:sz w:val="18"/>
          </w:rPr>
          <w:t>/www.nswccl.org.au/nswccl_submissions&gt;</w:t>
        </w:r>
      </w:hyperlink>
      <w:r>
        <w:rPr>
          <w:sz w:val="18"/>
        </w:rPr>
        <w:t>.</w:t>
      </w:r>
    </w:p>
    <w:p w14:paraId="7CB25E98" w14:textId="77777777" w:rsidR="008A4099" w:rsidRDefault="006A6EE2">
      <w:pPr>
        <w:spacing w:before="17" w:line="244" w:lineRule="auto"/>
        <w:ind w:left="160"/>
        <w:rPr>
          <w:sz w:val="18"/>
        </w:rPr>
      </w:pPr>
      <w:r>
        <w:rPr>
          <w:sz w:val="18"/>
          <w:vertAlign w:val="superscript"/>
        </w:rPr>
        <w:t>163</w:t>
      </w:r>
      <w:r>
        <w:rPr>
          <w:spacing w:val="-1"/>
          <w:sz w:val="18"/>
        </w:rPr>
        <w:t xml:space="preserve"> </w:t>
      </w:r>
      <w:r>
        <w:rPr>
          <w:sz w:val="18"/>
        </w:rPr>
        <w:t>Senate</w:t>
      </w:r>
      <w:r>
        <w:rPr>
          <w:spacing w:val="38"/>
          <w:sz w:val="18"/>
        </w:rPr>
        <w:t xml:space="preserve"> </w:t>
      </w:r>
      <w:r>
        <w:rPr>
          <w:sz w:val="18"/>
        </w:rPr>
        <w:t>Legal</w:t>
      </w:r>
      <w:r>
        <w:rPr>
          <w:spacing w:val="39"/>
          <w:sz w:val="18"/>
        </w:rPr>
        <w:t xml:space="preserve"> </w:t>
      </w:r>
      <w:r>
        <w:rPr>
          <w:sz w:val="18"/>
        </w:rPr>
        <w:t>and</w:t>
      </w:r>
      <w:r>
        <w:rPr>
          <w:spacing w:val="40"/>
          <w:sz w:val="18"/>
        </w:rPr>
        <w:t xml:space="preserve"> </w:t>
      </w:r>
      <w:r>
        <w:rPr>
          <w:sz w:val="18"/>
        </w:rPr>
        <w:t>Constitutional</w:t>
      </w:r>
      <w:r>
        <w:rPr>
          <w:spacing w:val="39"/>
          <w:sz w:val="18"/>
        </w:rPr>
        <w:t xml:space="preserve"> </w:t>
      </w:r>
      <w:r>
        <w:rPr>
          <w:sz w:val="18"/>
        </w:rPr>
        <w:t>Affairs</w:t>
      </w:r>
      <w:r>
        <w:rPr>
          <w:spacing w:val="39"/>
          <w:sz w:val="18"/>
        </w:rPr>
        <w:t xml:space="preserve"> </w:t>
      </w:r>
      <w:r>
        <w:rPr>
          <w:sz w:val="18"/>
        </w:rPr>
        <w:t>Legislation</w:t>
      </w:r>
      <w:r>
        <w:rPr>
          <w:spacing w:val="40"/>
          <w:sz w:val="18"/>
        </w:rPr>
        <w:t xml:space="preserve"> </w:t>
      </w:r>
      <w:r>
        <w:rPr>
          <w:sz w:val="18"/>
        </w:rPr>
        <w:t>Committee,</w:t>
      </w:r>
      <w:r>
        <w:rPr>
          <w:spacing w:val="39"/>
          <w:sz w:val="18"/>
        </w:rPr>
        <w:t xml:space="preserve"> </w:t>
      </w:r>
      <w:r>
        <w:rPr>
          <w:sz w:val="18"/>
        </w:rPr>
        <w:t>Report</w:t>
      </w:r>
      <w:r>
        <w:rPr>
          <w:spacing w:val="37"/>
          <w:sz w:val="18"/>
        </w:rPr>
        <w:t xml:space="preserve"> </w:t>
      </w:r>
      <w:r>
        <w:rPr>
          <w:sz w:val="18"/>
        </w:rPr>
        <w:t>of</w:t>
      </w:r>
      <w:r>
        <w:rPr>
          <w:spacing w:val="39"/>
          <w:sz w:val="18"/>
        </w:rPr>
        <w:t xml:space="preserve"> </w:t>
      </w:r>
      <w:r>
        <w:rPr>
          <w:sz w:val="18"/>
        </w:rPr>
        <w:t>Inquiry</w:t>
      </w:r>
      <w:r>
        <w:rPr>
          <w:spacing w:val="40"/>
          <w:sz w:val="18"/>
        </w:rPr>
        <w:t xml:space="preserve"> </w:t>
      </w:r>
      <w:r>
        <w:rPr>
          <w:sz w:val="18"/>
        </w:rPr>
        <w:t>into</w:t>
      </w:r>
      <w:r>
        <w:rPr>
          <w:spacing w:val="40"/>
          <w:sz w:val="18"/>
        </w:rPr>
        <w:t xml:space="preserve"> </w:t>
      </w:r>
      <w:r>
        <w:rPr>
          <w:i/>
          <w:sz w:val="18"/>
        </w:rPr>
        <w:t>Criminal</w:t>
      </w:r>
      <w:r>
        <w:rPr>
          <w:i/>
          <w:spacing w:val="39"/>
          <w:sz w:val="18"/>
        </w:rPr>
        <w:t xml:space="preserve"> </w:t>
      </w:r>
      <w:r>
        <w:rPr>
          <w:i/>
          <w:sz w:val="18"/>
        </w:rPr>
        <w:t>Code</w:t>
      </w:r>
      <w:r>
        <w:rPr>
          <w:i/>
          <w:spacing w:val="38"/>
          <w:sz w:val="18"/>
        </w:rPr>
        <w:t xml:space="preserve"> </w:t>
      </w:r>
      <w:r>
        <w:rPr>
          <w:i/>
          <w:sz w:val="18"/>
        </w:rPr>
        <w:t xml:space="preserve">Amendment (Agricultural Protection) Bill 2019 </w:t>
      </w:r>
      <w:r>
        <w:rPr>
          <w:sz w:val="18"/>
        </w:rPr>
        <w:t>(September 2019)</w:t>
      </w:r>
    </w:p>
    <w:p w14:paraId="7CB25E99" w14:textId="77777777" w:rsidR="008A4099" w:rsidRDefault="006A6EE2">
      <w:pPr>
        <w:ind w:left="160" w:right="679"/>
        <w:rPr>
          <w:sz w:val="18"/>
        </w:rPr>
      </w:pPr>
      <w:r>
        <w:rPr>
          <w:spacing w:val="-2"/>
          <w:sz w:val="18"/>
        </w:rPr>
        <w:t>&lt;https://</w:t>
      </w:r>
      <w:hyperlink r:id="rId80">
        <w:r>
          <w:rPr>
            <w:spacing w:val="-2"/>
            <w:sz w:val="18"/>
          </w:rPr>
          <w:t>www.aph.gov.au/Parliamentary_Business/Committees/Senate/Legal_and_Constitutional_Affairs/Agriculturalprotect</w:t>
        </w:r>
      </w:hyperlink>
      <w:r>
        <w:rPr>
          <w:spacing w:val="40"/>
          <w:sz w:val="18"/>
        </w:rPr>
        <w:t xml:space="preserve"> </w:t>
      </w:r>
      <w:r>
        <w:rPr>
          <w:spacing w:val="-2"/>
          <w:sz w:val="18"/>
        </w:rPr>
        <w:t>ion/Report&gt;.</w:t>
      </w:r>
    </w:p>
    <w:p w14:paraId="7CB25E9A" w14:textId="77777777" w:rsidR="008A4099" w:rsidRDefault="006A6EE2">
      <w:pPr>
        <w:spacing w:before="16" w:line="244" w:lineRule="auto"/>
        <w:ind w:left="160" w:right="680"/>
        <w:rPr>
          <w:sz w:val="18"/>
        </w:rPr>
      </w:pPr>
      <w:r>
        <w:rPr>
          <w:sz w:val="18"/>
          <w:vertAlign w:val="superscript"/>
        </w:rPr>
        <w:t>164</w:t>
      </w:r>
      <w:r>
        <w:rPr>
          <w:spacing w:val="-1"/>
          <w:sz w:val="18"/>
        </w:rPr>
        <w:t xml:space="preserve"> </w:t>
      </w:r>
      <w:r>
        <w:rPr>
          <w:sz w:val="18"/>
        </w:rPr>
        <w:t>A Public Health Emergency for Tasmania was declared</w:t>
      </w:r>
      <w:r>
        <w:rPr>
          <w:spacing w:val="16"/>
          <w:sz w:val="18"/>
        </w:rPr>
        <w:t xml:space="preserve"> </w:t>
      </w:r>
      <w:r>
        <w:rPr>
          <w:sz w:val="18"/>
        </w:rPr>
        <w:t>on 17 March</w:t>
      </w:r>
      <w:r>
        <w:rPr>
          <w:spacing w:val="16"/>
          <w:sz w:val="18"/>
        </w:rPr>
        <w:t xml:space="preserve"> </w:t>
      </w:r>
      <w:r>
        <w:rPr>
          <w:sz w:val="18"/>
        </w:rPr>
        <w:t>2020. The declaration</w:t>
      </w:r>
      <w:r>
        <w:rPr>
          <w:spacing w:val="16"/>
          <w:sz w:val="18"/>
        </w:rPr>
        <w:t xml:space="preserve"> </w:t>
      </w:r>
      <w:r>
        <w:rPr>
          <w:sz w:val="18"/>
        </w:rPr>
        <w:t>has been</w:t>
      </w:r>
      <w:r>
        <w:rPr>
          <w:spacing w:val="16"/>
          <w:sz w:val="18"/>
        </w:rPr>
        <w:t xml:space="preserve"> </w:t>
      </w:r>
      <w:r>
        <w:rPr>
          <w:sz w:val="18"/>
        </w:rPr>
        <w:t>extended</w:t>
      </w:r>
      <w:r>
        <w:rPr>
          <w:spacing w:val="16"/>
          <w:sz w:val="18"/>
        </w:rPr>
        <w:t xml:space="preserve"> </w:t>
      </w:r>
      <w:r>
        <w:rPr>
          <w:sz w:val="18"/>
        </w:rPr>
        <w:t xml:space="preserve">several </w:t>
      </w:r>
      <w:r>
        <w:rPr>
          <w:spacing w:val="-2"/>
          <w:sz w:val="18"/>
        </w:rPr>
        <w:t>times.</w:t>
      </w:r>
    </w:p>
    <w:p w14:paraId="7CB25E9B" w14:textId="77777777" w:rsidR="008A4099" w:rsidRDefault="006A6EE2">
      <w:pPr>
        <w:spacing w:before="14" w:line="244" w:lineRule="auto"/>
        <w:ind w:left="160" w:right="680"/>
        <w:rPr>
          <w:sz w:val="18"/>
        </w:rPr>
      </w:pPr>
      <w:r>
        <w:rPr>
          <w:sz w:val="18"/>
          <w:vertAlign w:val="superscript"/>
        </w:rPr>
        <w:t>165</w:t>
      </w:r>
      <w:r>
        <w:rPr>
          <w:sz w:val="18"/>
        </w:rPr>
        <w:t xml:space="preserve"> </w:t>
      </w:r>
      <w:r>
        <w:rPr>
          <w:i/>
          <w:sz w:val="18"/>
        </w:rPr>
        <w:t xml:space="preserve">Emergency Management Act 2006 </w:t>
      </w:r>
      <w:r>
        <w:rPr>
          <w:sz w:val="18"/>
        </w:rPr>
        <w:t>(Tas); Declaration of State of Emergency, 19 March 2020: Tasmanian Government</w:t>
      </w:r>
      <w:r>
        <w:rPr>
          <w:spacing w:val="80"/>
          <w:sz w:val="18"/>
        </w:rPr>
        <w:t xml:space="preserve"> </w:t>
      </w:r>
      <w:r>
        <w:rPr>
          <w:sz w:val="18"/>
        </w:rPr>
        <w:t>Gazette, No 21953, 20 March 2020. This State of Emergency was extended multiple times.</w:t>
      </w:r>
    </w:p>
    <w:p w14:paraId="7CB25E9C" w14:textId="77777777" w:rsidR="008A4099" w:rsidRDefault="008A4099">
      <w:pPr>
        <w:spacing w:line="244" w:lineRule="auto"/>
        <w:rPr>
          <w:sz w:val="18"/>
        </w:rPr>
        <w:sectPr w:rsidR="008A4099" w:rsidSect="00D43B2D">
          <w:pgSz w:w="11910" w:h="16840"/>
          <w:pgMar w:top="980" w:right="760" w:bottom="940" w:left="1280" w:header="718" w:footer="753" w:gutter="0"/>
          <w:cols w:space="720"/>
        </w:sectPr>
      </w:pPr>
    </w:p>
    <w:p w14:paraId="7CB25E9D" w14:textId="77777777" w:rsidR="008A4099" w:rsidRDefault="008A4099">
      <w:pPr>
        <w:pStyle w:val="BodyText"/>
        <w:spacing w:before="194"/>
      </w:pPr>
    </w:p>
    <w:p w14:paraId="7CB25E9E" w14:textId="77777777" w:rsidR="008A4099" w:rsidRDefault="006A6EE2">
      <w:pPr>
        <w:pStyle w:val="BodyText"/>
        <w:ind w:left="160"/>
      </w:pPr>
      <w:r>
        <w:t>searching</w:t>
      </w:r>
      <w:r>
        <w:rPr>
          <w:spacing w:val="-2"/>
        </w:rPr>
        <w:t xml:space="preserve"> </w:t>
      </w:r>
      <w:r>
        <w:t>people,</w:t>
      </w:r>
      <w:r>
        <w:rPr>
          <w:spacing w:val="-2"/>
        </w:rPr>
        <w:t xml:space="preserve"> </w:t>
      </w:r>
      <w:r>
        <w:t>places,</w:t>
      </w:r>
      <w:r>
        <w:rPr>
          <w:spacing w:val="-2"/>
        </w:rPr>
        <w:t xml:space="preserve"> </w:t>
      </w:r>
      <w:r>
        <w:t>and</w:t>
      </w:r>
      <w:r>
        <w:rPr>
          <w:spacing w:val="-2"/>
        </w:rPr>
        <w:t xml:space="preserve"> </w:t>
      </w:r>
      <w:r>
        <w:t>vehicles;</w:t>
      </w:r>
      <w:r>
        <w:rPr>
          <w:spacing w:val="-1"/>
        </w:rPr>
        <w:t xml:space="preserve"> </w:t>
      </w:r>
      <w:r>
        <w:t>and</w:t>
      </w:r>
      <w:r>
        <w:rPr>
          <w:spacing w:val="-4"/>
        </w:rPr>
        <w:t xml:space="preserve"> </w:t>
      </w:r>
      <w:r>
        <w:t>directing</w:t>
      </w:r>
      <w:r>
        <w:rPr>
          <w:spacing w:val="-2"/>
        </w:rPr>
        <w:t xml:space="preserve"> </w:t>
      </w:r>
      <w:r>
        <w:t>resources</w:t>
      </w:r>
      <w:r>
        <w:rPr>
          <w:spacing w:val="-4"/>
        </w:rPr>
        <w:t xml:space="preserve"> </w:t>
      </w:r>
      <w:r>
        <w:t>to</w:t>
      </w:r>
      <w:r>
        <w:rPr>
          <w:spacing w:val="-5"/>
        </w:rPr>
        <w:t xml:space="preserve"> </w:t>
      </w:r>
      <w:r>
        <w:t>be</w:t>
      </w:r>
      <w:r>
        <w:rPr>
          <w:spacing w:val="-4"/>
        </w:rPr>
        <w:t xml:space="preserve"> </w:t>
      </w:r>
      <w:r>
        <w:t>made</w:t>
      </w:r>
      <w:r>
        <w:rPr>
          <w:spacing w:val="-4"/>
        </w:rPr>
        <w:t xml:space="preserve"> </w:t>
      </w:r>
      <w:r>
        <w:t>available</w:t>
      </w:r>
      <w:r>
        <w:rPr>
          <w:spacing w:val="-4"/>
        </w:rPr>
        <w:t xml:space="preserve"> </w:t>
      </w:r>
      <w:r>
        <w:t>for</w:t>
      </w:r>
      <w:r>
        <w:rPr>
          <w:spacing w:val="-4"/>
        </w:rPr>
        <w:t xml:space="preserve"> </w:t>
      </w:r>
      <w:r>
        <w:t>the</w:t>
      </w:r>
      <w:r>
        <w:rPr>
          <w:spacing w:val="-4"/>
        </w:rPr>
        <w:t xml:space="preserve"> </w:t>
      </w:r>
      <w:r>
        <w:t xml:space="preserve">emergency </w:t>
      </w:r>
      <w:r>
        <w:rPr>
          <w:spacing w:val="-2"/>
        </w:rPr>
        <w:t>response.</w:t>
      </w:r>
      <w:r>
        <w:rPr>
          <w:spacing w:val="-2"/>
          <w:vertAlign w:val="superscript"/>
        </w:rPr>
        <w:t>166</w:t>
      </w:r>
    </w:p>
    <w:p w14:paraId="7CB25E9F" w14:textId="77777777" w:rsidR="008A4099" w:rsidRDefault="006A6EE2">
      <w:pPr>
        <w:pStyle w:val="ListParagraph"/>
        <w:numPr>
          <w:ilvl w:val="2"/>
          <w:numId w:val="6"/>
        </w:numPr>
        <w:tabs>
          <w:tab w:val="left" w:pos="879"/>
        </w:tabs>
        <w:spacing w:before="222"/>
        <w:ind w:right="674" w:firstLine="0"/>
        <w:jc w:val="both"/>
      </w:pPr>
      <w:r>
        <w:t>Under</w:t>
      </w:r>
      <w:r>
        <w:rPr>
          <w:spacing w:val="-4"/>
        </w:rPr>
        <w:t xml:space="preserve"> </w:t>
      </w:r>
      <w:r>
        <w:t>these</w:t>
      </w:r>
      <w:r>
        <w:rPr>
          <w:spacing w:val="-4"/>
        </w:rPr>
        <w:t xml:space="preserve"> </w:t>
      </w:r>
      <w:r>
        <w:t>Acts,</w:t>
      </w:r>
      <w:r>
        <w:rPr>
          <w:spacing w:val="-5"/>
        </w:rPr>
        <w:t xml:space="preserve"> </w:t>
      </w:r>
      <w:r>
        <w:t>restrictions</w:t>
      </w:r>
      <w:r>
        <w:rPr>
          <w:spacing w:val="-2"/>
        </w:rPr>
        <w:t xml:space="preserve"> </w:t>
      </w:r>
      <w:r>
        <w:t>were</w:t>
      </w:r>
      <w:r>
        <w:rPr>
          <w:spacing w:val="-4"/>
        </w:rPr>
        <w:t xml:space="preserve"> </w:t>
      </w:r>
      <w:r>
        <w:t>placed</w:t>
      </w:r>
      <w:r>
        <w:rPr>
          <w:spacing w:val="-5"/>
        </w:rPr>
        <w:t xml:space="preserve"> </w:t>
      </w:r>
      <w:r>
        <w:t>on</w:t>
      </w:r>
      <w:r>
        <w:rPr>
          <w:spacing w:val="-5"/>
        </w:rPr>
        <w:t xml:space="preserve"> </w:t>
      </w:r>
      <w:r>
        <w:t>freedom</w:t>
      </w:r>
      <w:r>
        <w:rPr>
          <w:spacing w:val="-5"/>
        </w:rPr>
        <w:t xml:space="preserve"> </w:t>
      </w:r>
      <w:r>
        <w:t>of</w:t>
      </w:r>
      <w:r>
        <w:rPr>
          <w:spacing w:val="-4"/>
        </w:rPr>
        <w:t xml:space="preserve"> </w:t>
      </w:r>
      <w:r>
        <w:t>movement</w:t>
      </w:r>
      <w:r>
        <w:rPr>
          <w:spacing w:val="-4"/>
        </w:rPr>
        <w:t xml:space="preserve"> </w:t>
      </w:r>
      <w:r>
        <w:t>and</w:t>
      </w:r>
      <w:r>
        <w:rPr>
          <w:spacing w:val="-4"/>
        </w:rPr>
        <w:t xml:space="preserve"> </w:t>
      </w:r>
      <w:r>
        <w:t>association</w:t>
      </w:r>
      <w:r>
        <w:rPr>
          <w:spacing w:val="-2"/>
        </w:rPr>
        <w:t xml:space="preserve"> </w:t>
      </w:r>
      <w:r>
        <w:t>and –</w:t>
      </w:r>
      <w:r>
        <w:rPr>
          <w:spacing w:val="-5"/>
        </w:rPr>
        <w:t xml:space="preserve"> </w:t>
      </w:r>
      <w:r>
        <w:t>in</w:t>
      </w:r>
      <w:r>
        <w:rPr>
          <w:spacing w:val="-5"/>
        </w:rPr>
        <w:t xml:space="preserve"> </w:t>
      </w:r>
      <w:r>
        <w:t>a particularly controversial aspect of the COVID-19 response – mandatory vaccination was authorised. As these</w:t>
      </w:r>
      <w:r>
        <w:rPr>
          <w:spacing w:val="-2"/>
        </w:rPr>
        <w:t xml:space="preserve"> </w:t>
      </w:r>
      <w:r>
        <w:t>restrictions were</w:t>
      </w:r>
      <w:r>
        <w:rPr>
          <w:spacing w:val="-2"/>
        </w:rPr>
        <w:t xml:space="preserve"> </w:t>
      </w:r>
      <w:r>
        <w:t>made</w:t>
      </w:r>
      <w:r>
        <w:rPr>
          <w:spacing w:val="-2"/>
        </w:rPr>
        <w:t xml:space="preserve"> </w:t>
      </w:r>
      <w:r>
        <w:t>by way</w:t>
      </w:r>
      <w:r>
        <w:rPr>
          <w:spacing w:val="-2"/>
        </w:rPr>
        <w:t xml:space="preserve"> </w:t>
      </w:r>
      <w:r>
        <w:t>of</w:t>
      </w:r>
      <w:r>
        <w:rPr>
          <w:spacing w:val="-2"/>
        </w:rPr>
        <w:t xml:space="preserve"> </w:t>
      </w:r>
      <w:r>
        <w:t xml:space="preserve">direction under </w:t>
      </w:r>
      <w:r>
        <w:rPr>
          <w:i/>
        </w:rPr>
        <w:t>the</w:t>
      </w:r>
      <w:r>
        <w:rPr>
          <w:i/>
          <w:spacing w:val="-2"/>
        </w:rPr>
        <w:t xml:space="preserve"> </w:t>
      </w:r>
      <w:r>
        <w:rPr>
          <w:i/>
        </w:rPr>
        <w:t>Public Health Act</w:t>
      </w:r>
      <w:r>
        <w:rPr>
          <w:i/>
          <w:spacing w:val="-1"/>
        </w:rPr>
        <w:t xml:space="preserve"> </w:t>
      </w:r>
      <w:r>
        <w:rPr>
          <w:i/>
        </w:rPr>
        <w:t xml:space="preserve">1997 </w:t>
      </w:r>
      <w:r>
        <w:t xml:space="preserve">and </w:t>
      </w:r>
      <w:r>
        <w:rPr>
          <w:i/>
        </w:rPr>
        <w:t>Emergency Management</w:t>
      </w:r>
      <w:r>
        <w:rPr>
          <w:i/>
          <w:spacing w:val="-4"/>
        </w:rPr>
        <w:t xml:space="preserve"> </w:t>
      </w:r>
      <w:r>
        <w:rPr>
          <w:i/>
        </w:rPr>
        <w:t>Act</w:t>
      </w:r>
      <w:r>
        <w:rPr>
          <w:i/>
          <w:spacing w:val="-1"/>
        </w:rPr>
        <w:t xml:space="preserve"> </w:t>
      </w:r>
      <w:r>
        <w:rPr>
          <w:i/>
        </w:rPr>
        <w:t>2006</w:t>
      </w:r>
      <w:r>
        <w:t>,</w:t>
      </w:r>
      <w:r>
        <w:rPr>
          <w:spacing w:val="-5"/>
        </w:rPr>
        <w:t xml:space="preserve"> </w:t>
      </w:r>
      <w:r>
        <w:t>there</w:t>
      </w:r>
      <w:r>
        <w:rPr>
          <w:spacing w:val="-2"/>
        </w:rPr>
        <w:t xml:space="preserve"> </w:t>
      </w:r>
      <w:r>
        <w:t>was</w:t>
      </w:r>
      <w:r>
        <w:rPr>
          <w:spacing w:val="-5"/>
        </w:rPr>
        <w:t xml:space="preserve"> </w:t>
      </w:r>
      <w:r>
        <w:t>minimal</w:t>
      </w:r>
      <w:r>
        <w:rPr>
          <w:spacing w:val="-4"/>
        </w:rPr>
        <w:t xml:space="preserve"> </w:t>
      </w:r>
      <w:r>
        <w:t>parliamentary</w:t>
      </w:r>
      <w:r>
        <w:rPr>
          <w:spacing w:val="-2"/>
        </w:rPr>
        <w:t xml:space="preserve"> </w:t>
      </w:r>
      <w:r>
        <w:t>scrutiny</w:t>
      </w:r>
      <w:r>
        <w:rPr>
          <w:spacing w:val="-5"/>
        </w:rPr>
        <w:t xml:space="preserve"> </w:t>
      </w:r>
      <w:r>
        <w:t>of</w:t>
      </w:r>
      <w:r>
        <w:rPr>
          <w:spacing w:val="-4"/>
        </w:rPr>
        <w:t xml:space="preserve"> </w:t>
      </w:r>
      <w:r>
        <w:t>the</w:t>
      </w:r>
      <w:r>
        <w:rPr>
          <w:spacing w:val="40"/>
        </w:rPr>
        <w:t xml:space="preserve"> </w:t>
      </w:r>
      <w:r>
        <w:t>‘lockdown’</w:t>
      </w:r>
      <w:r>
        <w:rPr>
          <w:spacing w:val="-2"/>
        </w:rPr>
        <w:t xml:space="preserve"> </w:t>
      </w:r>
      <w:r>
        <w:t>requirements,</w:t>
      </w:r>
      <w:r>
        <w:rPr>
          <w:spacing w:val="-2"/>
        </w:rPr>
        <w:t xml:space="preserve"> </w:t>
      </w:r>
      <w:r>
        <w:t>the requirements for vaccination, border restrictions, and controlling ‘the community’s daily freedom of movement and</w:t>
      </w:r>
      <w:r>
        <w:rPr>
          <w:spacing w:val="-1"/>
        </w:rPr>
        <w:t xml:space="preserve"> </w:t>
      </w:r>
      <w:r>
        <w:t>activities,</w:t>
      </w:r>
      <w:r>
        <w:rPr>
          <w:spacing w:val="-1"/>
        </w:rPr>
        <w:t xml:space="preserve"> </w:t>
      </w:r>
      <w:r>
        <w:t>with</w:t>
      </w:r>
      <w:r>
        <w:rPr>
          <w:spacing w:val="-1"/>
        </w:rPr>
        <w:t xml:space="preserve"> </w:t>
      </w:r>
      <w:r>
        <w:t>potential</w:t>
      </w:r>
      <w:r>
        <w:rPr>
          <w:spacing w:val="-2"/>
        </w:rPr>
        <w:t xml:space="preserve"> </w:t>
      </w:r>
      <w:r>
        <w:t>relevance</w:t>
      </w:r>
      <w:r>
        <w:rPr>
          <w:spacing w:val="-3"/>
        </w:rPr>
        <w:t xml:space="preserve"> </w:t>
      </w:r>
      <w:r>
        <w:t>to</w:t>
      </w:r>
      <w:r>
        <w:rPr>
          <w:spacing w:val="-1"/>
        </w:rPr>
        <w:t xml:space="preserve"> </w:t>
      </w:r>
      <w:r>
        <w:t>people’s</w:t>
      </w:r>
      <w:r>
        <w:rPr>
          <w:spacing w:val="-1"/>
        </w:rPr>
        <w:t xml:space="preserve"> </w:t>
      </w:r>
      <w:r>
        <w:t>human</w:t>
      </w:r>
      <w:r>
        <w:rPr>
          <w:spacing w:val="-3"/>
        </w:rPr>
        <w:t xml:space="preserve"> </w:t>
      </w:r>
      <w:r>
        <w:t>rights’.</w:t>
      </w:r>
      <w:r>
        <w:rPr>
          <w:vertAlign w:val="superscript"/>
        </w:rPr>
        <w:t>167</w:t>
      </w:r>
      <w:r>
        <w:rPr>
          <w:spacing w:val="-1"/>
        </w:rPr>
        <w:t xml:space="preserve"> </w:t>
      </w:r>
      <w:r>
        <w:t>Neither did</w:t>
      </w:r>
      <w:r>
        <w:rPr>
          <w:spacing w:val="-1"/>
        </w:rPr>
        <w:t xml:space="preserve"> </w:t>
      </w:r>
      <w:r>
        <w:t>Parliament or the Joint Standing Committee on Subordinate Legislation (‘JSCSL’) undertake oversight of subordinate legislation.</w:t>
      </w:r>
    </w:p>
    <w:p w14:paraId="7CB25EA0" w14:textId="77777777" w:rsidR="008A4099" w:rsidRDefault="006A6EE2">
      <w:pPr>
        <w:pStyle w:val="ListParagraph"/>
        <w:numPr>
          <w:ilvl w:val="2"/>
          <w:numId w:val="6"/>
        </w:numPr>
        <w:tabs>
          <w:tab w:val="left" w:pos="879"/>
        </w:tabs>
        <w:spacing w:before="217"/>
        <w:ind w:right="674" w:firstLine="0"/>
        <w:jc w:val="both"/>
        <w:rPr>
          <w:sz w:val="13"/>
        </w:rPr>
      </w:pPr>
      <w:r>
        <w:t xml:space="preserve">While the </w:t>
      </w:r>
      <w:r>
        <w:rPr>
          <w:i/>
        </w:rPr>
        <w:t xml:space="preserve">COVID-19 Disease Emergency (Miscellaneous Provisions) Act 2020 </w:t>
      </w:r>
      <w:r>
        <w:t>(‘Tas Covid Act’),</w:t>
      </w:r>
      <w:r>
        <w:rPr>
          <w:vertAlign w:val="superscript"/>
        </w:rPr>
        <w:t>168</w:t>
      </w:r>
      <w:r>
        <w:rPr>
          <w:spacing w:val="40"/>
        </w:rPr>
        <w:t xml:space="preserve"> </w:t>
      </w:r>
      <w:r>
        <w:t>provided for the issuing of ‘notices extending, amending, suspending or protecting the operation,</w:t>
      </w:r>
      <w:r>
        <w:rPr>
          <w:spacing w:val="-1"/>
        </w:rPr>
        <w:t xml:space="preserve"> </w:t>
      </w:r>
      <w:r>
        <w:t>effect and</w:t>
      </w:r>
      <w:r>
        <w:rPr>
          <w:spacing w:val="-1"/>
        </w:rPr>
        <w:t xml:space="preserve"> </w:t>
      </w:r>
      <w:r>
        <w:t>procedure</w:t>
      </w:r>
      <w:r>
        <w:rPr>
          <w:spacing w:val="-1"/>
        </w:rPr>
        <w:t xml:space="preserve"> </w:t>
      </w:r>
      <w:r>
        <w:t>of law</w:t>
      </w:r>
      <w:r>
        <w:rPr>
          <w:spacing w:val="-2"/>
        </w:rPr>
        <w:t xml:space="preserve"> </w:t>
      </w:r>
      <w:r>
        <w:t>and</w:t>
      </w:r>
      <w:r>
        <w:rPr>
          <w:spacing w:val="-1"/>
        </w:rPr>
        <w:t xml:space="preserve"> </w:t>
      </w:r>
      <w:r>
        <w:t>government in</w:t>
      </w:r>
      <w:r>
        <w:rPr>
          <w:spacing w:val="-1"/>
        </w:rPr>
        <w:t xml:space="preserve"> </w:t>
      </w:r>
      <w:r>
        <w:t>the</w:t>
      </w:r>
      <w:r>
        <w:rPr>
          <w:spacing w:val="-1"/>
        </w:rPr>
        <w:t xml:space="preserve"> </w:t>
      </w:r>
      <w:r>
        <w:t>state’</w:t>
      </w:r>
      <w:r>
        <w:rPr>
          <w:vertAlign w:val="superscript"/>
        </w:rPr>
        <w:t>169</w:t>
      </w:r>
      <w:r>
        <w:rPr>
          <w:spacing w:val="-1"/>
        </w:rPr>
        <w:t xml:space="preserve"> </w:t>
      </w:r>
      <w:r>
        <w:t>and</w:t>
      </w:r>
      <w:r>
        <w:rPr>
          <w:spacing w:val="-1"/>
        </w:rPr>
        <w:t xml:space="preserve"> </w:t>
      </w:r>
      <w:r>
        <w:t>allowed</w:t>
      </w:r>
      <w:r>
        <w:rPr>
          <w:spacing w:val="-1"/>
        </w:rPr>
        <w:t xml:space="preserve"> </w:t>
      </w:r>
      <w:r>
        <w:t>for JSCSL</w:t>
      </w:r>
      <w:r>
        <w:rPr>
          <w:spacing w:val="-2"/>
        </w:rPr>
        <w:t xml:space="preserve"> </w:t>
      </w:r>
      <w:r>
        <w:t>scrutiny of</w:t>
      </w:r>
      <w:r>
        <w:rPr>
          <w:spacing w:val="-10"/>
        </w:rPr>
        <w:t xml:space="preserve"> </w:t>
      </w:r>
      <w:r>
        <w:t>directions</w:t>
      </w:r>
      <w:r>
        <w:rPr>
          <w:spacing w:val="-13"/>
        </w:rPr>
        <w:t xml:space="preserve"> </w:t>
      </w:r>
      <w:r>
        <w:t>made</w:t>
      </w:r>
      <w:r>
        <w:rPr>
          <w:spacing w:val="-11"/>
        </w:rPr>
        <w:t xml:space="preserve"> </w:t>
      </w:r>
      <w:r>
        <w:t>under</w:t>
      </w:r>
      <w:r>
        <w:rPr>
          <w:spacing w:val="-12"/>
        </w:rPr>
        <w:t xml:space="preserve"> </w:t>
      </w:r>
      <w:r>
        <w:t>that</w:t>
      </w:r>
      <w:r>
        <w:rPr>
          <w:spacing w:val="-10"/>
        </w:rPr>
        <w:t xml:space="preserve"> </w:t>
      </w:r>
      <w:r>
        <w:t>Act,</w:t>
      </w:r>
      <w:r>
        <w:rPr>
          <w:spacing w:val="-11"/>
        </w:rPr>
        <w:t xml:space="preserve"> </w:t>
      </w:r>
      <w:r>
        <w:t>this</w:t>
      </w:r>
      <w:r>
        <w:rPr>
          <w:spacing w:val="-13"/>
        </w:rPr>
        <w:t xml:space="preserve"> </w:t>
      </w:r>
      <w:r>
        <w:t>oversight</w:t>
      </w:r>
      <w:r>
        <w:rPr>
          <w:spacing w:val="-12"/>
        </w:rPr>
        <w:t xml:space="preserve"> </w:t>
      </w:r>
      <w:r>
        <w:t>did</w:t>
      </w:r>
      <w:r>
        <w:rPr>
          <w:spacing w:val="-13"/>
        </w:rPr>
        <w:t xml:space="preserve"> </w:t>
      </w:r>
      <w:r>
        <w:t>not</w:t>
      </w:r>
      <w:r>
        <w:rPr>
          <w:spacing w:val="-10"/>
        </w:rPr>
        <w:t xml:space="preserve"> </w:t>
      </w:r>
      <w:r>
        <w:t>occur</w:t>
      </w:r>
      <w:r>
        <w:rPr>
          <w:spacing w:val="-13"/>
        </w:rPr>
        <w:t xml:space="preserve"> </w:t>
      </w:r>
      <w:r>
        <w:t>for</w:t>
      </w:r>
      <w:r>
        <w:rPr>
          <w:spacing w:val="-12"/>
        </w:rPr>
        <w:t xml:space="preserve"> </w:t>
      </w:r>
      <w:r>
        <w:t>the</w:t>
      </w:r>
      <w:r>
        <w:rPr>
          <w:spacing w:val="-11"/>
        </w:rPr>
        <w:t xml:space="preserve"> </w:t>
      </w:r>
      <w:r>
        <w:t>majority</w:t>
      </w:r>
      <w:r>
        <w:rPr>
          <w:spacing w:val="-11"/>
        </w:rPr>
        <w:t xml:space="preserve"> </w:t>
      </w:r>
      <w:r>
        <w:t>of</w:t>
      </w:r>
      <w:r>
        <w:rPr>
          <w:spacing w:val="-13"/>
        </w:rPr>
        <w:t xml:space="preserve"> </w:t>
      </w:r>
      <w:r>
        <w:t>legislative</w:t>
      </w:r>
      <w:r>
        <w:rPr>
          <w:spacing w:val="-13"/>
        </w:rPr>
        <w:t xml:space="preserve"> </w:t>
      </w:r>
      <w:r>
        <w:t>instruments responding to the public health crisis. The JSCSL was empowered to meet, even during a period of parliamentary adjournment, and to review all regulations to consider whether they unreasonably trespassed on ‘personal rights and liberties’.</w:t>
      </w:r>
      <w:r>
        <w:rPr>
          <w:vertAlign w:val="superscript"/>
        </w:rPr>
        <w:t>170</w:t>
      </w:r>
      <w:r>
        <w:t xml:space="preserve"> However, the Directions giving effect to the various restrictions and requirements outlined above were not issued under the Tas Covid Act and so did not fall within the review jurisdiction of the JSCSL.</w:t>
      </w:r>
      <w:r>
        <w:rPr>
          <w:position w:val="7"/>
          <w:sz w:val="13"/>
        </w:rPr>
        <w:t>171</w:t>
      </w:r>
      <w:r>
        <w:rPr>
          <w:spacing w:val="38"/>
          <w:position w:val="7"/>
          <w:sz w:val="13"/>
        </w:rPr>
        <w:t xml:space="preserve"> </w:t>
      </w:r>
      <w:r>
        <w:t>In contrast, notices under the Tas Covid Act that were subjected to scrutiny by the JSCSL were largely related to administrative and logistical arrangements for public authorities to satisfy public health restrictions.</w:t>
      </w:r>
      <w:r>
        <w:rPr>
          <w:position w:val="7"/>
          <w:sz w:val="13"/>
        </w:rPr>
        <w:t>172</w:t>
      </w:r>
    </w:p>
    <w:p w14:paraId="7CB25EA1" w14:textId="77777777" w:rsidR="008A4099" w:rsidRDefault="006A6EE2">
      <w:pPr>
        <w:pStyle w:val="ListParagraph"/>
        <w:numPr>
          <w:ilvl w:val="2"/>
          <w:numId w:val="6"/>
        </w:numPr>
        <w:tabs>
          <w:tab w:val="left" w:pos="879"/>
        </w:tabs>
        <w:spacing w:before="225" w:line="235" w:lineRule="auto"/>
        <w:ind w:right="677" w:firstLine="0"/>
        <w:jc w:val="both"/>
      </w:pPr>
      <w:r>
        <w:t>The</w:t>
      </w:r>
      <w:r>
        <w:rPr>
          <w:spacing w:val="-9"/>
        </w:rPr>
        <w:t xml:space="preserve"> </w:t>
      </w:r>
      <w:r>
        <w:t>Tasmanian</w:t>
      </w:r>
      <w:r>
        <w:rPr>
          <w:spacing w:val="-9"/>
        </w:rPr>
        <w:t xml:space="preserve"> </w:t>
      </w:r>
      <w:r>
        <w:t>response</w:t>
      </w:r>
      <w:r>
        <w:rPr>
          <w:spacing w:val="-9"/>
        </w:rPr>
        <w:t xml:space="preserve"> </w:t>
      </w:r>
      <w:r>
        <w:t>to</w:t>
      </w:r>
      <w:r>
        <w:rPr>
          <w:spacing w:val="-12"/>
        </w:rPr>
        <w:t xml:space="preserve"> </w:t>
      </w:r>
      <w:r>
        <w:t>the</w:t>
      </w:r>
      <w:r>
        <w:rPr>
          <w:spacing w:val="-9"/>
        </w:rPr>
        <w:t xml:space="preserve"> </w:t>
      </w:r>
      <w:r>
        <w:t>COVID-19</w:t>
      </w:r>
      <w:r>
        <w:rPr>
          <w:spacing w:val="-10"/>
        </w:rPr>
        <w:t xml:space="preserve"> </w:t>
      </w:r>
      <w:r>
        <w:t>pandemic</w:t>
      </w:r>
      <w:r>
        <w:rPr>
          <w:spacing w:val="-9"/>
        </w:rPr>
        <w:t xml:space="preserve"> </w:t>
      </w:r>
      <w:r>
        <w:t>has</w:t>
      </w:r>
      <w:r>
        <w:rPr>
          <w:spacing w:val="-8"/>
        </w:rPr>
        <w:t xml:space="preserve"> </w:t>
      </w:r>
      <w:r>
        <w:t>subsequently</w:t>
      </w:r>
      <w:r>
        <w:rPr>
          <w:spacing w:val="-9"/>
        </w:rPr>
        <w:t xml:space="preserve"> </w:t>
      </w:r>
      <w:r>
        <w:t>been</w:t>
      </w:r>
      <w:r>
        <w:rPr>
          <w:spacing w:val="-10"/>
        </w:rPr>
        <w:t xml:space="preserve"> </w:t>
      </w:r>
      <w:r>
        <w:t>considered</w:t>
      </w:r>
      <w:r>
        <w:rPr>
          <w:spacing w:val="-9"/>
        </w:rPr>
        <w:t xml:space="preserve"> </w:t>
      </w:r>
      <w:r>
        <w:t>by</w:t>
      </w:r>
      <w:r>
        <w:rPr>
          <w:spacing w:val="-12"/>
        </w:rPr>
        <w:t xml:space="preserve"> </w:t>
      </w:r>
      <w:r>
        <w:t>two bodies: the standing Public Accounts Committee and a specifically established Economic and Social</w:t>
      </w:r>
    </w:p>
    <w:p w14:paraId="7CB25EA2" w14:textId="77777777" w:rsidR="008A4099" w:rsidRDefault="008A4099">
      <w:pPr>
        <w:pStyle w:val="BodyText"/>
        <w:rPr>
          <w:sz w:val="20"/>
        </w:rPr>
      </w:pPr>
    </w:p>
    <w:p w14:paraId="7CB25EA3" w14:textId="77777777" w:rsidR="008A4099" w:rsidRDefault="008A4099">
      <w:pPr>
        <w:pStyle w:val="BodyText"/>
        <w:rPr>
          <w:sz w:val="20"/>
        </w:rPr>
      </w:pPr>
    </w:p>
    <w:p w14:paraId="7CB25EA4" w14:textId="77777777" w:rsidR="008A4099" w:rsidRDefault="008A4099">
      <w:pPr>
        <w:pStyle w:val="BodyText"/>
        <w:rPr>
          <w:sz w:val="20"/>
        </w:rPr>
      </w:pPr>
    </w:p>
    <w:p w14:paraId="7CB25EA5" w14:textId="77777777" w:rsidR="008A4099" w:rsidRDefault="008A4099">
      <w:pPr>
        <w:pStyle w:val="BodyText"/>
        <w:rPr>
          <w:sz w:val="20"/>
        </w:rPr>
      </w:pPr>
    </w:p>
    <w:p w14:paraId="7CB25EA6" w14:textId="77777777" w:rsidR="008A4099" w:rsidRDefault="006A6EE2">
      <w:pPr>
        <w:pStyle w:val="BodyText"/>
        <w:spacing w:before="184"/>
        <w:rPr>
          <w:sz w:val="20"/>
        </w:rPr>
      </w:pPr>
      <w:r>
        <w:rPr>
          <w:noProof/>
        </w:rPr>
        <mc:AlternateContent>
          <mc:Choice Requires="wps">
            <w:drawing>
              <wp:anchor distT="0" distB="0" distL="0" distR="0" simplePos="0" relativeHeight="487601664" behindDoc="1" locked="0" layoutInCell="1" allowOverlap="1" wp14:anchorId="7CB2660F" wp14:editId="7CB26610">
                <wp:simplePos x="0" y="0"/>
                <wp:positionH relativeFrom="page">
                  <wp:posOffset>914704</wp:posOffset>
                </wp:positionH>
                <wp:positionV relativeFrom="paragraph">
                  <wp:posOffset>278370</wp:posOffset>
                </wp:positionV>
                <wp:extent cx="1829435" cy="762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E55DE1" id="Graphic 69" o:spid="_x0000_s1026" style="position:absolute;margin-left:1in;margin-top:21.9pt;width:144.0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" path="m1829054,l,,,7620r1829054,l1829054,xe" fillcolor="black" stroked="f">
                <v:path arrowok="t"/>
                <w10:wrap type="topAndBottom" anchorx="page"/>
              </v:shape>
            </w:pict>
          </mc:Fallback>
        </mc:AlternateContent>
      </w:r>
    </w:p>
    <w:p w14:paraId="7CB25EA7" w14:textId="77777777" w:rsidR="008A4099" w:rsidRDefault="006A6EE2">
      <w:pPr>
        <w:spacing w:before="112"/>
        <w:ind w:left="160"/>
        <w:jc w:val="both"/>
        <w:rPr>
          <w:sz w:val="18"/>
        </w:rPr>
      </w:pPr>
      <w:r>
        <w:rPr>
          <w:sz w:val="18"/>
          <w:vertAlign w:val="superscript"/>
        </w:rPr>
        <w:t>166</w:t>
      </w:r>
      <w:r>
        <w:rPr>
          <w:sz w:val="18"/>
        </w:rPr>
        <w:t xml:space="preserve"> These</w:t>
      </w:r>
      <w:r>
        <w:rPr>
          <w:spacing w:val="-1"/>
          <w:sz w:val="18"/>
        </w:rPr>
        <w:t xml:space="preserve"> </w:t>
      </w:r>
      <w:r>
        <w:rPr>
          <w:sz w:val="18"/>
        </w:rPr>
        <w:t>powers</w:t>
      </w:r>
      <w:r>
        <w:rPr>
          <w:spacing w:val="1"/>
          <w:sz w:val="18"/>
        </w:rPr>
        <w:t xml:space="preserve"> </w:t>
      </w:r>
      <w:r>
        <w:rPr>
          <w:sz w:val="18"/>
        </w:rPr>
        <w:t>are</w:t>
      </w:r>
      <w:r>
        <w:rPr>
          <w:spacing w:val="-1"/>
          <w:sz w:val="18"/>
        </w:rPr>
        <w:t xml:space="preserve"> </w:t>
      </w:r>
      <w:r>
        <w:rPr>
          <w:sz w:val="18"/>
        </w:rPr>
        <w:t>contained in</w:t>
      </w:r>
      <w:r>
        <w:rPr>
          <w:spacing w:val="-1"/>
          <w:sz w:val="18"/>
        </w:rPr>
        <w:t xml:space="preserve"> </w:t>
      </w:r>
      <w:r>
        <w:rPr>
          <w:sz w:val="18"/>
        </w:rPr>
        <w:t>Schedule</w:t>
      </w:r>
      <w:r>
        <w:rPr>
          <w:spacing w:val="-2"/>
          <w:sz w:val="18"/>
        </w:rPr>
        <w:t xml:space="preserve"> </w:t>
      </w:r>
      <w:r>
        <w:rPr>
          <w:sz w:val="18"/>
        </w:rPr>
        <w:t>2</w:t>
      </w:r>
      <w:r>
        <w:rPr>
          <w:spacing w:val="1"/>
          <w:sz w:val="18"/>
        </w:rPr>
        <w:t xml:space="preserve"> </w:t>
      </w:r>
      <w:r>
        <w:rPr>
          <w:sz w:val="18"/>
        </w:rPr>
        <w:t>of</w:t>
      </w:r>
      <w:r>
        <w:rPr>
          <w:spacing w:val="-1"/>
          <w:sz w:val="18"/>
        </w:rPr>
        <w:t xml:space="preserve"> </w:t>
      </w:r>
      <w:r>
        <w:rPr>
          <w:sz w:val="18"/>
        </w:rPr>
        <w:t>the</w:t>
      </w:r>
      <w:r>
        <w:rPr>
          <w:spacing w:val="3"/>
          <w:sz w:val="18"/>
        </w:rPr>
        <w:t xml:space="preserve"> </w:t>
      </w:r>
      <w:r>
        <w:rPr>
          <w:i/>
          <w:sz w:val="18"/>
        </w:rPr>
        <w:t>Emergency</w:t>
      </w:r>
      <w:r>
        <w:rPr>
          <w:i/>
          <w:spacing w:val="-2"/>
          <w:sz w:val="18"/>
        </w:rPr>
        <w:t xml:space="preserve"> </w:t>
      </w:r>
      <w:r>
        <w:rPr>
          <w:i/>
          <w:sz w:val="18"/>
        </w:rPr>
        <w:t>Management Act</w:t>
      </w:r>
      <w:r>
        <w:rPr>
          <w:i/>
          <w:spacing w:val="-1"/>
          <w:sz w:val="18"/>
        </w:rPr>
        <w:t xml:space="preserve"> </w:t>
      </w:r>
      <w:r>
        <w:rPr>
          <w:i/>
          <w:sz w:val="18"/>
        </w:rPr>
        <w:t>2006</w:t>
      </w:r>
      <w:r>
        <w:rPr>
          <w:i/>
          <w:spacing w:val="1"/>
          <w:sz w:val="18"/>
        </w:rPr>
        <w:t xml:space="preserve"> </w:t>
      </w:r>
      <w:r>
        <w:rPr>
          <w:spacing w:val="-2"/>
          <w:sz w:val="18"/>
        </w:rPr>
        <w:t>(Tas).</w:t>
      </w:r>
    </w:p>
    <w:p w14:paraId="7CB25EA8" w14:textId="77777777" w:rsidR="008A4099" w:rsidRDefault="006A6EE2">
      <w:pPr>
        <w:spacing w:before="24" w:line="242" w:lineRule="auto"/>
        <w:ind w:left="160" w:right="677"/>
        <w:jc w:val="both"/>
        <w:rPr>
          <w:sz w:val="18"/>
        </w:rPr>
      </w:pPr>
      <w:r>
        <w:rPr>
          <w:sz w:val="18"/>
          <w:vertAlign w:val="superscript"/>
        </w:rPr>
        <w:t>167</w:t>
      </w:r>
      <w:r>
        <w:rPr>
          <w:sz w:val="18"/>
        </w:rPr>
        <w:t xml:space="preserve"> Advice from Meg Webb MLC (Appendix C contains a list of all those who provided advice to the TLRI pursuant to requesting that the Institute prepare this Report). See also Tasmania, </w:t>
      </w:r>
      <w:r>
        <w:rPr>
          <w:i/>
          <w:sz w:val="18"/>
        </w:rPr>
        <w:t>Parliamentary Debates</w:t>
      </w:r>
      <w:r>
        <w:rPr>
          <w:sz w:val="18"/>
        </w:rPr>
        <w:t>, Legislative Council, 30 April 2020, 88 (Meg Webb).</w:t>
      </w:r>
    </w:p>
    <w:p w14:paraId="7CB25EA9" w14:textId="77777777" w:rsidR="008A4099" w:rsidRDefault="006A6EE2">
      <w:pPr>
        <w:spacing w:before="16" w:line="242" w:lineRule="auto"/>
        <w:ind w:left="160" w:right="673"/>
        <w:jc w:val="both"/>
        <w:rPr>
          <w:sz w:val="18"/>
        </w:rPr>
      </w:pPr>
      <w:r>
        <w:rPr>
          <w:sz w:val="18"/>
          <w:vertAlign w:val="superscript"/>
        </w:rPr>
        <w:t>168</w:t>
      </w:r>
      <w:r>
        <w:rPr>
          <w:sz w:val="18"/>
        </w:rPr>
        <w:t xml:space="preserve"> See also </w:t>
      </w:r>
      <w:r>
        <w:rPr>
          <w:i/>
          <w:sz w:val="18"/>
        </w:rPr>
        <w:t xml:space="preserve">COVID-19 Disease Emergency (Miscellaneous Provisions) Act (No. 2) 2020 </w:t>
      </w:r>
      <w:r>
        <w:rPr>
          <w:sz w:val="18"/>
        </w:rPr>
        <w:t xml:space="preserve">(Tas), which amended the </w:t>
      </w:r>
      <w:r>
        <w:rPr>
          <w:i/>
          <w:sz w:val="18"/>
        </w:rPr>
        <w:t xml:space="preserve">Public Health Act 1997 </w:t>
      </w:r>
      <w:r>
        <w:rPr>
          <w:sz w:val="18"/>
        </w:rPr>
        <w:t>(Tas) provisions regarding directions of the Director of Health the duration of emergency declarations and infringement notices.</w:t>
      </w:r>
    </w:p>
    <w:p w14:paraId="7CB25EAA" w14:textId="77777777" w:rsidR="008A4099" w:rsidRDefault="006A6EE2">
      <w:pPr>
        <w:spacing w:before="16" w:line="242" w:lineRule="auto"/>
        <w:ind w:left="160" w:right="674"/>
        <w:jc w:val="both"/>
        <w:rPr>
          <w:sz w:val="18"/>
        </w:rPr>
      </w:pPr>
      <w:r>
        <w:rPr>
          <w:sz w:val="18"/>
          <w:vertAlign w:val="superscript"/>
        </w:rPr>
        <w:t>169</w:t>
      </w:r>
      <w:r>
        <w:rPr>
          <w:sz w:val="18"/>
        </w:rPr>
        <w:t xml:space="preserve"> Brendan Gogarty and Gabrielle Appleby, ‘The Role of Tasmania’s Subordinate Legislation Committee during the COVID-19 Emergency’ (2020) 45(3) </w:t>
      </w:r>
      <w:r>
        <w:rPr>
          <w:i/>
          <w:sz w:val="18"/>
        </w:rPr>
        <w:t xml:space="preserve">Alternative Law Journal </w:t>
      </w:r>
      <w:r>
        <w:rPr>
          <w:sz w:val="18"/>
        </w:rPr>
        <w:t xml:space="preserve">188, 191. Emergency Managers include employees of Biosecurity Tasmania, Tasmania Police and others authorised by the Director of Public Health to ensure compliance with directions. See </w:t>
      </w:r>
      <w:r>
        <w:rPr>
          <w:i/>
          <w:sz w:val="18"/>
        </w:rPr>
        <w:t xml:space="preserve">Authorisation of Emergency Powers under the Emergency Management Act 2006 </w:t>
      </w:r>
      <w:r>
        <w:rPr>
          <w:sz w:val="18"/>
        </w:rPr>
        <w:t>(Tas), Darren Hine (State Controller), 21 March 2020, Tasmanian Government Gazette, No 21954.</w:t>
      </w:r>
    </w:p>
    <w:p w14:paraId="7CB25EAB" w14:textId="77777777" w:rsidR="008A4099" w:rsidRDefault="006A6EE2">
      <w:pPr>
        <w:spacing w:before="13"/>
        <w:ind w:left="160" w:right="673"/>
        <w:jc w:val="both"/>
        <w:rPr>
          <w:sz w:val="18"/>
        </w:rPr>
      </w:pPr>
      <w:r>
        <w:rPr>
          <w:sz w:val="18"/>
          <w:vertAlign w:val="superscript"/>
        </w:rPr>
        <w:t>170</w:t>
      </w:r>
      <w:r>
        <w:rPr>
          <w:sz w:val="18"/>
        </w:rPr>
        <w:t xml:space="preserve"> </w:t>
      </w:r>
      <w:r>
        <w:rPr>
          <w:i/>
          <w:sz w:val="18"/>
        </w:rPr>
        <w:t>Subordinate</w:t>
      </w:r>
      <w:r>
        <w:rPr>
          <w:i/>
          <w:spacing w:val="-2"/>
          <w:sz w:val="18"/>
        </w:rPr>
        <w:t xml:space="preserve"> </w:t>
      </w:r>
      <w:r>
        <w:rPr>
          <w:i/>
          <w:sz w:val="18"/>
        </w:rPr>
        <w:t>Legislation</w:t>
      </w:r>
      <w:r>
        <w:rPr>
          <w:i/>
          <w:spacing w:val="-1"/>
          <w:sz w:val="18"/>
        </w:rPr>
        <w:t xml:space="preserve"> </w:t>
      </w:r>
      <w:r>
        <w:rPr>
          <w:i/>
          <w:sz w:val="18"/>
        </w:rPr>
        <w:t xml:space="preserve">Committee Act 1969 </w:t>
      </w:r>
      <w:r>
        <w:rPr>
          <w:sz w:val="18"/>
        </w:rPr>
        <w:t>(Tas) s</w:t>
      </w:r>
      <w:r>
        <w:rPr>
          <w:spacing w:val="-2"/>
          <w:sz w:val="18"/>
        </w:rPr>
        <w:t xml:space="preserve"> </w:t>
      </w:r>
      <w:r>
        <w:rPr>
          <w:sz w:val="18"/>
        </w:rPr>
        <w:t>8(1)(a)(iii).</w:t>
      </w:r>
      <w:r>
        <w:rPr>
          <w:spacing w:val="-1"/>
          <w:sz w:val="18"/>
        </w:rPr>
        <w:t xml:space="preserve"> </w:t>
      </w:r>
      <w:r>
        <w:rPr>
          <w:sz w:val="18"/>
        </w:rPr>
        <w:t>However, analysis</w:t>
      </w:r>
      <w:r>
        <w:rPr>
          <w:spacing w:val="-2"/>
          <w:sz w:val="18"/>
        </w:rPr>
        <w:t xml:space="preserve"> </w:t>
      </w:r>
      <w:r>
        <w:rPr>
          <w:sz w:val="18"/>
        </w:rPr>
        <w:t>of</w:t>
      </w:r>
      <w:r>
        <w:rPr>
          <w:spacing w:val="-2"/>
          <w:sz w:val="18"/>
        </w:rPr>
        <w:t xml:space="preserve"> </w:t>
      </w:r>
      <w:r>
        <w:rPr>
          <w:sz w:val="18"/>
        </w:rPr>
        <w:t>previous</w:t>
      </w:r>
      <w:r>
        <w:rPr>
          <w:spacing w:val="-2"/>
          <w:sz w:val="18"/>
        </w:rPr>
        <w:t xml:space="preserve"> </w:t>
      </w:r>
      <w:r>
        <w:rPr>
          <w:sz w:val="18"/>
        </w:rPr>
        <w:t>reports by the Committee suggests</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Committee’s</w:t>
      </w:r>
      <w:r>
        <w:rPr>
          <w:spacing w:val="-2"/>
          <w:sz w:val="18"/>
        </w:rPr>
        <w:t xml:space="preserve"> </w:t>
      </w:r>
      <w:r>
        <w:rPr>
          <w:sz w:val="18"/>
        </w:rPr>
        <w:t>reports</w:t>
      </w:r>
      <w:r>
        <w:rPr>
          <w:spacing w:val="-2"/>
          <w:sz w:val="18"/>
        </w:rPr>
        <w:t xml:space="preserve"> </w:t>
      </w:r>
      <w:r>
        <w:rPr>
          <w:sz w:val="18"/>
        </w:rPr>
        <w:t>rarely</w:t>
      </w:r>
      <w:r>
        <w:rPr>
          <w:spacing w:val="-2"/>
          <w:sz w:val="18"/>
        </w:rPr>
        <w:t xml:space="preserve"> </w:t>
      </w:r>
      <w:r>
        <w:rPr>
          <w:sz w:val="18"/>
        </w:rPr>
        <w:t>‘overtly</w:t>
      </w:r>
      <w:r>
        <w:rPr>
          <w:spacing w:val="-2"/>
          <w:sz w:val="18"/>
        </w:rPr>
        <w:t xml:space="preserve"> </w:t>
      </w:r>
      <w:r>
        <w:rPr>
          <w:sz w:val="18"/>
        </w:rPr>
        <w:t>engage</w:t>
      </w:r>
      <w:r>
        <w:rPr>
          <w:spacing w:val="-3"/>
          <w:sz w:val="18"/>
        </w:rPr>
        <w:t xml:space="preserve"> </w:t>
      </w:r>
      <w:r>
        <w:rPr>
          <w:sz w:val="18"/>
        </w:rPr>
        <w:t>with</w:t>
      </w:r>
      <w:r>
        <w:rPr>
          <w:spacing w:val="-2"/>
          <w:sz w:val="18"/>
        </w:rPr>
        <w:t xml:space="preserve"> </w:t>
      </w:r>
      <w:r>
        <w:rPr>
          <w:sz w:val="18"/>
        </w:rPr>
        <w:t>or</w:t>
      </w:r>
      <w:r>
        <w:rPr>
          <w:spacing w:val="-2"/>
          <w:sz w:val="18"/>
        </w:rPr>
        <w:t xml:space="preserve"> </w:t>
      </w:r>
      <w:r>
        <w:rPr>
          <w:sz w:val="18"/>
        </w:rPr>
        <w:t>articulate</w:t>
      </w:r>
      <w:r>
        <w:rPr>
          <w:spacing w:val="-3"/>
          <w:sz w:val="18"/>
        </w:rPr>
        <w:t xml:space="preserve"> </w:t>
      </w:r>
      <w:r>
        <w:rPr>
          <w:sz w:val="18"/>
        </w:rPr>
        <w:t>any</w:t>
      </w:r>
      <w:r>
        <w:rPr>
          <w:spacing w:val="-3"/>
          <w:sz w:val="18"/>
        </w:rPr>
        <w:t xml:space="preserve"> </w:t>
      </w:r>
      <w:r>
        <w:rPr>
          <w:sz w:val="18"/>
        </w:rPr>
        <w:t>common</w:t>
      </w:r>
      <w:r>
        <w:rPr>
          <w:spacing w:val="-3"/>
          <w:sz w:val="18"/>
        </w:rPr>
        <w:t xml:space="preserve"> </w:t>
      </w:r>
      <w:r>
        <w:rPr>
          <w:sz w:val="18"/>
        </w:rPr>
        <w:t>law</w:t>
      </w:r>
      <w:r>
        <w:rPr>
          <w:spacing w:val="-3"/>
          <w:sz w:val="18"/>
        </w:rPr>
        <w:t xml:space="preserve"> </w:t>
      </w:r>
      <w:r>
        <w:rPr>
          <w:sz w:val="18"/>
        </w:rPr>
        <w:t>rights</w:t>
      </w:r>
      <w:r>
        <w:rPr>
          <w:spacing w:val="-3"/>
          <w:sz w:val="18"/>
        </w:rPr>
        <w:t xml:space="preserve"> </w:t>
      </w:r>
      <w:r>
        <w:rPr>
          <w:sz w:val="18"/>
        </w:rPr>
        <w:t>issues’</w:t>
      </w:r>
      <w:r>
        <w:rPr>
          <w:spacing w:val="-2"/>
          <w:sz w:val="18"/>
        </w:rPr>
        <w:t xml:space="preserve"> </w:t>
      </w:r>
      <w:r>
        <w:rPr>
          <w:sz w:val="18"/>
        </w:rPr>
        <w:t>and that</w:t>
      </w:r>
      <w:r>
        <w:rPr>
          <w:spacing w:val="-2"/>
          <w:sz w:val="18"/>
        </w:rPr>
        <w:t xml:space="preserve"> </w:t>
      </w:r>
      <w:r>
        <w:rPr>
          <w:sz w:val="18"/>
        </w:rPr>
        <w:t>‘rights analysis</w:t>
      </w:r>
      <w:r>
        <w:rPr>
          <w:spacing w:val="-6"/>
          <w:sz w:val="18"/>
        </w:rPr>
        <w:t xml:space="preserve"> </w:t>
      </w:r>
      <w:r>
        <w:rPr>
          <w:sz w:val="18"/>
        </w:rPr>
        <w:t>plays</w:t>
      </w:r>
      <w:r>
        <w:rPr>
          <w:spacing w:val="-6"/>
          <w:sz w:val="18"/>
        </w:rPr>
        <w:t xml:space="preserve"> </w:t>
      </w:r>
      <w:r>
        <w:rPr>
          <w:sz w:val="18"/>
        </w:rPr>
        <w:t>only</w:t>
      </w:r>
      <w:r>
        <w:rPr>
          <w:spacing w:val="-4"/>
          <w:sz w:val="18"/>
        </w:rPr>
        <w:t xml:space="preserve"> </w:t>
      </w:r>
      <w:r>
        <w:rPr>
          <w:sz w:val="18"/>
        </w:rPr>
        <w:t>a</w:t>
      </w:r>
      <w:r>
        <w:rPr>
          <w:spacing w:val="-6"/>
          <w:sz w:val="18"/>
        </w:rPr>
        <w:t xml:space="preserve"> </w:t>
      </w:r>
      <w:r>
        <w:rPr>
          <w:sz w:val="18"/>
        </w:rPr>
        <w:t>limited</w:t>
      </w:r>
      <w:r>
        <w:rPr>
          <w:spacing w:val="-5"/>
          <w:sz w:val="18"/>
        </w:rPr>
        <w:t xml:space="preserve"> </w:t>
      </w:r>
      <w:r>
        <w:rPr>
          <w:sz w:val="18"/>
        </w:rPr>
        <w:t>role</w:t>
      </w:r>
      <w:r>
        <w:rPr>
          <w:spacing w:val="-6"/>
          <w:sz w:val="18"/>
        </w:rPr>
        <w:t xml:space="preserve"> </w:t>
      </w:r>
      <w:r>
        <w:rPr>
          <w:sz w:val="18"/>
        </w:rPr>
        <w:t>in</w:t>
      </w:r>
      <w:r>
        <w:rPr>
          <w:spacing w:val="-4"/>
          <w:sz w:val="18"/>
        </w:rPr>
        <w:t xml:space="preserve"> </w:t>
      </w:r>
      <w:r>
        <w:rPr>
          <w:sz w:val="18"/>
        </w:rPr>
        <w:t>the</w:t>
      </w:r>
      <w:r>
        <w:rPr>
          <w:spacing w:val="-6"/>
          <w:sz w:val="18"/>
        </w:rPr>
        <w:t xml:space="preserve"> </w:t>
      </w:r>
      <w:r>
        <w:rPr>
          <w:sz w:val="18"/>
        </w:rPr>
        <w:t>work</w:t>
      </w:r>
      <w:r>
        <w:rPr>
          <w:spacing w:val="-7"/>
          <w:sz w:val="18"/>
        </w:rPr>
        <w:t xml:space="preserve"> </w:t>
      </w:r>
      <w:r>
        <w:rPr>
          <w:sz w:val="18"/>
        </w:rPr>
        <w:t>of</w:t>
      </w:r>
      <w:r>
        <w:rPr>
          <w:spacing w:val="-6"/>
          <w:sz w:val="18"/>
        </w:rPr>
        <w:t xml:space="preserve"> </w:t>
      </w:r>
      <w:r>
        <w:rPr>
          <w:sz w:val="18"/>
        </w:rPr>
        <w:t>the</w:t>
      </w:r>
      <w:r>
        <w:rPr>
          <w:spacing w:val="-6"/>
          <w:sz w:val="18"/>
        </w:rPr>
        <w:t xml:space="preserve"> </w:t>
      </w:r>
      <w:r>
        <w:rPr>
          <w:sz w:val="18"/>
        </w:rPr>
        <w:t>Committee’:</w:t>
      </w:r>
      <w:r>
        <w:rPr>
          <w:spacing w:val="-2"/>
          <w:sz w:val="18"/>
        </w:rPr>
        <w:t xml:space="preserve"> </w:t>
      </w:r>
      <w:r>
        <w:rPr>
          <w:color w:val="242424"/>
          <w:sz w:val="18"/>
        </w:rPr>
        <w:t>Rose</w:t>
      </w:r>
      <w:r>
        <w:rPr>
          <w:color w:val="242424"/>
          <w:spacing w:val="-7"/>
          <w:sz w:val="18"/>
        </w:rPr>
        <w:t xml:space="preserve"> </w:t>
      </w:r>
      <w:r>
        <w:rPr>
          <w:color w:val="242424"/>
          <w:sz w:val="18"/>
        </w:rPr>
        <w:t>Mackie</w:t>
      </w:r>
      <w:r>
        <w:rPr>
          <w:color w:val="242424"/>
          <w:spacing w:val="-6"/>
          <w:sz w:val="18"/>
        </w:rPr>
        <w:t xml:space="preserve"> </w:t>
      </w:r>
      <w:r>
        <w:rPr>
          <w:color w:val="242424"/>
          <w:sz w:val="18"/>
        </w:rPr>
        <w:t>and</w:t>
      </w:r>
      <w:r>
        <w:rPr>
          <w:color w:val="242424"/>
          <w:spacing w:val="-5"/>
          <w:sz w:val="18"/>
        </w:rPr>
        <w:t xml:space="preserve"> </w:t>
      </w:r>
      <w:r>
        <w:rPr>
          <w:color w:val="242424"/>
          <w:sz w:val="18"/>
        </w:rPr>
        <w:t>Anja</w:t>
      </w:r>
      <w:r>
        <w:rPr>
          <w:color w:val="242424"/>
          <w:spacing w:val="-6"/>
          <w:sz w:val="18"/>
        </w:rPr>
        <w:t xml:space="preserve"> </w:t>
      </w:r>
      <w:r>
        <w:rPr>
          <w:color w:val="242424"/>
          <w:sz w:val="18"/>
        </w:rPr>
        <w:t>Hilkemeijer,</w:t>
      </w:r>
      <w:r>
        <w:rPr>
          <w:color w:val="242424"/>
          <w:spacing w:val="-5"/>
          <w:sz w:val="18"/>
        </w:rPr>
        <w:t xml:space="preserve"> </w:t>
      </w:r>
      <w:r>
        <w:rPr>
          <w:color w:val="242424"/>
          <w:sz w:val="18"/>
        </w:rPr>
        <w:t>‘Human</w:t>
      </w:r>
      <w:r>
        <w:rPr>
          <w:color w:val="242424"/>
          <w:spacing w:val="-5"/>
          <w:sz w:val="18"/>
        </w:rPr>
        <w:t xml:space="preserve"> </w:t>
      </w:r>
      <w:r>
        <w:rPr>
          <w:color w:val="242424"/>
          <w:sz w:val="18"/>
        </w:rPr>
        <w:t>Rights</w:t>
      </w:r>
      <w:r>
        <w:rPr>
          <w:color w:val="242424"/>
          <w:spacing w:val="-6"/>
          <w:sz w:val="18"/>
        </w:rPr>
        <w:t xml:space="preserve"> </w:t>
      </w:r>
      <w:r>
        <w:rPr>
          <w:color w:val="242424"/>
          <w:sz w:val="18"/>
        </w:rPr>
        <w:t xml:space="preserve">Scrutiny in Tasmania’s Parliament: Time to Move Beyond the Smoke and Mirrors’ </w:t>
      </w:r>
      <w:r>
        <w:rPr>
          <w:sz w:val="18"/>
        </w:rPr>
        <w:t xml:space="preserve">in Julie Debeljak and Laura Greenfell (eds), </w:t>
      </w:r>
      <w:r>
        <w:rPr>
          <w:i/>
          <w:sz w:val="18"/>
        </w:rPr>
        <w:t>Law Making</w:t>
      </w:r>
      <w:r>
        <w:rPr>
          <w:i/>
          <w:spacing w:val="-1"/>
          <w:sz w:val="18"/>
        </w:rPr>
        <w:t xml:space="preserve"> </w:t>
      </w:r>
      <w:r>
        <w:rPr>
          <w:i/>
          <w:sz w:val="18"/>
        </w:rPr>
        <w:t>and Human</w:t>
      </w:r>
      <w:r>
        <w:rPr>
          <w:i/>
          <w:spacing w:val="-1"/>
          <w:sz w:val="18"/>
        </w:rPr>
        <w:t xml:space="preserve"> </w:t>
      </w:r>
      <w:r>
        <w:rPr>
          <w:i/>
          <w:sz w:val="18"/>
        </w:rPr>
        <w:t xml:space="preserve">Rights </w:t>
      </w:r>
      <w:r>
        <w:rPr>
          <w:sz w:val="18"/>
        </w:rPr>
        <w:t>(LawBook</w:t>
      </w:r>
      <w:r>
        <w:rPr>
          <w:spacing w:val="-1"/>
          <w:sz w:val="18"/>
        </w:rPr>
        <w:t xml:space="preserve"> </w:t>
      </w:r>
      <w:r>
        <w:rPr>
          <w:sz w:val="18"/>
        </w:rPr>
        <w:t>Co,</w:t>
      </w:r>
      <w:r>
        <w:rPr>
          <w:spacing w:val="-1"/>
          <w:sz w:val="18"/>
        </w:rPr>
        <w:t xml:space="preserve"> </w:t>
      </w:r>
      <w:r>
        <w:rPr>
          <w:sz w:val="18"/>
        </w:rPr>
        <w:t>2020) ch</w:t>
      </w:r>
      <w:r>
        <w:rPr>
          <w:spacing w:val="-1"/>
          <w:sz w:val="18"/>
        </w:rPr>
        <w:t xml:space="preserve"> </w:t>
      </w:r>
      <w:r>
        <w:rPr>
          <w:sz w:val="18"/>
        </w:rPr>
        <w:t>17 [17.50].</w:t>
      </w:r>
      <w:r>
        <w:rPr>
          <w:spacing w:val="-1"/>
          <w:sz w:val="18"/>
        </w:rPr>
        <w:t xml:space="preserve"> </w:t>
      </w:r>
      <w:r>
        <w:rPr>
          <w:sz w:val="18"/>
        </w:rPr>
        <w:t>The role and impact of the Committee</w:t>
      </w:r>
      <w:r>
        <w:rPr>
          <w:spacing w:val="-1"/>
          <w:sz w:val="18"/>
        </w:rPr>
        <w:t xml:space="preserve"> </w:t>
      </w:r>
      <w:r>
        <w:rPr>
          <w:sz w:val="18"/>
        </w:rPr>
        <w:t xml:space="preserve">is discussed further at </w:t>
      </w:r>
      <w:r>
        <w:rPr>
          <w:spacing w:val="-2"/>
          <w:sz w:val="18"/>
        </w:rPr>
        <w:t>[3.3.1]–[3.3.3].</w:t>
      </w:r>
    </w:p>
    <w:p w14:paraId="7CB25EAC" w14:textId="77777777" w:rsidR="008A4099" w:rsidRDefault="006A6EE2">
      <w:pPr>
        <w:spacing w:before="24" w:line="242" w:lineRule="auto"/>
        <w:ind w:left="160" w:right="674"/>
        <w:jc w:val="both"/>
        <w:rPr>
          <w:sz w:val="18"/>
        </w:rPr>
      </w:pPr>
      <w:r>
        <w:rPr>
          <w:sz w:val="18"/>
          <w:vertAlign w:val="superscript"/>
        </w:rPr>
        <w:t>171</w:t>
      </w:r>
      <w:r>
        <w:rPr>
          <w:sz w:val="18"/>
        </w:rPr>
        <w:t xml:space="preserve"> Meg Webb, ‘Premier, An Emergency Committee Will Protect Tasmanian Democracy’, </w:t>
      </w:r>
      <w:r>
        <w:rPr>
          <w:i/>
          <w:sz w:val="18"/>
        </w:rPr>
        <w:t xml:space="preserve">Mercury </w:t>
      </w:r>
      <w:r>
        <w:rPr>
          <w:sz w:val="18"/>
        </w:rPr>
        <w:t>(online, 8</w:t>
      </w:r>
      <w:r>
        <w:rPr>
          <w:spacing w:val="-1"/>
          <w:sz w:val="18"/>
        </w:rPr>
        <w:t xml:space="preserve"> </w:t>
      </w:r>
      <w:r>
        <w:rPr>
          <w:sz w:val="18"/>
        </w:rPr>
        <w:t xml:space="preserve">April 2020). Gogarty and Appleby argue that it is possible to interpret the directions and declarations made under the </w:t>
      </w:r>
      <w:r>
        <w:rPr>
          <w:i/>
          <w:sz w:val="18"/>
        </w:rPr>
        <w:t xml:space="preserve">Public Health Act 1997 </w:t>
      </w:r>
      <w:r>
        <w:rPr>
          <w:sz w:val="18"/>
        </w:rPr>
        <w:t>(Tas) as regulations, which would then bring them under the remit of the Subordinate Legislation Committee. See Gogarty</w:t>
      </w:r>
      <w:r>
        <w:rPr>
          <w:spacing w:val="-1"/>
          <w:sz w:val="18"/>
        </w:rPr>
        <w:t xml:space="preserve"> </w:t>
      </w:r>
      <w:r>
        <w:rPr>
          <w:sz w:val="18"/>
        </w:rPr>
        <w:t>and</w:t>
      </w:r>
      <w:r>
        <w:rPr>
          <w:spacing w:val="-2"/>
          <w:sz w:val="18"/>
        </w:rPr>
        <w:t xml:space="preserve"> </w:t>
      </w:r>
      <w:r>
        <w:rPr>
          <w:sz w:val="18"/>
        </w:rPr>
        <w:t>Appleby,</w:t>
      </w:r>
      <w:r>
        <w:rPr>
          <w:spacing w:val="-2"/>
          <w:sz w:val="18"/>
        </w:rPr>
        <w:t xml:space="preserve"> </w:t>
      </w:r>
      <w:r>
        <w:rPr>
          <w:sz w:val="18"/>
        </w:rPr>
        <w:t>‘The</w:t>
      </w:r>
      <w:r>
        <w:rPr>
          <w:spacing w:val="-4"/>
          <w:sz w:val="18"/>
        </w:rPr>
        <w:t xml:space="preserve"> </w:t>
      </w:r>
      <w:r>
        <w:rPr>
          <w:sz w:val="18"/>
        </w:rPr>
        <w:t>Role</w:t>
      </w:r>
      <w:r>
        <w:rPr>
          <w:spacing w:val="-3"/>
          <w:sz w:val="18"/>
        </w:rPr>
        <w:t xml:space="preserve"> </w:t>
      </w:r>
      <w:r>
        <w:rPr>
          <w:sz w:val="18"/>
        </w:rPr>
        <w:t>of</w:t>
      </w:r>
      <w:r>
        <w:rPr>
          <w:spacing w:val="-2"/>
          <w:sz w:val="18"/>
        </w:rPr>
        <w:t xml:space="preserve"> </w:t>
      </w:r>
      <w:r>
        <w:rPr>
          <w:sz w:val="18"/>
        </w:rPr>
        <w:t>Tasmania’s</w:t>
      </w:r>
      <w:r>
        <w:rPr>
          <w:spacing w:val="-4"/>
          <w:sz w:val="18"/>
        </w:rPr>
        <w:t xml:space="preserve"> </w:t>
      </w:r>
      <w:r>
        <w:rPr>
          <w:sz w:val="18"/>
        </w:rPr>
        <w:t>Subordinate</w:t>
      </w:r>
      <w:r>
        <w:rPr>
          <w:spacing w:val="-3"/>
          <w:sz w:val="18"/>
        </w:rPr>
        <w:t xml:space="preserve"> </w:t>
      </w:r>
      <w:r>
        <w:rPr>
          <w:sz w:val="18"/>
        </w:rPr>
        <w:t>Legislation</w:t>
      </w:r>
      <w:r>
        <w:rPr>
          <w:spacing w:val="-2"/>
          <w:sz w:val="18"/>
        </w:rPr>
        <w:t xml:space="preserve"> </w:t>
      </w:r>
      <w:r>
        <w:rPr>
          <w:sz w:val="18"/>
        </w:rPr>
        <w:t>Committee</w:t>
      </w:r>
      <w:r>
        <w:rPr>
          <w:spacing w:val="-4"/>
          <w:sz w:val="18"/>
        </w:rPr>
        <w:t xml:space="preserve"> </w:t>
      </w:r>
      <w:r>
        <w:rPr>
          <w:sz w:val="18"/>
        </w:rPr>
        <w:t>during</w:t>
      </w:r>
      <w:r>
        <w:rPr>
          <w:spacing w:val="-4"/>
          <w:sz w:val="18"/>
        </w:rPr>
        <w:t xml:space="preserve"> </w:t>
      </w:r>
      <w:r>
        <w:rPr>
          <w:sz w:val="18"/>
        </w:rPr>
        <w:t>the</w:t>
      </w:r>
      <w:r>
        <w:rPr>
          <w:spacing w:val="-4"/>
          <w:sz w:val="18"/>
        </w:rPr>
        <w:t xml:space="preserve"> </w:t>
      </w:r>
      <w:r>
        <w:rPr>
          <w:sz w:val="18"/>
        </w:rPr>
        <w:t>COVID-19</w:t>
      </w:r>
      <w:r>
        <w:rPr>
          <w:spacing w:val="-2"/>
          <w:sz w:val="18"/>
        </w:rPr>
        <w:t xml:space="preserve"> </w:t>
      </w:r>
      <w:r>
        <w:rPr>
          <w:sz w:val="18"/>
        </w:rPr>
        <w:t>Emergency’</w:t>
      </w:r>
      <w:r>
        <w:rPr>
          <w:spacing w:val="-3"/>
          <w:sz w:val="18"/>
        </w:rPr>
        <w:t xml:space="preserve"> </w:t>
      </w:r>
      <w:r>
        <w:rPr>
          <w:sz w:val="18"/>
        </w:rPr>
        <w:t xml:space="preserve">192– </w:t>
      </w:r>
      <w:r>
        <w:rPr>
          <w:spacing w:val="-4"/>
          <w:sz w:val="18"/>
        </w:rPr>
        <w:t>194.</w:t>
      </w:r>
    </w:p>
    <w:p w14:paraId="7CB25EAD" w14:textId="77777777" w:rsidR="008A4099" w:rsidRDefault="006A6EE2">
      <w:pPr>
        <w:spacing w:before="13" w:line="242" w:lineRule="auto"/>
        <w:ind w:left="160" w:right="674"/>
        <w:jc w:val="both"/>
        <w:rPr>
          <w:sz w:val="18"/>
        </w:rPr>
      </w:pPr>
      <w:r>
        <w:rPr>
          <w:sz w:val="18"/>
          <w:vertAlign w:val="superscript"/>
        </w:rPr>
        <w:t>172</w:t>
      </w:r>
      <w:r>
        <w:rPr>
          <w:sz w:val="18"/>
        </w:rPr>
        <w:t xml:space="preserve"> These have included waiving curfews for vaccination sites, allowing online court proceedings, extending the expiration date</w:t>
      </w:r>
      <w:r>
        <w:rPr>
          <w:spacing w:val="-12"/>
          <w:sz w:val="18"/>
        </w:rPr>
        <w:t xml:space="preserve"> </w:t>
      </w:r>
      <w:r>
        <w:rPr>
          <w:sz w:val="18"/>
        </w:rPr>
        <w:t>of</w:t>
      </w:r>
      <w:r>
        <w:rPr>
          <w:spacing w:val="-10"/>
          <w:sz w:val="18"/>
        </w:rPr>
        <w:t xml:space="preserve"> </w:t>
      </w:r>
      <w:r>
        <w:rPr>
          <w:sz w:val="18"/>
        </w:rPr>
        <w:t>planning</w:t>
      </w:r>
      <w:r>
        <w:rPr>
          <w:spacing w:val="-10"/>
          <w:sz w:val="18"/>
        </w:rPr>
        <w:t xml:space="preserve"> </w:t>
      </w:r>
      <w:r>
        <w:rPr>
          <w:sz w:val="18"/>
        </w:rPr>
        <w:t>approvals,</w:t>
      </w:r>
      <w:r>
        <w:rPr>
          <w:spacing w:val="-9"/>
          <w:sz w:val="18"/>
        </w:rPr>
        <w:t xml:space="preserve"> </w:t>
      </w:r>
      <w:r>
        <w:rPr>
          <w:sz w:val="18"/>
        </w:rPr>
        <w:t>and</w:t>
      </w:r>
      <w:r>
        <w:rPr>
          <w:spacing w:val="-10"/>
          <w:sz w:val="18"/>
        </w:rPr>
        <w:t xml:space="preserve"> </w:t>
      </w:r>
      <w:r>
        <w:rPr>
          <w:sz w:val="18"/>
        </w:rPr>
        <w:t>allowing</w:t>
      </w:r>
      <w:r>
        <w:rPr>
          <w:spacing w:val="-12"/>
          <w:sz w:val="18"/>
        </w:rPr>
        <w:t xml:space="preserve"> </w:t>
      </w:r>
      <w:r>
        <w:rPr>
          <w:sz w:val="18"/>
        </w:rPr>
        <w:t>pop-up</w:t>
      </w:r>
      <w:r>
        <w:rPr>
          <w:spacing w:val="-9"/>
          <w:sz w:val="18"/>
        </w:rPr>
        <w:t xml:space="preserve"> </w:t>
      </w:r>
      <w:r>
        <w:rPr>
          <w:sz w:val="18"/>
        </w:rPr>
        <w:t>health</w:t>
      </w:r>
      <w:r>
        <w:rPr>
          <w:spacing w:val="-10"/>
          <w:sz w:val="18"/>
        </w:rPr>
        <w:t xml:space="preserve"> </w:t>
      </w:r>
      <w:r>
        <w:rPr>
          <w:sz w:val="18"/>
        </w:rPr>
        <w:t>clinics</w:t>
      </w:r>
      <w:r>
        <w:rPr>
          <w:spacing w:val="-12"/>
          <w:sz w:val="18"/>
        </w:rPr>
        <w:t xml:space="preserve"> </w:t>
      </w:r>
      <w:r>
        <w:rPr>
          <w:sz w:val="18"/>
        </w:rPr>
        <w:t>without</w:t>
      </w:r>
      <w:r>
        <w:rPr>
          <w:spacing w:val="-10"/>
          <w:sz w:val="18"/>
        </w:rPr>
        <w:t xml:space="preserve"> </w:t>
      </w:r>
      <w:r>
        <w:rPr>
          <w:sz w:val="18"/>
        </w:rPr>
        <w:t>planning</w:t>
      </w:r>
      <w:r>
        <w:rPr>
          <w:spacing w:val="-8"/>
          <w:sz w:val="18"/>
        </w:rPr>
        <w:t xml:space="preserve"> </w:t>
      </w:r>
      <w:r>
        <w:rPr>
          <w:sz w:val="18"/>
        </w:rPr>
        <w:t>approvals:</w:t>
      </w:r>
      <w:r>
        <w:rPr>
          <w:spacing w:val="-8"/>
          <w:sz w:val="18"/>
        </w:rPr>
        <w:t xml:space="preserve"> </w:t>
      </w:r>
      <w:hyperlink r:id="rId81">
        <w:r>
          <w:rPr>
            <w:sz w:val="18"/>
          </w:rPr>
          <w:t>Notice</w:t>
        </w:r>
        <w:r>
          <w:rPr>
            <w:spacing w:val="-12"/>
            <w:sz w:val="18"/>
          </w:rPr>
          <w:t xml:space="preserve"> </w:t>
        </w:r>
        <w:r>
          <w:rPr>
            <w:sz w:val="18"/>
          </w:rPr>
          <w:t>under</w:t>
        </w:r>
        <w:r>
          <w:rPr>
            <w:spacing w:val="-8"/>
            <w:sz w:val="18"/>
          </w:rPr>
          <w:t xml:space="preserve"> </w:t>
        </w:r>
        <w:r>
          <w:rPr>
            <w:sz w:val="18"/>
          </w:rPr>
          <w:t>s</w:t>
        </w:r>
        <w:r>
          <w:rPr>
            <w:spacing w:val="-10"/>
            <w:sz w:val="18"/>
          </w:rPr>
          <w:t xml:space="preserve"> </w:t>
        </w:r>
        <w:r>
          <w:rPr>
            <w:sz w:val="18"/>
          </w:rPr>
          <w:t>17</w:t>
        </w:r>
        <w:r>
          <w:rPr>
            <w:spacing w:val="-10"/>
            <w:sz w:val="18"/>
          </w:rPr>
          <w:t xml:space="preserve"> </w:t>
        </w:r>
        <w:r>
          <w:rPr>
            <w:sz w:val="18"/>
          </w:rPr>
          <w:t>of</w:t>
        </w:r>
        <w:r>
          <w:rPr>
            <w:spacing w:val="-11"/>
            <w:sz w:val="18"/>
          </w:rPr>
          <w:t xml:space="preserve"> </w:t>
        </w:r>
        <w:r>
          <w:rPr>
            <w:sz w:val="18"/>
          </w:rPr>
          <w:t>the</w:t>
        </w:r>
        <w:r>
          <w:rPr>
            <w:spacing w:val="-11"/>
            <w:sz w:val="18"/>
          </w:rPr>
          <w:t xml:space="preserve"> </w:t>
        </w:r>
        <w:r>
          <w:rPr>
            <w:i/>
            <w:sz w:val="18"/>
          </w:rPr>
          <w:t>COVID-19</w:t>
        </w:r>
      </w:hyperlink>
      <w:r>
        <w:rPr>
          <w:i/>
          <w:sz w:val="18"/>
        </w:rPr>
        <w:t xml:space="preserve"> </w:t>
      </w:r>
      <w:hyperlink r:id="rId82">
        <w:r>
          <w:rPr>
            <w:i/>
            <w:sz w:val="18"/>
          </w:rPr>
          <w:t xml:space="preserve">Disease Emergency (Miscellaneous Provisions) Act 2020 </w:t>
        </w:r>
        <w:r>
          <w:rPr>
            <w:sz w:val="18"/>
          </w:rPr>
          <w:t xml:space="preserve">(Tas) </w:t>
        </w:r>
        <w:r>
          <w:rPr>
            <w:i/>
            <w:sz w:val="18"/>
          </w:rPr>
          <w:t>(Magistrates Court – Electronic Service and Witnessing)</w:t>
        </w:r>
        <w:r>
          <w:rPr>
            <w:sz w:val="18"/>
          </w:rPr>
          <w:t>;</w:t>
        </w:r>
      </w:hyperlink>
      <w:r>
        <w:rPr>
          <w:sz w:val="18"/>
        </w:rPr>
        <w:t xml:space="preserve"> </w:t>
      </w:r>
      <w:hyperlink r:id="rId83">
        <w:r>
          <w:rPr>
            <w:sz w:val="18"/>
          </w:rPr>
          <w:t xml:space="preserve">Notice under s 20 of the </w:t>
        </w:r>
        <w:r>
          <w:rPr>
            <w:i/>
            <w:sz w:val="18"/>
          </w:rPr>
          <w:t xml:space="preserve">COVID-19 Disease Emergency (Miscellaneous Provisions) Act 2020 </w:t>
        </w:r>
        <w:r>
          <w:rPr>
            <w:sz w:val="18"/>
          </w:rPr>
          <w:t xml:space="preserve">(Tas) </w:t>
        </w:r>
        <w:r>
          <w:rPr>
            <w:i/>
            <w:sz w:val="18"/>
          </w:rPr>
          <w:t>(Magistrates Court –</w:t>
        </w:r>
      </w:hyperlink>
      <w:r>
        <w:rPr>
          <w:i/>
          <w:sz w:val="18"/>
        </w:rPr>
        <w:t xml:space="preserve"> </w:t>
      </w:r>
      <w:hyperlink r:id="rId84">
        <w:r>
          <w:rPr>
            <w:i/>
            <w:spacing w:val="-2"/>
            <w:sz w:val="18"/>
          </w:rPr>
          <w:t>Proceedings)</w:t>
        </w:r>
        <w:r>
          <w:rPr>
            <w:spacing w:val="-2"/>
            <w:sz w:val="18"/>
          </w:rPr>
          <w:t>.</w:t>
        </w:r>
      </w:hyperlink>
    </w:p>
    <w:p w14:paraId="7CB25EAE"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EAF" w14:textId="77777777" w:rsidR="008A4099" w:rsidRDefault="008A4099">
      <w:pPr>
        <w:pStyle w:val="BodyText"/>
        <w:spacing w:before="194"/>
      </w:pPr>
    </w:p>
    <w:p w14:paraId="7CB25EB0" w14:textId="77777777" w:rsidR="008A4099" w:rsidRDefault="006A6EE2">
      <w:pPr>
        <w:pStyle w:val="BodyText"/>
        <w:ind w:left="160" w:right="680"/>
      </w:pPr>
      <w:r>
        <w:t>Recovery Advisory Council (‘PESRAC’).</w:t>
      </w:r>
      <w:r>
        <w:rPr>
          <w:position w:val="7"/>
          <w:sz w:val="13"/>
        </w:rPr>
        <w:t>173</w:t>
      </w:r>
      <w:r>
        <w:rPr>
          <w:spacing w:val="37"/>
          <w:position w:val="7"/>
          <w:sz w:val="13"/>
        </w:rPr>
        <w:t xml:space="preserve"> </w:t>
      </w:r>
      <w:r>
        <w:t>Neither body was directed to consider the legislative or policy responses from a human rights perspective.</w:t>
      </w:r>
    </w:p>
    <w:p w14:paraId="7CB25EB1" w14:textId="77777777" w:rsidR="008A4099" w:rsidRDefault="006A6EE2">
      <w:pPr>
        <w:pStyle w:val="ListParagraph"/>
        <w:numPr>
          <w:ilvl w:val="2"/>
          <w:numId w:val="6"/>
        </w:numPr>
        <w:tabs>
          <w:tab w:val="left" w:pos="879"/>
        </w:tabs>
        <w:ind w:right="675" w:firstLine="0"/>
        <w:jc w:val="both"/>
      </w:pPr>
      <w:r>
        <w:t>As with Tasmania, jurisdictions with human rights enactments were required to implement an urgent</w:t>
      </w:r>
      <w:r>
        <w:rPr>
          <w:spacing w:val="-6"/>
        </w:rPr>
        <w:t xml:space="preserve"> </w:t>
      </w:r>
      <w:r>
        <w:t>response</w:t>
      </w:r>
      <w:r>
        <w:rPr>
          <w:spacing w:val="-7"/>
        </w:rPr>
        <w:t xml:space="preserve"> </w:t>
      </w:r>
      <w:r>
        <w:t>to</w:t>
      </w:r>
      <w:r>
        <w:rPr>
          <w:spacing w:val="-7"/>
        </w:rPr>
        <w:t xml:space="preserve"> </w:t>
      </w:r>
      <w:r>
        <w:t>the</w:t>
      </w:r>
      <w:r>
        <w:rPr>
          <w:spacing w:val="-7"/>
        </w:rPr>
        <w:t xml:space="preserve"> </w:t>
      </w:r>
      <w:r>
        <w:t>emerging</w:t>
      </w:r>
      <w:r>
        <w:rPr>
          <w:spacing w:val="-7"/>
        </w:rPr>
        <w:t xml:space="preserve"> </w:t>
      </w:r>
      <w:r>
        <w:t>pandemic</w:t>
      </w:r>
      <w:r>
        <w:rPr>
          <w:spacing w:val="-7"/>
        </w:rPr>
        <w:t xml:space="preserve"> </w:t>
      </w:r>
      <w:r>
        <w:t>and,</w:t>
      </w:r>
      <w:r>
        <w:rPr>
          <w:spacing w:val="-7"/>
        </w:rPr>
        <w:t xml:space="preserve"> </w:t>
      </w:r>
      <w:r>
        <w:t>in</w:t>
      </w:r>
      <w:r>
        <w:rPr>
          <w:spacing w:val="-5"/>
        </w:rPr>
        <w:t xml:space="preserve"> </w:t>
      </w:r>
      <w:r>
        <w:t>responding,</w:t>
      </w:r>
      <w:r>
        <w:rPr>
          <w:spacing w:val="-7"/>
        </w:rPr>
        <w:t xml:space="preserve"> </w:t>
      </w:r>
      <w:r>
        <w:t>did</w:t>
      </w:r>
      <w:r>
        <w:rPr>
          <w:spacing w:val="-7"/>
        </w:rPr>
        <w:t xml:space="preserve"> </w:t>
      </w:r>
      <w:r>
        <w:t>impose</w:t>
      </w:r>
      <w:r>
        <w:rPr>
          <w:spacing w:val="-6"/>
        </w:rPr>
        <w:t xml:space="preserve"> </w:t>
      </w:r>
      <w:r>
        <w:t>restrictions</w:t>
      </w:r>
      <w:r>
        <w:rPr>
          <w:spacing w:val="-4"/>
        </w:rPr>
        <w:t xml:space="preserve"> </w:t>
      </w:r>
      <w:r>
        <w:t>on</w:t>
      </w:r>
      <w:r>
        <w:rPr>
          <w:spacing w:val="-7"/>
        </w:rPr>
        <w:t xml:space="preserve"> </w:t>
      </w:r>
      <w:r>
        <w:t>human</w:t>
      </w:r>
      <w:r>
        <w:rPr>
          <w:spacing w:val="-7"/>
        </w:rPr>
        <w:t xml:space="preserve"> </w:t>
      </w:r>
      <w:r>
        <w:t>rights, which, in some cases, were greater than the Tasmanian restrictions. In particular, the Victorian Government’s response to COVID-19 throughout the pandemic has been criticised for raising significant</w:t>
      </w:r>
      <w:r>
        <w:rPr>
          <w:spacing w:val="-14"/>
        </w:rPr>
        <w:t xml:space="preserve"> </w:t>
      </w:r>
      <w:r>
        <w:t>human</w:t>
      </w:r>
      <w:r>
        <w:rPr>
          <w:spacing w:val="-14"/>
        </w:rPr>
        <w:t xml:space="preserve"> </w:t>
      </w:r>
      <w:r>
        <w:t>rights</w:t>
      </w:r>
      <w:r>
        <w:rPr>
          <w:spacing w:val="-14"/>
        </w:rPr>
        <w:t xml:space="preserve"> </w:t>
      </w:r>
      <w:r>
        <w:t>concerns,</w:t>
      </w:r>
      <w:r>
        <w:rPr>
          <w:spacing w:val="-13"/>
        </w:rPr>
        <w:t xml:space="preserve"> </w:t>
      </w:r>
      <w:r>
        <w:t>with</w:t>
      </w:r>
      <w:r>
        <w:rPr>
          <w:spacing w:val="-14"/>
        </w:rPr>
        <w:t xml:space="preserve"> </w:t>
      </w:r>
      <w:r>
        <w:t>some</w:t>
      </w:r>
      <w:r>
        <w:rPr>
          <w:spacing w:val="-13"/>
        </w:rPr>
        <w:t xml:space="preserve"> </w:t>
      </w:r>
      <w:r>
        <w:t>measures</w:t>
      </w:r>
      <w:r>
        <w:rPr>
          <w:spacing w:val="-14"/>
        </w:rPr>
        <w:t xml:space="preserve"> </w:t>
      </w:r>
      <w:r>
        <w:t>being</w:t>
      </w:r>
      <w:r>
        <w:rPr>
          <w:spacing w:val="-13"/>
        </w:rPr>
        <w:t xml:space="preserve"> </w:t>
      </w:r>
      <w:r>
        <w:t>viewed</w:t>
      </w:r>
      <w:r>
        <w:rPr>
          <w:spacing w:val="-13"/>
        </w:rPr>
        <w:t xml:space="preserve"> </w:t>
      </w:r>
      <w:r>
        <w:t>as</w:t>
      </w:r>
      <w:r>
        <w:rPr>
          <w:spacing w:val="-12"/>
        </w:rPr>
        <w:t xml:space="preserve"> </w:t>
      </w:r>
      <w:r>
        <w:t>discriminatory.</w:t>
      </w:r>
      <w:r>
        <w:rPr>
          <w:spacing w:val="-14"/>
        </w:rPr>
        <w:t xml:space="preserve"> </w:t>
      </w:r>
      <w:r>
        <w:t>Melbourne</w:t>
      </w:r>
      <w:r>
        <w:rPr>
          <w:spacing w:val="-12"/>
        </w:rPr>
        <w:t xml:space="preserve"> </w:t>
      </w:r>
      <w:r>
        <w:t>was the site of some of the largest protests against lockdown measures, border restrictions, and vaccine mandates.</w:t>
      </w:r>
      <w:r>
        <w:rPr>
          <w:position w:val="7"/>
          <w:sz w:val="13"/>
        </w:rPr>
        <w:t>174</w:t>
      </w:r>
      <w:r>
        <w:rPr>
          <w:spacing w:val="40"/>
          <w:position w:val="7"/>
          <w:sz w:val="13"/>
        </w:rPr>
        <w:t xml:space="preserve"> </w:t>
      </w:r>
      <w:r>
        <w:t>In contrast to the process by which human rights considerations were addressed in Tasmania, there was an obligation in Victoria to identify any implications for human rights in a clear and transparent</w:t>
      </w:r>
      <w:r>
        <w:rPr>
          <w:spacing w:val="-1"/>
        </w:rPr>
        <w:t xml:space="preserve"> </w:t>
      </w:r>
      <w:r>
        <w:t>manner in</w:t>
      </w:r>
      <w:r>
        <w:rPr>
          <w:spacing w:val="-2"/>
        </w:rPr>
        <w:t xml:space="preserve"> </w:t>
      </w:r>
      <w:r>
        <w:t>the passage of</w:t>
      </w:r>
      <w:r>
        <w:rPr>
          <w:spacing w:val="-2"/>
        </w:rPr>
        <w:t xml:space="preserve"> </w:t>
      </w:r>
      <w:r>
        <w:t>legislation and associated regulations. In some instances, the scrutiny process also led to reviews and calls for redress for violations of human rights.</w:t>
      </w:r>
    </w:p>
    <w:p w14:paraId="7CB25EB2" w14:textId="77777777" w:rsidR="008A4099" w:rsidRDefault="006A6EE2">
      <w:pPr>
        <w:pStyle w:val="ListParagraph"/>
        <w:numPr>
          <w:ilvl w:val="2"/>
          <w:numId w:val="6"/>
        </w:numPr>
        <w:tabs>
          <w:tab w:val="left" w:pos="879"/>
        </w:tabs>
        <w:spacing w:before="217"/>
        <w:ind w:right="678" w:firstLine="0"/>
        <w:jc w:val="both"/>
      </w:pPr>
      <w:r>
        <w:t>In</w:t>
      </w:r>
      <w:r>
        <w:rPr>
          <w:spacing w:val="-10"/>
        </w:rPr>
        <w:t xml:space="preserve"> </w:t>
      </w:r>
      <w:r>
        <w:t>Victoria,</w:t>
      </w:r>
      <w:r>
        <w:rPr>
          <w:spacing w:val="-9"/>
        </w:rPr>
        <w:t xml:space="preserve"> </w:t>
      </w:r>
      <w:r>
        <w:t>the</w:t>
      </w:r>
      <w:r>
        <w:rPr>
          <w:spacing w:val="-10"/>
        </w:rPr>
        <w:t xml:space="preserve"> </w:t>
      </w:r>
      <w:r>
        <w:t>Covid</w:t>
      </w:r>
      <w:r>
        <w:rPr>
          <w:spacing w:val="-11"/>
        </w:rPr>
        <w:t xml:space="preserve"> </w:t>
      </w:r>
      <w:r>
        <w:t>Bill</w:t>
      </w:r>
      <w:r>
        <w:rPr>
          <w:spacing w:val="-12"/>
        </w:rPr>
        <w:t xml:space="preserve"> </w:t>
      </w:r>
      <w:r>
        <w:t>was</w:t>
      </w:r>
      <w:r>
        <w:rPr>
          <w:spacing w:val="-10"/>
        </w:rPr>
        <w:t xml:space="preserve"> </w:t>
      </w:r>
      <w:r>
        <w:t>accompanied</w:t>
      </w:r>
      <w:r>
        <w:rPr>
          <w:spacing w:val="-13"/>
        </w:rPr>
        <w:t xml:space="preserve"> </w:t>
      </w:r>
      <w:r>
        <w:t>by</w:t>
      </w:r>
      <w:r>
        <w:rPr>
          <w:spacing w:val="-11"/>
        </w:rPr>
        <w:t xml:space="preserve"> </w:t>
      </w:r>
      <w:r>
        <w:t>a</w:t>
      </w:r>
      <w:r>
        <w:rPr>
          <w:spacing w:val="-10"/>
        </w:rPr>
        <w:t xml:space="preserve"> </w:t>
      </w:r>
      <w:r>
        <w:t>statement</w:t>
      </w:r>
      <w:r>
        <w:rPr>
          <w:spacing w:val="-10"/>
        </w:rPr>
        <w:t xml:space="preserve"> </w:t>
      </w:r>
      <w:r>
        <w:t>of</w:t>
      </w:r>
      <w:r>
        <w:rPr>
          <w:spacing w:val="-9"/>
        </w:rPr>
        <w:t xml:space="preserve"> </w:t>
      </w:r>
      <w:r>
        <w:t>compatibility</w:t>
      </w:r>
      <w:r>
        <w:rPr>
          <w:spacing w:val="-11"/>
        </w:rPr>
        <w:t xml:space="preserve"> </w:t>
      </w:r>
      <w:r>
        <w:t>detailing</w:t>
      </w:r>
      <w:r>
        <w:rPr>
          <w:spacing w:val="-13"/>
        </w:rPr>
        <w:t xml:space="preserve"> </w:t>
      </w:r>
      <w:r>
        <w:t>the</w:t>
      </w:r>
      <w:r>
        <w:rPr>
          <w:spacing w:val="-10"/>
        </w:rPr>
        <w:t xml:space="preserve"> </w:t>
      </w:r>
      <w:r>
        <w:t>Bill’s effect on human rights and justifications for provisions limiting rights.</w:t>
      </w:r>
      <w:r>
        <w:rPr>
          <w:position w:val="7"/>
          <w:sz w:val="13"/>
        </w:rPr>
        <w:t xml:space="preserve">175 </w:t>
      </w:r>
      <w:r>
        <w:t>The Victorian Equal Opportunity and Human Rights Commissioner considered that the statement:</w:t>
      </w:r>
    </w:p>
    <w:p w14:paraId="7CB25EB3" w14:textId="77777777" w:rsidR="008A4099" w:rsidRDefault="006A6EE2">
      <w:pPr>
        <w:pStyle w:val="BodyText"/>
        <w:spacing w:before="238" w:line="276" w:lineRule="auto"/>
        <w:ind w:left="868" w:right="1339"/>
        <w:jc w:val="both"/>
        <w:rPr>
          <w:sz w:val="13"/>
        </w:rPr>
      </w:pPr>
      <w:r>
        <w:t>shows</w:t>
      </w:r>
      <w:r>
        <w:rPr>
          <w:spacing w:val="-8"/>
        </w:rPr>
        <w:t xml:space="preserve"> </w:t>
      </w:r>
      <w:r>
        <w:t>that</w:t>
      </w:r>
      <w:r>
        <w:rPr>
          <w:spacing w:val="-8"/>
        </w:rPr>
        <w:t xml:space="preserve"> </w:t>
      </w:r>
      <w:r>
        <w:t>[the</w:t>
      </w:r>
      <w:r>
        <w:rPr>
          <w:spacing w:val="-8"/>
        </w:rPr>
        <w:t xml:space="preserve"> </w:t>
      </w:r>
      <w:r>
        <w:t>Government]</w:t>
      </w:r>
      <w:r>
        <w:rPr>
          <w:spacing w:val="-7"/>
        </w:rPr>
        <w:t xml:space="preserve"> </w:t>
      </w:r>
      <w:r>
        <w:t>has</w:t>
      </w:r>
      <w:r>
        <w:rPr>
          <w:spacing w:val="-7"/>
        </w:rPr>
        <w:t xml:space="preserve"> </w:t>
      </w:r>
      <w:r>
        <w:t>given</w:t>
      </w:r>
      <w:r>
        <w:rPr>
          <w:spacing w:val="-8"/>
        </w:rPr>
        <w:t xml:space="preserve"> </w:t>
      </w:r>
      <w:r>
        <w:t>careful</w:t>
      </w:r>
      <w:r>
        <w:rPr>
          <w:spacing w:val="-7"/>
        </w:rPr>
        <w:t xml:space="preserve"> </w:t>
      </w:r>
      <w:r>
        <w:t>consideration</w:t>
      </w:r>
      <w:r>
        <w:rPr>
          <w:spacing w:val="-10"/>
        </w:rPr>
        <w:t xml:space="preserve"> </w:t>
      </w:r>
      <w:r>
        <w:t>to</w:t>
      </w:r>
      <w:r>
        <w:rPr>
          <w:spacing w:val="-8"/>
        </w:rPr>
        <w:t xml:space="preserve"> </w:t>
      </w:r>
      <w:r>
        <w:t>balancing</w:t>
      </w:r>
      <w:r>
        <w:rPr>
          <w:spacing w:val="-10"/>
        </w:rPr>
        <w:t xml:space="preserve"> </w:t>
      </w:r>
      <w:r>
        <w:t>human</w:t>
      </w:r>
      <w:r>
        <w:rPr>
          <w:spacing w:val="-8"/>
        </w:rPr>
        <w:t xml:space="preserve"> </w:t>
      </w:r>
      <w:r>
        <w:t>rights and</w:t>
      </w:r>
      <w:r>
        <w:rPr>
          <w:spacing w:val="-4"/>
        </w:rPr>
        <w:t xml:space="preserve"> </w:t>
      </w:r>
      <w:r>
        <w:t>any</w:t>
      </w:r>
      <w:r>
        <w:rPr>
          <w:spacing w:val="-5"/>
        </w:rPr>
        <w:t xml:space="preserve"> </w:t>
      </w:r>
      <w:r>
        <w:t>necessary</w:t>
      </w:r>
      <w:r>
        <w:rPr>
          <w:spacing w:val="-7"/>
        </w:rPr>
        <w:t xml:space="preserve"> </w:t>
      </w:r>
      <w:r>
        <w:t>limitations</w:t>
      </w:r>
      <w:r>
        <w:rPr>
          <w:spacing w:val="-4"/>
        </w:rPr>
        <w:t xml:space="preserve"> </w:t>
      </w:r>
      <w:r>
        <w:t>during</w:t>
      </w:r>
      <w:r>
        <w:rPr>
          <w:spacing w:val="-5"/>
        </w:rPr>
        <w:t xml:space="preserve"> </w:t>
      </w:r>
      <w:r>
        <w:t>this</w:t>
      </w:r>
      <w:r>
        <w:rPr>
          <w:spacing w:val="-7"/>
        </w:rPr>
        <w:t xml:space="preserve"> </w:t>
      </w:r>
      <w:r>
        <w:t>period</w:t>
      </w:r>
      <w:r>
        <w:rPr>
          <w:spacing w:val="-5"/>
        </w:rPr>
        <w:t xml:space="preserve"> </w:t>
      </w:r>
      <w:r>
        <w:t>…</w:t>
      </w:r>
      <w:r>
        <w:rPr>
          <w:spacing w:val="-7"/>
        </w:rPr>
        <w:t xml:space="preserve"> </w:t>
      </w:r>
      <w:r>
        <w:t>This</w:t>
      </w:r>
      <w:r>
        <w:rPr>
          <w:spacing w:val="-4"/>
        </w:rPr>
        <w:t xml:space="preserve"> </w:t>
      </w:r>
      <w:r>
        <w:t>is</w:t>
      </w:r>
      <w:r>
        <w:rPr>
          <w:spacing w:val="-4"/>
        </w:rPr>
        <w:t xml:space="preserve"> </w:t>
      </w:r>
      <w:r>
        <w:t>a</w:t>
      </w:r>
      <w:r>
        <w:rPr>
          <w:spacing w:val="-7"/>
        </w:rPr>
        <w:t xml:space="preserve"> </w:t>
      </w:r>
      <w:r>
        <w:t>compelling</w:t>
      </w:r>
      <w:r>
        <w:rPr>
          <w:spacing w:val="-7"/>
        </w:rPr>
        <w:t xml:space="preserve"> </w:t>
      </w:r>
      <w:r>
        <w:t>example</w:t>
      </w:r>
      <w:r>
        <w:rPr>
          <w:spacing w:val="-7"/>
        </w:rPr>
        <w:t xml:space="preserve"> </w:t>
      </w:r>
      <w:r>
        <w:t>of</w:t>
      </w:r>
      <w:r>
        <w:rPr>
          <w:spacing w:val="-4"/>
        </w:rPr>
        <w:t xml:space="preserve"> </w:t>
      </w:r>
      <w:r>
        <w:t>the Charter in action, showing that it is possible to enact emergency measures while still ensuring human rights considerations are central to the law-making process.</w:t>
      </w:r>
      <w:r>
        <w:rPr>
          <w:position w:val="7"/>
          <w:sz w:val="13"/>
        </w:rPr>
        <w:t>176</w:t>
      </w:r>
    </w:p>
    <w:p w14:paraId="7CB25EB4" w14:textId="77777777" w:rsidR="008A4099" w:rsidRDefault="006A6EE2">
      <w:pPr>
        <w:pStyle w:val="ListParagraph"/>
        <w:numPr>
          <w:ilvl w:val="2"/>
          <w:numId w:val="6"/>
        </w:numPr>
        <w:tabs>
          <w:tab w:val="left" w:pos="879"/>
        </w:tabs>
        <w:spacing w:before="238"/>
        <w:ind w:right="675" w:firstLine="0"/>
        <w:jc w:val="both"/>
        <w:rPr>
          <w:sz w:val="13"/>
        </w:rPr>
      </w:pPr>
      <w:r>
        <w:t xml:space="preserve">In the ACT, the </w:t>
      </w:r>
      <w:r>
        <w:rPr>
          <w:i/>
        </w:rPr>
        <w:t xml:space="preserve">COVID-19 Emergency Response Bill 2020 </w:t>
      </w:r>
      <w:r>
        <w:t>(‘ACT Covid Bill’) was declared to be a ‘significant Bill’ that required a detailed human rights analysis because it affected so many of the</w:t>
      </w:r>
      <w:r>
        <w:rPr>
          <w:spacing w:val="-6"/>
        </w:rPr>
        <w:t xml:space="preserve"> </w:t>
      </w:r>
      <w:r>
        <w:t>rights</w:t>
      </w:r>
      <w:r>
        <w:rPr>
          <w:spacing w:val="-5"/>
        </w:rPr>
        <w:t xml:space="preserve"> </w:t>
      </w:r>
      <w:r>
        <w:t>in</w:t>
      </w:r>
      <w:r>
        <w:rPr>
          <w:spacing w:val="-6"/>
        </w:rPr>
        <w:t xml:space="preserve"> </w:t>
      </w:r>
      <w:r>
        <w:t>the</w:t>
      </w:r>
      <w:r>
        <w:rPr>
          <w:spacing w:val="-5"/>
        </w:rPr>
        <w:t xml:space="preserve"> </w:t>
      </w:r>
      <w:r>
        <w:rPr>
          <w:i/>
        </w:rPr>
        <w:t>Human</w:t>
      </w:r>
      <w:r>
        <w:rPr>
          <w:i/>
          <w:spacing w:val="-6"/>
        </w:rPr>
        <w:t xml:space="preserve"> </w:t>
      </w:r>
      <w:r>
        <w:rPr>
          <w:i/>
        </w:rPr>
        <w:t>Rights</w:t>
      </w:r>
      <w:r>
        <w:rPr>
          <w:i/>
          <w:spacing w:val="-5"/>
        </w:rPr>
        <w:t xml:space="preserve"> </w:t>
      </w:r>
      <w:r>
        <w:rPr>
          <w:i/>
        </w:rPr>
        <w:t>Act</w:t>
      </w:r>
      <w:r>
        <w:rPr>
          <w:i/>
          <w:spacing w:val="-5"/>
        </w:rPr>
        <w:t xml:space="preserve"> </w:t>
      </w:r>
      <w:r>
        <w:rPr>
          <w:i/>
        </w:rPr>
        <w:t>2004</w:t>
      </w:r>
      <w:r>
        <w:rPr>
          <w:i/>
          <w:spacing w:val="-6"/>
        </w:rPr>
        <w:t xml:space="preserve"> </w:t>
      </w:r>
      <w:r>
        <w:t>(ACT).</w:t>
      </w:r>
      <w:r>
        <w:rPr>
          <w:position w:val="7"/>
          <w:sz w:val="13"/>
        </w:rPr>
        <w:t>177</w:t>
      </w:r>
      <w:r>
        <w:rPr>
          <w:spacing w:val="16"/>
          <w:position w:val="7"/>
          <w:sz w:val="13"/>
        </w:rPr>
        <w:t xml:space="preserve"> </w:t>
      </w:r>
      <w:r>
        <w:t>The</w:t>
      </w:r>
      <w:r>
        <w:rPr>
          <w:spacing w:val="-6"/>
        </w:rPr>
        <w:t xml:space="preserve"> </w:t>
      </w:r>
      <w:r>
        <w:t>ACT</w:t>
      </w:r>
      <w:r>
        <w:rPr>
          <w:spacing w:val="-7"/>
        </w:rPr>
        <w:t xml:space="preserve"> </w:t>
      </w:r>
      <w:r>
        <w:t>Covid</w:t>
      </w:r>
      <w:r>
        <w:rPr>
          <w:spacing w:val="-6"/>
        </w:rPr>
        <w:t xml:space="preserve"> </w:t>
      </w:r>
      <w:r>
        <w:t>Bill</w:t>
      </w:r>
      <w:r>
        <w:rPr>
          <w:spacing w:val="-5"/>
        </w:rPr>
        <w:t xml:space="preserve"> </w:t>
      </w:r>
      <w:r>
        <w:t>was</w:t>
      </w:r>
      <w:r>
        <w:rPr>
          <w:spacing w:val="-5"/>
        </w:rPr>
        <w:t xml:space="preserve"> </w:t>
      </w:r>
      <w:r>
        <w:t>accompanied</w:t>
      </w:r>
      <w:r>
        <w:rPr>
          <w:spacing w:val="-6"/>
        </w:rPr>
        <w:t xml:space="preserve"> </w:t>
      </w:r>
      <w:r>
        <w:t>by</w:t>
      </w:r>
      <w:r>
        <w:rPr>
          <w:spacing w:val="-6"/>
        </w:rPr>
        <w:t xml:space="preserve"> </w:t>
      </w:r>
      <w:r>
        <w:t>a</w:t>
      </w:r>
      <w:r>
        <w:rPr>
          <w:spacing w:val="-6"/>
        </w:rPr>
        <w:t xml:space="preserve"> </w:t>
      </w:r>
      <w:r>
        <w:t>detailed statement of compatibility outlining the human rights implications of the legislation.</w:t>
      </w:r>
      <w:r>
        <w:rPr>
          <w:position w:val="7"/>
          <w:sz w:val="13"/>
        </w:rPr>
        <w:t>178</w:t>
      </w:r>
    </w:p>
    <w:p w14:paraId="7CB25EB5" w14:textId="77777777" w:rsidR="008A4099" w:rsidRDefault="006A6EE2">
      <w:pPr>
        <w:pStyle w:val="ListParagraph"/>
        <w:numPr>
          <w:ilvl w:val="2"/>
          <w:numId w:val="6"/>
        </w:numPr>
        <w:tabs>
          <w:tab w:val="left" w:pos="879"/>
        </w:tabs>
        <w:spacing w:before="218" w:line="237" w:lineRule="auto"/>
        <w:ind w:right="674" w:firstLine="0"/>
        <w:jc w:val="both"/>
      </w:pPr>
      <w:r>
        <w:t xml:space="preserve">Similarly, in Queensland, both the </w:t>
      </w:r>
      <w:r>
        <w:rPr>
          <w:i/>
        </w:rPr>
        <w:t>Public Health and Other Legislation (Public Health Emergency)</w:t>
      </w:r>
      <w:r>
        <w:rPr>
          <w:i/>
          <w:spacing w:val="-4"/>
        </w:rPr>
        <w:t xml:space="preserve"> </w:t>
      </w:r>
      <w:r>
        <w:rPr>
          <w:i/>
        </w:rPr>
        <w:t>Amendment</w:t>
      </w:r>
      <w:r>
        <w:rPr>
          <w:i/>
          <w:spacing w:val="-2"/>
        </w:rPr>
        <w:t xml:space="preserve"> </w:t>
      </w:r>
      <w:r>
        <w:rPr>
          <w:i/>
        </w:rPr>
        <w:t>Act</w:t>
      </w:r>
      <w:r>
        <w:rPr>
          <w:i/>
          <w:spacing w:val="-1"/>
        </w:rPr>
        <w:t xml:space="preserve"> </w:t>
      </w:r>
      <w:r>
        <w:rPr>
          <w:i/>
        </w:rPr>
        <w:t>2020</w:t>
      </w:r>
      <w:r>
        <w:rPr>
          <w:i/>
          <w:spacing w:val="-3"/>
        </w:rPr>
        <w:t xml:space="preserve"> </w:t>
      </w:r>
      <w:r>
        <w:t>(Qld)</w:t>
      </w:r>
      <w:r>
        <w:rPr>
          <w:spacing w:val="-5"/>
        </w:rPr>
        <w:t xml:space="preserve"> </w:t>
      </w:r>
      <w:r>
        <w:t>and</w:t>
      </w:r>
      <w:r>
        <w:rPr>
          <w:spacing w:val="-5"/>
        </w:rPr>
        <w:t xml:space="preserve"> </w:t>
      </w:r>
      <w:r>
        <w:t>the</w:t>
      </w:r>
      <w:r>
        <w:rPr>
          <w:spacing w:val="-2"/>
        </w:rPr>
        <w:t xml:space="preserve"> </w:t>
      </w:r>
      <w:r>
        <w:rPr>
          <w:i/>
        </w:rPr>
        <w:t>COVID-19</w:t>
      </w:r>
      <w:r>
        <w:rPr>
          <w:i/>
          <w:spacing w:val="-3"/>
        </w:rPr>
        <w:t xml:space="preserve"> </w:t>
      </w:r>
      <w:r>
        <w:rPr>
          <w:i/>
        </w:rPr>
        <w:t>Emergency</w:t>
      </w:r>
      <w:r>
        <w:rPr>
          <w:i/>
          <w:spacing w:val="-3"/>
        </w:rPr>
        <w:t xml:space="preserve"> </w:t>
      </w:r>
      <w:r>
        <w:rPr>
          <w:i/>
        </w:rPr>
        <w:t>Response</w:t>
      </w:r>
      <w:r>
        <w:rPr>
          <w:i/>
          <w:spacing w:val="-5"/>
        </w:rPr>
        <w:t xml:space="preserve"> </w:t>
      </w:r>
      <w:r>
        <w:rPr>
          <w:i/>
        </w:rPr>
        <w:t>Act</w:t>
      </w:r>
      <w:r>
        <w:rPr>
          <w:i/>
          <w:spacing w:val="-3"/>
        </w:rPr>
        <w:t xml:space="preserve"> </w:t>
      </w:r>
      <w:r>
        <w:rPr>
          <w:i/>
        </w:rPr>
        <w:t>2020</w:t>
      </w:r>
      <w:r>
        <w:rPr>
          <w:i/>
          <w:spacing w:val="-5"/>
        </w:rPr>
        <w:t xml:space="preserve"> </w:t>
      </w:r>
      <w:r>
        <w:t>(Qld)</w:t>
      </w:r>
      <w:r>
        <w:rPr>
          <w:spacing w:val="-3"/>
        </w:rPr>
        <w:t xml:space="preserve"> </w:t>
      </w:r>
      <w:r>
        <w:t>were also</w:t>
      </w:r>
      <w:r>
        <w:rPr>
          <w:spacing w:val="-5"/>
        </w:rPr>
        <w:t xml:space="preserve"> </w:t>
      </w:r>
      <w:r>
        <w:t>accompanied</w:t>
      </w:r>
      <w:r>
        <w:rPr>
          <w:spacing w:val="-3"/>
        </w:rPr>
        <w:t xml:space="preserve"> </w:t>
      </w:r>
      <w:r>
        <w:t>by</w:t>
      </w:r>
      <w:r>
        <w:rPr>
          <w:spacing w:val="-3"/>
        </w:rPr>
        <w:t xml:space="preserve"> </w:t>
      </w:r>
      <w:r>
        <w:t>detailed</w:t>
      </w:r>
      <w:r>
        <w:rPr>
          <w:spacing w:val="-3"/>
        </w:rPr>
        <w:t xml:space="preserve"> </w:t>
      </w:r>
      <w:r>
        <w:t>human</w:t>
      </w:r>
      <w:r>
        <w:rPr>
          <w:spacing w:val="-5"/>
        </w:rPr>
        <w:t xml:space="preserve"> </w:t>
      </w:r>
      <w:r>
        <w:t>rights</w:t>
      </w:r>
      <w:r>
        <w:rPr>
          <w:spacing w:val="-3"/>
        </w:rPr>
        <w:t xml:space="preserve"> </w:t>
      </w:r>
      <w:r>
        <w:t>compatibility</w:t>
      </w:r>
      <w:r>
        <w:rPr>
          <w:spacing w:val="-6"/>
        </w:rPr>
        <w:t xml:space="preserve"> </w:t>
      </w:r>
      <w:r>
        <w:t>statements.</w:t>
      </w:r>
      <w:r>
        <w:rPr>
          <w:position w:val="7"/>
          <w:sz w:val="13"/>
        </w:rPr>
        <w:t>179</w:t>
      </w:r>
      <w:r>
        <w:rPr>
          <w:spacing w:val="19"/>
          <w:position w:val="7"/>
          <w:sz w:val="13"/>
        </w:rPr>
        <w:t xml:space="preserve"> </w:t>
      </w:r>
      <w:r>
        <w:t>The</w:t>
      </w:r>
      <w:r>
        <w:rPr>
          <w:spacing w:val="-3"/>
        </w:rPr>
        <w:t xml:space="preserve"> </w:t>
      </w:r>
      <w:r>
        <w:t>statement</w:t>
      </w:r>
      <w:r>
        <w:rPr>
          <w:spacing w:val="-2"/>
        </w:rPr>
        <w:t xml:space="preserve"> </w:t>
      </w:r>
      <w:r>
        <w:t>of</w:t>
      </w:r>
      <w:r>
        <w:rPr>
          <w:spacing w:val="-3"/>
        </w:rPr>
        <w:t xml:space="preserve"> </w:t>
      </w:r>
      <w:r>
        <w:t>compatibility</w:t>
      </w:r>
    </w:p>
    <w:p w14:paraId="7CB25EB6" w14:textId="77777777" w:rsidR="008A4099" w:rsidRDefault="006A6EE2">
      <w:pPr>
        <w:pStyle w:val="BodyText"/>
        <w:spacing w:before="113"/>
        <w:rPr>
          <w:sz w:val="20"/>
        </w:rPr>
      </w:pPr>
      <w:r>
        <w:rPr>
          <w:noProof/>
        </w:rPr>
        <mc:AlternateContent>
          <mc:Choice Requires="wps">
            <w:drawing>
              <wp:anchor distT="0" distB="0" distL="0" distR="0" simplePos="0" relativeHeight="487602176" behindDoc="1" locked="0" layoutInCell="1" allowOverlap="1" wp14:anchorId="7CB26611" wp14:editId="7CB26612">
                <wp:simplePos x="0" y="0"/>
                <wp:positionH relativeFrom="page">
                  <wp:posOffset>914704</wp:posOffset>
                </wp:positionH>
                <wp:positionV relativeFrom="paragraph">
                  <wp:posOffset>233438</wp:posOffset>
                </wp:positionV>
                <wp:extent cx="1829435" cy="762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5614E5" id="Graphic 70" o:spid="_x0000_s1026" style="position:absolute;margin-left:1in;margin-top:18.4pt;width:144.05pt;height:.6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" path="m1829054,l,,,7620r1829054,l1829054,xe" fillcolor="black" stroked="f">
                <v:path arrowok="t"/>
                <w10:wrap type="topAndBottom" anchorx="page"/>
              </v:shape>
            </w:pict>
          </mc:Fallback>
        </mc:AlternateContent>
      </w:r>
    </w:p>
    <w:p w14:paraId="7CB25EB7" w14:textId="77777777" w:rsidR="008A4099" w:rsidRDefault="006A6EE2">
      <w:pPr>
        <w:spacing w:before="112" w:line="242" w:lineRule="auto"/>
        <w:ind w:left="160" w:right="673"/>
        <w:jc w:val="both"/>
        <w:rPr>
          <w:sz w:val="18"/>
        </w:rPr>
      </w:pPr>
      <w:r>
        <w:rPr>
          <w:sz w:val="18"/>
          <w:vertAlign w:val="superscript"/>
        </w:rPr>
        <w:t>173</w:t>
      </w:r>
      <w:r>
        <w:rPr>
          <w:sz w:val="18"/>
        </w:rPr>
        <w:t xml:space="preserve"> For the terms of reference for the Standing Committee of Public Accounts Inquiry into the Tasmanian Government’s response to the COVID‐19 pandemic, see &lt;</w:t>
      </w:r>
      <w:hyperlink r:id="rId85">
        <w:r>
          <w:rPr>
            <w:sz w:val="18"/>
          </w:rPr>
          <w:t>www.parliament.tas.gov.au/ctee/joint/Current%20Inquiries/pac/Covid-</w:t>
        </w:r>
      </w:hyperlink>
      <w:r>
        <w:rPr>
          <w:sz w:val="18"/>
        </w:rPr>
        <w:t xml:space="preserve"> </w:t>
      </w:r>
      <w:hyperlink r:id="rId86">
        <w:r>
          <w:rPr>
            <w:spacing w:val="-2"/>
            <w:sz w:val="18"/>
          </w:rPr>
          <w:t>19%20response/ToR%20C19.pdf</w:t>
        </w:r>
      </w:hyperlink>
      <w:r>
        <w:rPr>
          <w:spacing w:val="-2"/>
          <w:sz w:val="18"/>
        </w:rPr>
        <w:t>&gt;.</w:t>
      </w:r>
    </w:p>
    <w:p w14:paraId="7CB25EB8" w14:textId="77777777" w:rsidR="008A4099" w:rsidRDefault="006A6EE2">
      <w:pPr>
        <w:spacing w:before="19"/>
        <w:ind w:left="160"/>
        <w:jc w:val="both"/>
        <w:rPr>
          <w:sz w:val="18"/>
        </w:rPr>
      </w:pPr>
      <w:r>
        <w:rPr>
          <w:sz w:val="18"/>
          <w:vertAlign w:val="superscript"/>
        </w:rPr>
        <w:t>174</w:t>
      </w:r>
      <w:r>
        <w:rPr>
          <w:spacing w:val="-1"/>
          <w:sz w:val="18"/>
        </w:rPr>
        <w:t xml:space="preserve"> </w:t>
      </w:r>
      <w:r>
        <w:rPr>
          <w:sz w:val="18"/>
        </w:rPr>
        <w:t>The</w:t>
      </w:r>
      <w:r>
        <w:rPr>
          <w:spacing w:val="-1"/>
          <w:sz w:val="18"/>
        </w:rPr>
        <w:t xml:space="preserve"> </w:t>
      </w:r>
      <w:r>
        <w:rPr>
          <w:sz w:val="18"/>
        </w:rPr>
        <w:t>approach</w:t>
      </w:r>
      <w:r>
        <w:rPr>
          <w:spacing w:val="1"/>
          <w:sz w:val="18"/>
        </w:rPr>
        <w:t xml:space="preserve"> </w:t>
      </w:r>
      <w:r>
        <w:rPr>
          <w:sz w:val="18"/>
        </w:rPr>
        <w:t>to non-COVID-19</w:t>
      </w:r>
      <w:r>
        <w:rPr>
          <w:spacing w:val="-1"/>
          <w:sz w:val="18"/>
        </w:rPr>
        <w:t xml:space="preserve"> </w:t>
      </w:r>
      <w:r>
        <w:rPr>
          <w:sz w:val="18"/>
        </w:rPr>
        <w:t>related</w:t>
      </w:r>
      <w:r>
        <w:rPr>
          <w:spacing w:val="1"/>
          <w:sz w:val="18"/>
        </w:rPr>
        <w:t xml:space="preserve"> </w:t>
      </w:r>
      <w:r>
        <w:rPr>
          <w:sz w:val="18"/>
        </w:rPr>
        <w:t>protest activity</w:t>
      </w:r>
      <w:r>
        <w:rPr>
          <w:spacing w:val="-1"/>
          <w:sz w:val="18"/>
        </w:rPr>
        <w:t xml:space="preserve"> </w:t>
      </w:r>
      <w:r>
        <w:rPr>
          <w:sz w:val="18"/>
        </w:rPr>
        <w:t>is discussed</w:t>
      </w:r>
      <w:r>
        <w:rPr>
          <w:spacing w:val="1"/>
          <w:sz w:val="18"/>
        </w:rPr>
        <w:t xml:space="preserve"> </w:t>
      </w:r>
      <w:r>
        <w:rPr>
          <w:sz w:val="18"/>
        </w:rPr>
        <w:t xml:space="preserve">further at </w:t>
      </w:r>
      <w:r>
        <w:rPr>
          <w:spacing w:val="-2"/>
          <w:sz w:val="18"/>
        </w:rPr>
        <w:t>[3.2.1]–[3.2.9].</w:t>
      </w:r>
    </w:p>
    <w:p w14:paraId="7CB25EB9" w14:textId="77777777" w:rsidR="008A4099" w:rsidRDefault="006A6EE2">
      <w:pPr>
        <w:spacing w:before="21"/>
        <w:ind w:left="160" w:right="674"/>
        <w:jc w:val="both"/>
        <w:rPr>
          <w:sz w:val="18"/>
        </w:rPr>
      </w:pPr>
      <w:r>
        <w:rPr>
          <w:sz w:val="18"/>
          <w:vertAlign w:val="superscript"/>
        </w:rPr>
        <w:t>175</w:t>
      </w:r>
      <w:r>
        <w:rPr>
          <w:spacing w:val="-3"/>
          <w:sz w:val="18"/>
        </w:rPr>
        <w:t xml:space="preserve"> </w:t>
      </w:r>
      <w:r>
        <w:rPr>
          <w:sz w:val="18"/>
        </w:rPr>
        <w:t>See</w:t>
      </w:r>
      <w:r>
        <w:rPr>
          <w:spacing w:val="-4"/>
          <w:sz w:val="18"/>
        </w:rPr>
        <w:t xml:space="preserve"> </w:t>
      </w:r>
      <w:r>
        <w:rPr>
          <w:sz w:val="18"/>
        </w:rPr>
        <w:t>Statement</w:t>
      </w:r>
      <w:r>
        <w:rPr>
          <w:spacing w:val="-3"/>
          <w:sz w:val="18"/>
        </w:rPr>
        <w:t xml:space="preserve"> </w:t>
      </w:r>
      <w:r>
        <w:rPr>
          <w:sz w:val="18"/>
        </w:rPr>
        <w:t>of</w:t>
      </w:r>
      <w:r>
        <w:rPr>
          <w:spacing w:val="-3"/>
          <w:sz w:val="18"/>
        </w:rPr>
        <w:t xml:space="preserve"> </w:t>
      </w:r>
      <w:r>
        <w:rPr>
          <w:sz w:val="18"/>
        </w:rPr>
        <w:t>Compatibility,</w:t>
      </w:r>
      <w:r>
        <w:rPr>
          <w:spacing w:val="-3"/>
          <w:sz w:val="18"/>
        </w:rPr>
        <w:t xml:space="preserve"> </w:t>
      </w:r>
      <w:r>
        <w:rPr>
          <w:sz w:val="18"/>
        </w:rPr>
        <w:t>COVID-19</w:t>
      </w:r>
      <w:r>
        <w:rPr>
          <w:spacing w:val="-2"/>
          <w:sz w:val="18"/>
        </w:rPr>
        <w:t xml:space="preserve"> </w:t>
      </w:r>
      <w:r>
        <w:rPr>
          <w:sz w:val="18"/>
        </w:rPr>
        <w:t>Omnibus</w:t>
      </w:r>
      <w:r>
        <w:rPr>
          <w:spacing w:val="-4"/>
          <w:sz w:val="18"/>
        </w:rPr>
        <w:t xml:space="preserve"> </w:t>
      </w:r>
      <w:r>
        <w:rPr>
          <w:sz w:val="18"/>
        </w:rPr>
        <w:t>(Emergency</w:t>
      </w:r>
      <w:r>
        <w:rPr>
          <w:spacing w:val="-5"/>
          <w:sz w:val="18"/>
        </w:rPr>
        <w:t xml:space="preserve"> </w:t>
      </w:r>
      <w:r>
        <w:rPr>
          <w:sz w:val="18"/>
        </w:rPr>
        <w:t>Measures)</w:t>
      </w:r>
      <w:r>
        <w:rPr>
          <w:spacing w:val="-4"/>
          <w:sz w:val="18"/>
        </w:rPr>
        <w:t xml:space="preserve"> </w:t>
      </w:r>
      <w:r>
        <w:rPr>
          <w:sz w:val="18"/>
        </w:rPr>
        <w:t>Bill</w:t>
      </w:r>
      <w:r>
        <w:rPr>
          <w:spacing w:val="-3"/>
          <w:sz w:val="18"/>
        </w:rPr>
        <w:t xml:space="preserve"> </w:t>
      </w:r>
      <w:r>
        <w:rPr>
          <w:sz w:val="18"/>
        </w:rPr>
        <w:t>2020:</w:t>
      </w:r>
      <w:r>
        <w:rPr>
          <w:spacing w:val="-3"/>
          <w:sz w:val="18"/>
        </w:rPr>
        <w:t xml:space="preserve"> </w:t>
      </w:r>
      <w:r>
        <w:rPr>
          <w:sz w:val="18"/>
        </w:rPr>
        <w:t>Victoria,</w:t>
      </w:r>
      <w:r>
        <w:rPr>
          <w:spacing w:val="-5"/>
          <w:sz w:val="18"/>
        </w:rPr>
        <w:t xml:space="preserve"> </w:t>
      </w:r>
      <w:r>
        <w:rPr>
          <w:i/>
          <w:sz w:val="18"/>
        </w:rPr>
        <w:t>Parliamentary</w:t>
      </w:r>
      <w:r>
        <w:rPr>
          <w:i/>
          <w:spacing w:val="-4"/>
          <w:sz w:val="18"/>
        </w:rPr>
        <w:t xml:space="preserve"> </w:t>
      </w:r>
      <w:r>
        <w:rPr>
          <w:i/>
          <w:sz w:val="18"/>
        </w:rPr>
        <w:t>Debates</w:t>
      </w:r>
      <w:r>
        <w:rPr>
          <w:sz w:val="18"/>
        </w:rPr>
        <w:t>, House</w:t>
      </w:r>
      <w:r>
        <w:rPr>
          <w:spacing w:val="-8"/>
          <w:sz w:val="18"/>
        </w:rPr>
        <w:t xml:space="preserve"> </w:t>
      </w:r>
      <w:r>
        <w:rPr>
          <w:sz w:val="18"/>
        </w:rPr>
        <w:t>of</w:t>
      </w:r>
      <w:r>
        <w:rPr>
          <w:spacing w:val="-8"/>
          <w:sz w:val="18"/>
        </w:rPr>
        <w:t xml:space="preserve"> </w:t>
      </w:r>
      <w:r>
        <w:rPr>
          <w:sz w:val="18"/>
        </w:rPr>
        <w:t>Assembly,</w:t>
      </w:r>
      <w:r>
        <w:rPr>
          <w:spacing w:val="-8"/>
          <w:sz w:val="18"/>
        </w:rPr>
        <w:t xml:space="preserve"> </w:t>
      </w:r>
      <w:r>
        <w:rPr>
          <w:sz w:val="18"/>
        </w:rPr>
        <w:t>23</w:t>
      </w:r>
      <w:r>
        <w:rPr>
          <w:spacing w:val="-6"/>
          <w:sz w:val="18"/>
        </w:rPr>
        <w:t xml:space="preserve"> </w:t>
      </w:r>
      <w:r>
        <w:rPr>
          <w:sz w:val="18"/>
        </w:rPr>
        <w:t>April</w:t>
      </w:r>
      <w:r>
        <w:rPr>
          <w:spacing w:val="-8"/>
          <w:sz w:val="18"/>
        </w:rPr>
        <w:t xml:space="preserve"> </w:t>
      </w:r>
      <w:r>
        <w:rPr>
          <w:sz w:val="18"/>
        </w:rPr>
        <w:t>2020,</w:t>
      </w:r>
      <w:r>
        <w:rPr>
          <w:spacing w:val="-8"/>
          <w:sz w:val="18"/>
        </w:rPr>
        <w:t xml:space="preserve"> </w:t>
      </w:r>
      <w:r>
        <w:rPr>
          <w:sz w:val="18"/>
        </w:rPr>
        <w:t>1179</w:t>
      </w:r>
      <w:r>
        <w:rPr>
          <w:spacing w:val="-8"/>
          <w:sz w:val="18"/>
        </w:rPr>
        <w:t xml:space="preserve"> </w:t>
      </w:r>
      <w:r>
        <w:rPr>
          <w:sz w:val="18"/>
        </w:rPr>
        <w:t>(Daniel</w:t>
      </w:r>
      <w:r>
        <w:rPr>
          <w:spacing w:val="-7"/>
          <w:sz w:val="18"/>
        </w:rPr>
        <w:t xml:space="preserve"> </w:t>
      </w:r>
      <w:r>
        <w:rPr>
          <w:sz w:val="18"/>
        </w:rPr>
        <w:t>Andrews).</w:t>
      </w:r>
      <w:r>
        <w:rPr>
          <w:spacing w:val="-8"/>
          <w:sz w:val="18"/>
        </w:rPr>
        <w:t xml:space="preserve"> </w:t>
      </w:r>
      <w:r>
        <w:rPr>
          <w:sz w:val="18"/>
        </w:rPr>
        <w:t>Section</w:t>
      </w:r>
      <w:r>
        <w:rPr>
          <w:spacing w:val="-8"/>
          <w:sz w:val="18"/>
        </w:rPr>
        <w:t xml:space="preserve"> </w:t>
      </w:r>
      <w:r>
        <w:rPr>
          <w:sz w:val="18"/>
        </w:rPr>
        <w:t>7(2)</w:t>
      </w:r>
      <w:r>
        <w:rPr>
          <w:spacing w:val="-8"/>
          <w:sz w:val="18"/>
        </w:rPr>
        <w:t xml:space="preserve"> </w:t>
      </w:r>
      <w:r>
        <w:rPr>
          <w:sz w:val="18"/>
        </w:rPr>
        <w:t>of</w:t>
      </w:r>
      <w:r>
        <w:rPr>
          <w:spacing w:val="-8"/>
          <w:sz w:val="18"/>
        </w:rPr>
        <w:t xml:space="preserve"> </w:t>
      </w:r>
      <w:r>
        <w:rPr>
          <w:sz w:val="18"/>
        </w:rPr>
        <w:t>the</w:t>
      </w:r>
      <w:r>
        <w:rPr>
          <w:spacing w:val="-3"/>
          <w:sz w:val="18"/>
        </w:rPr>
        <w:t xml:space="preserve"> </w:t>
      </w:r>
      <w:r>
        <w:rPr>
          <w:i/>
          <w:sz w:val="18"/>
        </w:rPr>
        <w:t>Charter</w:t>
      </w:r>
      <w:r>
        <w:rPr>
          <w:i/>
          <w:spacing w:val="-9"/>
          <w:sz w:val="18"/>
        </w:rPr>
        <w:t xml:space="preserve"> </w:t>
      </w:r>
      <w:r>
        <w:rPr>
          <w:i/>
          <w:sz w:val="18"/>
        </w:rPr>
        <w:t>of</w:t>
      </w:r>
      <w:r>
        <w:rPr>
          <w:i/>
          <w:spacing w:val="-8"/>
          <w:sz w:val="18"/>
        </w:rPr>
        <w:t xml:space="preserve"> </w:t>
      </w:r>
      <w:r>
        <w:rPr>
          <w:i/>
          <w:sz w:val="18"/>
        </w:rPr>
        <w:t>Human</w:t>
      </w:r>
      <w:r>
        <w:rPr>
          <w:i/>
          <w:spacing w:val="-8"/>
          <w:sz w:val="18"/>
        </w:rPr>
        <w:t xml:space="preserve"> </w:t>
      </w:r>
      <w:r>
        <w:rPr>
          <w:i/>
          <w:sz w:val="18"/>
        </w:rPr>
        <w:t>Rights</w:t>
      </w:r>
      <w:r>
        <w:rPr>
          <w:i/>
          <w:spacing w:val="-8"/>
          <w:sz w:val="18"/>
        </w:rPr>
        <w:t xml:space="preserve"> </w:t>
      </w:r>
      <w:r>
        <w:rPr>
          <w:i/>
          <w:sz w:val="18"/>
        </w:rPr>
        <w:t>and</w:t>
      </w:r>
      <w:r>
        <w:rPr>
          <w:i/>
          <w:spacing w:val="-8"/>
          <w:sz w:val="18"/>
        </w:rPr>
        <w:t xml:space="preserve"> </w:t>
      </w:r>
      <w:r>
        <w:rPr>
          <w:i/>
          <w:sz w:val="18"/>
        </w:rPr>
        <w:t xml:space="preserve">Responsibilities Act 2006 </w:t>
      </w:r>
      <w:r>
        <w:rPr>
          <w:sz w:val="18"/>
        </w:rPr>
        <w:t>(Vic) stipulates that rights are subject to ‘reasonable limits’ under certain conditions. See also the Victorian Equal Opportunity</w:t>
      </w:r>
      <w:r>
        <w:rPr>
          <w:spacing w:val="-1"/>
          <w:sz w:val="18"/>
        </w:rPr>
        <w:t xml:space="preserve"> </w:t>
      </w:r>
      <w:r>
        <w:rPr>
          <w:sz w:val="18"/>
        </w:rPr>
        <w:t>and</w:t>
      </w:r>
      <w:r>
        <w:rPr>
          <w:spacing w:val="-1"/>
          <w:sz w:val="18"/>
        </w:rPr>
        <w:t xml:space="preserve"> </w:t>
      </w:r>
      <w:r>
        <w:rPr>
          <w:sz w:val="18"/>
        </w:rPr>
        <w:t>Human</w:t>
      </w:r>
      <w:r>
        <w:rPr>
          <w:spacing w:val="-1"/>
          <w:sz w:val="18"/>
        </w:rPr>
        <w:t xml:space="preserve"> </w:t>
      </w:r>
      <w:r>
        <w:rPr>
          <w:sz w:val="18"/>
        </w:rPr>
        <w:t>Rights</w:t>
      </w:r>
      <w:r>
        <w:rPr>
          <w:spacing w:val="-3"/>
          <w:sz w:val="18"/>
        </w:rPr>
        <w:t xml:space="preserve"> </w:t>
      </w:r>
      <w:r>
        <w:rPr>
          <w:sz w:val="18"/>
        </w:rPr>
        <w:t>Commission</w:t>
      </w:r>
      <w:r>
        <w:rPr>
          <w:spacing w:val="-1"/>
          <w:sz w:val="18"/>
        </w:rPr>
        <w:t xml:space="preserve"> </w:t>
      </w:r>
      <w:r>
        <w:rPr>
          <w:sz w:val="18"/>
        </w:rPr>
        <w:t>register</w:t>
      </w:r>
      <w:r>
        <w:rPr>
          <w:spacing w:val="-2"/>
          <w:sz w:val="18"/>
        </w:rPr>
        <w:t xml:space="preserve"> </w:t>
      </w:r>
      <w:r>
        <w:rPr>
          <w:sz w:val="18"/>
        </w:rPr>
        <w:t>of</w:t>
      </w:r>
      <w:r>
        <w:rPr>
          <w:spacing w:val="-2"/>
          <w:sz w:val="18"/>
        </w:rPr>
        <w:t xml:space="preserve"> </w:t>
      </w:r>
      <w:r>
        <w:rPr>
          <w:sz w:val="18"/>
        </w:rPr>
        <w:t>rights,</w:t>
      </w:r>
      <w:r>
        <w:rPr>
          <w:spacing w:val="-2"/>
          <w:sz w:val="18"/>
        </w:rPr>
        <w:t xml:space="preserve"> </w:t>
      </w:r>
      <w:r>
        <w:rPr>
          <w:sz w:val="18"/>
        </w:rPr>
        <w:t>‘a</w:t>
      </w:r>
      <w:r>
        <w:rPr>
          <w:spacing w:val="-3"/>
          <w:sz w:val="18"/>
        </w:rPr>
        <w:t xml:space="preserve"> </w:t>
      </w:r>
      <w:r>
        <w:rPr>
          <w:sz w:val="18"/>
        </w:rPr>
        <w:t>real-time</w:t>
      </w:r>
      <w:r>
        <w:rPr>
          <w:spacing w:val="-3"/>
          <w:sz w:val="18"/>
        </w:rPr>
        <w:t xml:space="preserve"> </w:t>
      </w:r>
      <w:r>
        <w:rPr>
          <w:sz w:val="18"/>
        </w:rPr>
        <w:t>snapshot</w:t>
      </w:r>
      <w:r>
        <w:rPr>
          <w:spacing w:val="-2"/>
          <w:sz w:val="18"/>
        </w:rPr>
        <w:t xml:space="preserve"> </w:t>
      </w:r>
      <w:r>
        <w:rPr>
          <w:sz w:val="18"/>
        </w:rPr>
        <w:t>of</w:t>
      </w:r>
      <w:r>
        <w:rPr>
          <w:spacing w:val="-2"/>
          <w:sz w:val="18"/>
        </w:rPr>
        <w:t xml:space="preserve"> </w:t>
      </w:r>
      <w:r>
        <w:rPr>
          <w:sz w:val="18"/>
        </w:rPr>
        <w:t>which</w:t>
      </w:r>
      <w:r>
        <w:rPr>
          <w:spacing w:val="-1"/>
          <w:sz w:val="18"/>
        </w:rPr>
        <w:t xml:space="preserve"> </w:t>
      </w:r>
      <w:r>
        <w:rPr>
          <w:sz w:val="18"/>
        </w:rPr>
        <w:t>rights</w:t>
      </w:r>
      <w:r>
        <w:rPr>
          <w:spacing w:val="-4"/>
          <w:sz w:val="18"/>
        </w:rPr>
        <w:t xml:space="preserve"> </w:t>
      </w:r>
      <w:r>
        <w:rPr>
          <w:sz w:val="18"/>
        </w:rPr>
        <w:t>had</w:t>
      </w:r>
      <w:r>
        <w:rPr>
          <w:spacing w:val="-1"/>
          <w:sz w:val="18"/>
        </w:rPr>
        <w:t xml:space="preserve"> </w:t>
      </w:r>
      <w:r>
        <w:rPr>
          <w:sz w:val="18"/>
        </w:rPr>
        <w:t>been</w:t>
      </w:r>
      <w:r>
        <w:rPr>
          <w:spacing w:val="-1"/>
          <w:sz w:val="18"/>
        </w:rPr>
        <w:t xml:space="preserve"> </w:t>
      </w:r>
      <w:r>
        <w:rPr>
          <w:sz w:val="18"/>
        </w:rPr>
        <w:t>limited</w:t>
      </w:r>
      <w:r>
        <w:rPr>
          <w:spacing w:val="-1"/>
          <w:sz w:val="18"/>
        </w:rPr>
        <w:t xml:space="preserve"> </w:t>
      </w:r>
      <w:r>
        <w:rPr>
          <w:sz w:val="18"/>
        </w:rPr>
        <w:t>and</w:t>
      </w:r>
      <w:r>
        <w:rPr>
          <w:spacing w:val="-1"/>
          <w:sz w:val="18"/>
        </w:rPr>
        <w:t xml:space="preserve"> </w:t>
      </w:r>
      <w:r>
        <w:rPr>
          <w:sz w:val="18"/>
        </w:rPr>
        <w:t xml:space="preserve">the justification for those limitations’: Victorian Equal Opportunity and Human Rights Commission, ‘Human Rights and Victoria’s </w:t>
      </w:r>
      <w:r>
        <w:rPr>
          <w:i/>
          <w:sz w:val="18"/>
        </w:rPr>
        <w:t xml:space="preserve">COVID-19 Omnibus (Emergency Measures) Act </w:t>
      </w:r>
      <w:r>
        <w:rPr>
          <w:sz w:val="18"/>
        </w:rPr>
        <w:t>– May 2020’</w:t>
      </w:r>
    </w:p>
    <w:p w14:paraId="7CB25EBA" w14:textId="77777777" w:rsidR="008A4099" w:rsidRDefault="006A6EE2">
      <w:pPr>
        <w:spacing w:before="6"/>
        <w:ind w:left="160" w:right="680"/>
        <w:rPr>
          <w:sz w:val="18"/>
        </w:rPr>
      </w:pPr>
      <w:r>
        <w:rPr>
          <w:spacing w:val="-2"/>
          <w:sz w:val="18"/>
        </w:rPr>
        <w:t>&lt;https://</w:t>
      </w:r>
      <w:hyperlink r:id="rId87">
        <w:r>
          <w:rPr>
            <w:spacing w:val="-2"/>
            <w:sz w:val="18"/>
          </w:rPr>
          <w:t>www.humanrights.vic.gov.au/resources/human-rights-and-victorias-covid-19-omnibus-emergency-measures-act-</w:t>
        </w:r>
      </w:hyperlink>
      <w:r>
        <w:rPr>
          <w:spacing w:val="40"/>
          <w:sz w:val="18"/>
        </w:rPr>
        <w:t xml:space="preserve"> </w:t>
      </w:r>
      <w:r>
        <w:rPr>
          <w:spacing w:val="-2"/>
          <w:sz w:val="18"/>
        </w:rPr>
        <w:t>2020/&gt;.</w:t>
      </w:r>
    </w:p>
    <w:p w14:paraId="7CB25EBB" w14:textId="77777777" w:rsidR="008A4099" w:rsidRDefault="006A6EE2">
      <w:pPr>
        <w:spacing w:before="19" w:line="242" w:lineRule="auto"/>
        <w:ind w:left="160" w:right="673"/>
        <w:jc w:val="both"/>
        <w:rPr>
          <w:sz w:val="18"/>
        </w:rPr>
      </w:pPr>
      <w:r>
        <w:rPr>
          <w:sz w:val="18"/>
          <w:vertAlign w:val="superscript"/>
        </w:rPr>
        <w:t>176</w:t>
      </w:r>
      <w:r>
        <w:rPr>
          <w:sz w:val="18"/>
        </w:rPr>
        <w:t xml:space="preserve"> Victorian Equal Opportunity and Human Rights Commissioner, ‘Scrutiny of New Emergency Laws Essential to Monitor any Human Rights Impacts’ (Media Release, 24 April 2020) &lt;https://</w:t>
      </w:r>
      <w:hyperlink r:id="rId88">
        <w:r>
          <w:rPr>
            <w:sz w:val="18"/>
          </w:rPr>
          <w:t>www.humanrights.vic.gov.au/news/scrutiny-of-new-</w:t>
        </w:r>
      </w:hyperlink>
      <w:r>
        <w:rPr>
          <w:sz w:val="18"/>
        </w:rPr>
        <w:t xml:space="preserve"> </w:t>
      </w:r>
      <w:r>
        <w:rPr>
          <w:spacing w:val="-2"/>
          <w:sz w:val="18"/>
        </w:rPr>
        <w:t>emergency-laws-essential-to-monitor-any-human-rights-impacts/&gt;.</w:t>
      </w:r>
    </w:p>
    <w:p w14:paraId="7CB25EBC" w14:textId="77777777" w:rsidR="008A4099" w:rsidRDefault="006A6EE2">
      <w:pPr>
        <w:spacing w:before="16" w:line="242" w:lineRule="auto"/>
        <w:ind w:left="160" w:right="674"/>
        <w:jc w:val="both"/>
        <w:rPr>
          <w:sz w:val="18"/>
        </w:rPr>
      </w:pPr>
      <w:r>
        <w:rPr>
          <w:sz w:val="18"/>
          <w:vertAlign w:val="superscript"/>
        </w:rPr>
        <w:t>177</w:t>
      </w:r>
      <w:r>
        <w:rPr>
          <w:sz w:val="18"/>
        </w:rPr>
        <w:t xml:space="preserve"> The ACT Covid Bill, which became the </w:t>
      </w:r>
      <w:r>
        <w:rPr>
          <w:i/>
          <w:sz w:val="18"/>
        </w:rPr>
        <w:t xml:space="preserve">Covid Emergency Response Act 2020 </w:t>
      </w:r>
      <w:r>
        <w:rPr>
          <w:sz w:val="18"/>
        </w:rPr>
        <w:t>(ACT), made several changes to court proceedings,</w:t>
      </w:r>
      <w:r>
        <w:rPr>
          <w:spacing w:val="-4"/>
          <w:sz w:val="18"/>
        </w:rPr>
        <w:t xml:space="preserve"> </w:t>
      </w:r>
      <w:r>
        <w:rPr>
          <w:sz w:val="18"/>
        </w:rPr>
        <w:t>visits</w:t>
      </w:r>
      <w:r>
        <w:rPr>
          <w:spacing w:val="-2"/>
          <w:sz w:val="18"/>
        </w:rPr>
        <w:t xml:space="preserve"> </w:t>
      </w:r>
      <w:r>
        <w:rPr>
          <w:sz w:val="18"/>
        </w:rPr>
        <w:t>to</w:t>
      </w:r>
      <w:r>
        <w:rPr>
          <w:spacing w:val="-1"/>
          <w:sz w:val="18"/>
        </w:rPr>
        <w:t xml:space="preserve"> </w:t>
      </w:r>
      <w:r>
        <w:rPr>
          <w:sz w:val="18"/>
        </w:rPr>
        <w:t>correctional</w:t>
      </w:r>
      <w:r>
        <w:rPr>
          <w:spacing w:val="-4"/>
          <w:sz w:val="18"/>
        </w:rPr>
        <w:t xml:space="preserve"> </w:t>
      </w:r>
      <w:r>
        <w:rPr>
          <w:sz w:val="18"/>
        </w:rPr>
        <w:t>facilities,</w:t>
      </w:r>
      <w:r>
        <w:rPr>
          <w:spacing w:val="-2"/>
          <w:sz w:val="18"/>
        </w:rPr>
        <w:t xml:space="preserve"> </w:t>
      </w:r>
      <w:r>
        <w:rPr>
          <w:sz w:val="18"/>
        </w:rPr>
        <w:t>background</w:t>
      </w:r>
      <w:r>
        <w:rPr>
          <w:spacing w:val="-1"/>
          <w:sz w:val="18"/>
        </w:rPr>
        <w:t xml:space="preserve"> </w:t>
      </w:r>
      <w:r>
        <w:rPr>
          <w:sz w:val="18"/>
        </w:rPr>
        <w:t>checks</w:t>
      </w:r>
      <w:r>
        <w:rPr>
          <w:spacing w:val="-5"/>
          <w:sz w:val="18"/>
        </w:rPr>
        <w:t xml:space="preserve"> </w:t>
      </w:r>
      <w:r>
        <w:rPr>
          <w:sz w:val="18"/>
        </w:rPr>
        <w:t>on</w:t>
      </w:r>
      <w:r>
        <w:rPr>
          <w:spacing w:val="-3"/>
          <w:sz w:val="18"/>
        </w:rPr>
        <w:t xml:space="preserve"> </w:t>
      </w:r>
      <w:r>
        <w:rPr>
          <w:sz w:val="18"/>
        </w:rPr>
        <w:t>volunteers,</w:t>
      </w:r>
      <w:r>
        <w:rPr>
          <w:spacing w:val="-4"/>
          <w:sz w:val="18"/>
        </w:rPr>
        <w:t xml:space="preserve"> </w:t>
      </w:r>
      <w:r>
        <w:rPr>
          <w:sz w:val="18"/>
        </w:rPr>
        <w:t>portability</w:t>
      </w:r>
      <w:r>
        <w:rPr>
          <w:spacing w:val="-3"/>
          <w:sz w:val="18"/>
        </w:rPr>
        <w:t xml:space="preserve"> </w:t>
      </w:r>
      <w:r>
        <w:rPr>
          <w:sz w:val="18"/>
        </w:rPr>
        <w:t>of</w:t>
      </w:r>
      <w:r>
        <w:rPr>
          <w:spacing w:val="-2"/>
          <w:sz w:val="18"/>
        </w:rPr>
        <w:t xml:space="preserve"> </w:t>
      </w:r>
      <w:r>
        <w:rPr>
          <w:sz w:val="18"/>
        </w:rPr>
        <w:t>long</w:t>
      </w:r>
      <w:r>
        <w:rPr>
          <w:spacing w:val="-1"/>
          <w:sz w:val="18"/>
        </w:rPr>
        <w:t xml:space="preserve"> </w:t>
      </w:r>
      <w:r>
        <w:rPr>
          <w:sz w:val="18"/>
        </w:rPr>
        <w:t>service</w:t>
      </w:r>
      <w:r>
        <w:rPr>
          <w:spacing w:val="-3"/>
          <w:sz w:val="18"/>
        </w:rPr>
        <w:t xml:space="preserve"> </w:t>
      </w:r>
      <w:r>
        <w:rPr>
          <w:sz w:val="18"/>
        </w:rPr>
        <w:t>leave,</w:t>
      </w:r>
      <w:r>
        <w:rPr>
          <w:spacing w:val="-2"/>
          <w:sz w:val="18"/>
        </w:rPr>
        <w:t xml:space="preserve"> </w:t>
      </w:r>
      <w:r>
        <w:rPr>
          <w:sz w:val="18"/>
        </w:rPr>
        <w:t>and</w:t>
      </w:r>
      <w:r>
        <w:rPr>
          <w:spacing w:val="-1"/>
          <w:sz w:val="18"/>
        </w:rPr>
        <w:t xml:space="preserve"> </w:t>
      </w:r>
      <w:r>
        <w:rPr>
          <w:sz w:val="18"/>
        </w:rPr>
        <w:t xml:space="preserve">measures to allow for a moratorium on eviction of commercial and residential tenants, rental negotiations, and restricting property inspections. The </w:t>
      </w:r>
      <w:r>
        <w:rPr>
          <w:i/>
          <w:sz w:val="18"/>
        </w:rPr>
        <w:t xml:space="preserve">Public Health (Emergencies) Amendment Act 2020 </w:t>
      </w:r>
      <w:r>
        <w:rPr>
          <w:sz w:val="18"/>
        </w:rPr>
        <w:t>(ACT) was also enacted to extend the timeframe for declared public health emergencies.</w:t>
      </w:r>
    </w:p>
    <w:p w14:paraId="7CB25EBD" w14:textId="77777777" w:rsidR="008A4099" w:rsidRDefault="006A6EE2">
      <w:pPr>
        <w:spacing w:before="13"/>
        <w:ind w:left="160"/>
        <w:rPr>
          <w:sz w:val="18"/>
        </w:rPr>
      </w:pPr>
      <w:r>
        <w:rPr>
          <w:sz w:val="18"/>
          <w:vertAlign w:val="superscript"/>
        </w:rPr>
        <w:t>178</w:t>
      </w:r>
      <w:r>
        <w:rPr>
          <w:spacing w:val="-1"/>
          <w:sz w:val="18"/>
        </w:rPr>
        <w:t xml:space="preserve"> </w:t>
      </w:r>
      <w:r>
        <w:rPr>
          <w:sz w:val="18"/>
        </w:rPr>
        <w:t>See</w:t>
      </w:r>
      <w:r>
        <w:rPr>
          <w:spacing w:val="-1"/>
          <w:sz w:val="18"/>
        </w:rPr>
        <w:t xml:space="preserve"> </w:t>
      </w:r>
      <w:r>
        <w:rPr>
          <w:sz w:val="18"/>
        </w:rPr>
        <w:t>generally,</w:t>
      </w:r>
      <w:r>
        <w:rPr>
          <w:spacing w:val="-1"/>
          <w:sz w:val="18"/>
        </w:rPr>
        <w:t xml:space="preserve"> </w:t>
      </w:r>
      <w:r>
        <w:rPr>
          <w:sz w:val="18"/>
        </w:rPr>
        <w:t>Explanatory</w:t>
      </w:r>
      <w:r>
        <w:rPr>
          <w:spacing w:val="-2"/>
          <w:sz w:val="18"/>
        </w:rPr>
        <w:t xml:space="preserve"> </w:t>
      </w:r>
      <w:r>
        <w:rPr>
          <w:sz w:val="18"/>
        </w:rPr>
        <w:t>Statement,</w:t>
      </w:r>
      <w:r>
        <w:rPr>
          <w:spacing w:val="2"/>
          <w:sz w:val="18"/>
        </w:rPr>
        <w:t xml:space="preserve"> </w:t>
      </w:r>
      <w:r>
        <w:rPr>
          <w:sz w:val="18"/>
        </w:rPr>
        <w:t>COVID-19 Emergency</w:t>
      </w:r>
      <w:r>
        <w:rPr>
          <w:spacing w:val="2"/>
          <w:sz w:val="18"/>
        </w:rPr>
        <w:t xml:space="preserve"> </w:t>
      </w:r>
      <w:r>
        <w:rPr>
          <w:sz w:val="18"/>
        </w:rPr>
        <w:t>Response</w:t>
      </w:r>
      <w:r>
        <w:rPr>
          <w:spacing w:val="-1"/>
          <w:sz w:val="18"/>
        </w:rPr>
        <w:t xml:space="preserve"> </w:t>
      </w:r>
      <w:r>
        <w:rPr>
          <w:sz w:val="18"/>
        </w:rPr>
        <w:t>Bill</w:t>
      </w:r>
      <w:r>
        <w:rPr>
          <w:spacing w:val="1"/>
          <w:sz w:val="18"/>
        </w:rPr>
        <w:t xml:space="preserve"> </w:t>
      </w:r>
      <w:r>
        <w:rPr>
          <w:sz w:val="18"/>
        </w:rPr>
        <w:t>2020</w:t>
      </w:r>
      <w:r>
        <w:rPr>
          <w:spacing w:val="1"/>
          <w:sz w:val="18"/>
        </w:rPr>
        <w:t xml:space="preserve"> </w:t>
      </w:r>
      <w:r>
        <w:rPr>
          <w:spacing w:val="-2"/>
          <w:sz w:val="18"/>
        </w:rPr>
        <w:t>(ACT)</w:t>
      </w:r>
    </w:p>
    <w:p w14:paraId="7CB25EBE" w14:textId="77777777" w:rsidR="008A4099" w:rsidRDefault="006A6EE2">
      <w:pPr>
        <w:spacing w:before="4"/>
        <w:ind w:left="160"/>
        <w:rPr>
          <w:sz w:val="18"/>
        </w:rPr>
      </w:pPr>
      <w:r>
        <w:rPr>
          <w:spacing w:val="-2"/>
          <w:sz w:val="18"/>
        </w:rPr>
        <w:t>&lt;https://</w:t>
      </w:r>
      <w:hyperlink r:id="rId89">
        <w:r>
          <w:rPr>
            <w:spacing w:val="-2"/>
            <w:sz w:val="18"/>
          </w:rPr>
          <w:t>www.legislation.qld.gov.au/view/pdf/bill.first.exp/bill-2020-011</w:t>
        </w:r>
      </w:hyperlink>
      <w:r>
        <w:rPr>
          <w:spacing w:val="-2"/>
          <w:sz w:val="18"/>
        </w:rPr>
        <w:t>&gt;.</w:t>
      </w:r>
    </w:p>
    <w:p w14:paraId="7CB25EBF" w14:textId="77777777" w:rsidR="008A4099" w:rsidRDefault="006A6EE2">
      <w:pPr>
        <w:spacing w:before="19"/>
        <w:ind w:left="160"/>
        <w:rPr>
          <w:sz w:val="18"/>
        </w:rPr>
      </w:pPr>
      <w:r>
        <w:rPr>
          <w:sz w:val="18"/>
          <w:vertAlign w:val="superscript"/>
        </w:rPr>
        <w:t>179</w:t>
      </w:r>
      <w:r>
        <w:rPr>
          <w:spacing w:val="-1"/>
          <w:sz w:val="18"/>
        </w:rPr>
        <w:t xml:space="preserve"> </w:t>
      </w:r>
      <w:r>
        <w:rPr>
          <w:sz w:val="18"/>
        </w:rPr>
        <w:t xml:space="preserve">See </w:t>
      </w:r>
      <w:r>
        <w:rPr>
          <w:i/>
          <w:sz w:val="18"/>
        </w:rPr>
        <w:t>Statement</w:t>
      </w:r>
      <w:r>
        <w:rPr>
          <w:i/>
          <w:spacing w:val="1"/>
          <w:sz w:val="18"/>
        </w:rPr>
        <w:t xml:space="preserve"> </w:t>
      </w:r>
      <w:r>
        <w:rPr>
          <w:i/>
          <w:sz w:val="18"/>
        </w:rPr>
        <w:t>of</w:t>
      </w:r>
      <w:r>
        <w:rPr>
          <w:i/>
          <w:spacing w:val="-2"/>
          <w:sz w:val="18"/>
        </w:rPr>
        <w:t xml:space="preserve"> </w:t>
      </w:r>
      <w:r>
        <w:rPr>
          <w:i/>
          <w:sz w:val="18"/>
        </w:rPr>
        <w:t>Compatibility:</w:t>
      </w:r>
      <w:r>
        <w:rPr>
          <w:i/>
          <w:spacing w:val="-1"/>
          <w:sz w:val="18"/>
        </w:rPr>
        <w:t xml:space="preserve"> </w:t>
      </w:r>
      <w:r>
        <w:rPr>
          <w:i/>
          <w:sz w:val="18"/>
        </w:rPr>
        <w:t>COVID-19</w:t>
      </w:r>
      <w:r>
        <w:rPr>
          <w:i/>
          <w:spacing w:val="1"/>
          <w:sz w:val="18"/>
        </w:rPr>
        <w:t xml:space="preserve"> </w:t>
      </w:r>
      <w:r>
        <w:rPr>
          <w:i/>
          <w:sz w:val="18"/>
        </w:rPr>
        <w:t>Emergency Response</w:t>
      </w:r>
      <w:r>
        <w:rPr>
          <w:i/>
          <w:spacing w:val="-3"/>
          <w:sz w:val="18"/>
        </w:rPr>
        <w:t xml:space="preserve"> </w:t>
      </w:r>
      <w:r>
        <w:rPr>
          <w:i/>
          <w:sz w:val="18"/>
        </w:rPr>
        <w:t>Bill 2020</w:t>
      </w:r>
      <w:r>
        <w:rPr>
          <w:i/>
          <w:spacing w:val="2"/>
          <w:sz w:val="18"/>
        </w:rPr>
        <w:t xml:space="preserve"> </w:t>
      </w:r>
      <w:r>
        <w:rPr>
          <w:sz w:val="18"/>
        </w:rPr>
        <w:t>(State</w:t>
      </w:r>
      <w:r>
        <w:rPr>
          <w:spacing w:val="-1"/>
          <w:sz w:val="18"/>
        </w:rPr>
        <w:t xml:space="preserve"> </w:t>
      </w:r>
      <w:r>
        <w:rPr>
          <w:sz w:val="18"/>
        </w:rPr>
        <w:t>of Queensland,</w:t>
      </w:r>
      <w:r>
        <w:rPr>
          <w:spacing w:val="-1"/>
          <w:sz w:val="18"/>
        </w:rPr>
        <w:t xml:space="preserve"> </w:t>
      </w:r>
      <w:r>
        <w:rPr>
          <w:spacing w:val="-2"/>
          <w:sz w:val="18"/>
        </w:rPr>
        <w:t>2020)</w:t>
      </w:r>
    </w:p>
    <w:p w14:paraId="7CB25EC0" w14:textId="77777777" w:rsidR="008A4099" w:rsidRDefault="006A6EE2">
      <w:pPr>
        <w:spacing w:before="4"/>
        <w:ind w:left="160" w:right="680"/>
        <w:rPr>
          <w:sz w:val="18"/>
        </w:rPr>
      </w:pPr>
      <w:r>
        <w:rPr>
          <w:sz w:val="18"/>
        </w:rPr>
        <w:t>&lt;https://</w:t>
      </w:r>
      <w:hyperlink r:id="rId90">
        <w:r>
          <w:rPr>
            <w:sz w:val="18"/>
          </w:rPr>
          <w:t>www.legislation.qld.gov.au/view/pdf/bill.first.hrc/bill-2020-011</w:t>
        </w:r>
      </w:hyperlink>
      <w:r>
        <w:rPr>
          <w:sz w:val="18"/>
        </w:rPr>
        <w:t>&gt;;</w:t>
      </w:r>
      <w:r>
        <w:rPr>
          <w:spacing w:val="37"/>
          <w:sz w:val="18"/>
        </w:rPr>
        <w:t xml:space="preserve"> </w:t>
      </w:r>
      <w:r>
        <w:rPr>
          <w:i/>
          <w:sz w:val="18"/>
        </w:rPr>
        <w:t>Statement</w:t>
      </w:r>
      <w:r>
        <w:rPr>
          <w:i/>
          <w:spacing w:val="36"/>
          <w:sz w:val="18"/>
        </w:rPr>
        <w:t xml:space="preserve"> </w:t>
      </w:r>
      <w:r>
        <w:rPr>
          <w:i/>
          <w:sz w:val="18"/>
        </w:rPr>
        <w:t>of</w:t>
      </w:r>
      <w:r>
        <w:rPr>
          <w:i/>
          <w:spacing w:val="36"/>
          <w:sz w:val="18"/>
        </w:rPr>
        <w:t xml:space="preserve"> </w:t>
      </w:r>
      <w:r>
        <w:rPr>
          <w:i/>
          <w:sz w:val="18"/>
        </w:rPr>
        <w:t>Compatibility:</w:t>
      </w:r>
      <w:r>
        <w:rPr>
          <w:i/>
          <w:spacing w:val="38"/>
          <w:sz w:val="18"/>
        </w:rPr>
        <w:t xml:space="preserve"> </w:t>
      </w:r>
      <w:r>
        <w:rPr>
          <w:i/>
          <w:sz w:val="18"/>
        </w:rPr>
        <w:t>Public</w:t>
      </w:r>
      <w:r>
        <w:rPr>
          <w:i/>
          <w:spacing w:val="35"/>
          <w:sz w:val="18"/>
        </w:rPr>
        <w:t xml:space="preserve"> </w:t>
      </w:r>
      <w:r>
        <w:rPr>
          <w:i/>
          <w:sz w:val="18"/>
        </w:rPr>
        <w:t>Health</w:t>
      </w:r>
      <w:r>
        <w:rPr>
          <w:i/>
          <w:spacing w:val="34"/>
          <w:sz w:val="18"/>
        </w:rPr>
        <w:t xml:space="preserve"> </w:t>
      </w:r>
      <w:r>
        <w:rPr>
          <w:i/>
          <w:sz w:val="18"/>
        </w:rPr>
        <w:t xml:space="preserve">and Other Legislation (Public Health Emergency) Amendment Bill 2020 </w:t>
      </w:r>
      <w:r>
        <w:rPr>
          <w:sz w:val="18"/>
        </w:rPr>
        <w:t>(State of Queensland, 2020)</w:t>
      </w:r>
    </w:p>
    <w:p w14:paraId="7CB25EC1" w14:textId="77777777" w:rsidR="008A4099" w:rsidRDefault="006A6EE2">
      <w:pPr>
        <w:spacing w:before="1"/>
        <w:ind w:left="160"/>
        <w:rPr>
          <w:sz w:val="18"/>
        </w:rPr>
      </w:pPr>
      <w:r>
        <w:rPr>
          <w:spacing w:val="-2"/>
          <w:sz w:val="18"/>
        </w:rPr>
        <w:t>&lt;https://</w:t>
      </w:r>
      <w:hyperlink r:id="rId91">
        <w:r>
          <w:rPr>
            <w:spacing w:val="-2"/>
            <w:sz w:val="18"/>
          </w:rPr>
          <w:t>www.legislation.qld.gov.au/view/pdf/bill.first.hrc/bill-2020-005</w:t>
        </w:r>
      </w:hyperlink>
      <w:r>
        <w:rPr>
          <w:spacing w:val="-2"/>
          <w:sz w:val="18"/>
        </w:rPr>
        <w:t>&gt;.</w:t>
      </w:r>
    </w:p>
    <w:p w14:paraId="7CB25EC2" w14:textId="77777777" w:rsidR="008A4099" w:rsidRDefault="008A4099">
      <w:pPr>
        <w:rPr>
          <w:sz w:val="18"/>
        </w:rPr>
        <w:sectPr w:rsidR="008A4099" w:rsidSect="00D43B2D">
          <w:pgSz w:w="11910" w:h="16840"/>
          <w:pgMar w:top="980" w:right="760" w:bottom="940" w:left="1280" w:header="718" w:footer="753" w:gutter="0"/>
          <w:cols w:space="720"/>
        </w:sectPr>
      </w:pPr>
    </w:p>
    <w:p w14:paraId="7CB25EC3" w14:textId="77777777" w:rsidR="008A4099" w:rsidRDefault="008A4099">
      <w:pPr>
        <w:pStyle w:val="BodyText"/>
        <w:spacing w:before="194"/>
      </w:pPr>
    </w:p>
    <w:p w14:paraId="7CB25EC4" w14:textId="77777777" w:rsidR="008A4099" w:rsidRDefault="006A6EE2">
      <w:pPr>
        <w:pStyle w:val="BodyText"/>
        <w:spacing w:line="242" w:lineRule="auto"/>
        <w:ind w:left="160" w:right="678"/>
        <w:jc w:val="both"/>
        <w:rPr>
          <w:sz w:val="13"/>
        </w:rPr>
      </w:pPr>
      <w:r>
        <w:t xml:space="preserve">for the COVID-19 Emergency Response Bill noted that safeguards within the Bill and requirements and obligations found in the </w:t>
      </w:r>
      <w:r>
        <w:rPr>
          <w:i/>
        </w:rPr>
        <w:t xml:space="preserve">Human Rights Act 2019 </w:t>
      </w:r>
      <w:r>
        <w:t>(Qld) would ensure that Queenslanders’ human rights would be protected.</w:t>
      </w:r>
      <w:r>
        <w:rPr>
          <w:position w:val="7"/>
          <w:sz w:val="13"/>
        </w:rPr>
        <w:t>180</w:t>
      </w:r>
    </w:p>
    <w:p w14:paraId="7CB25EC5" w14:textId="77777777" w:rsidR="008A4099" w:rsidRDefault="006A6EE2">
      <w:pPr>
        <w:pStyle w:val="ListParagraph"/>
        <w:numPr>
          <w:ilvl w:val="2"/>
          <w:numId w:val="6"/>
        </w:numPr>
        <w:tabs>
          <w:tab w:val="left" w:pos="879"/>
        </w:tabs>
        <w:spacing w:before="214"/>
        <w:ind w:right="676" w:firstLine="0"/>
        <w:jc w:val="both"/>
        <w:rPr>
          <w:sz w:val="13"/>
        </w:rPr>
      </w:pPr>
      <w:r>
        <w:t>Given the urgency necessitated by the pandemic, the process set out in the human rights enactments was modified to allow for a timely response. For example, due to the</w:t>
      </w:r>
      <w:r>
        <w:rPr>
          <w:spacing w:val="-1"/>
        </w:rPr>
        <w:t xml:space="preserve"> </w:t>
      </w:r>
      <w:r>
        <w:t>emergency nature of the ACT Covid Bill, the Bill was passed before the scrutiny review process was completed, deferring the human rights assessment post-enactment.</w:t>
      </w:r>
      <w:r>
        <w:rPr>
          <w:position w:val="7"/>
          <w:sz w:val="13"/>
        </w:rPr>
        <w:t xml:space="preserve">181 </w:t>
      </w:r>
      <w:r>
        <w:t>In its subsequent review, the Standing Committee on Justice and Community Safety (‘ACT Scrutiny Committee’) found that the ACT Covid Act was predominantly human rights compliant. The ACT Scrutiny Committee concluded that, where rights were</w:t>
      </w:r>
      <w:r>
        <w:rPr>
          <w:spacing w:val="-2"/>
        </w:rPr>
        <w:t xml:space="preserve"> </w:t>
      </w:r>
      <w:r>
        <w:t>limited by</w:t>
      </w:r>
      <w:r>
        <w:rPr>
          <w:spacing w:val="-3"/>
        </w:rPr>
        <w:t xml:space="preserve"> </w:t>
      </w:r>
      <w:r>
        <w:t>the Act,</w:t>
      </w:r>
      <w:r>
        <w:rPr>
          <w:spacing w:val="-2"/>
        </w:rPr>
        <w:t xml:space="preserve"> </w:t>
      </w:r>
      <w:r>
        <w:t>appropriate</w:t>
      </w:r>
      <w:r>
        <w:rPr>
          <w:spacing w:val="-2"/>
        </w:rPr>
        <w:t xml:space="preserve"> </w:t>
      </w:r>
      <w:r>
        <w:t>justification had been provided</w:t>
      </w:r>
      <w:r>
        <w:rPr>
          <w:spacing w:val="-2"/>
        </w:rPr>
        <w:t xml:space="preserve"> </w:t>
      </w:r>
      <w:r>
        <w:t>in</w:t>
      </w:r>
      <w:r>
        <w:rPr>
          <w:spacing w:val="-3"/>
        </w:rPr>
        <w:t xml:space="preserve"> </w:t>
      </w:r>
      <w:r>
        <w:t>the</w:t>
      </w:r>
      <w:r>
        <w:rPr>
          <w:spacing w:val="-2"/>
        </w:rPr>
        <w:t xml:space="preserve"> </w:t>
      </w:r>
      <w:r>
        <w:t>explanatory</w:t>
      </w:r>
      <w:r>
        <w:rPr>
          <w:spacing w:val="-3"/>
        </w:rPr>
        <w:t xml:space="preserve"> </w:t>
      </w:r>
      <w:r>
        <w:t>statement.</w:t>
      </w:r>
      <w:r>
        <w:rPr>
          <w:position w:val="7"/>
          <w:sz w:val="13"/>
        </w:rPr>
        <w:t>182</w:t>
      </w:r>
      <w:r>
        <w:rPr>
          <w:spacing w:val="22"/>
          <w:position w:val="7"/>
          <w:sz w:val="13"/>
        </w:rPr>
        <w:t xml:space="preserve"> </w:t>
      </w:r>
      <w:r>
        <w:t>In addition,</w:t>
      </w:r>
      <w:r>
        <w:rPr>
          <w:spacing w:val="-10"/>
        </w:rPr>
        <w:t xml:space="preserve"> </w:t>
      </w:r>
      <w:r>
        <w:t>the</w:t>
      </w:r>
      <w:r>
        <w:rPr>
          <w:spacing w:val="-9"/>
        </w:rPr>
        <w:t xml:space="preserve"> </w:t>
      </w:r>
      <w:r>
        <w:t>Committee</w:t>
      </w:r>
      <w:r>
        <w:rPr>
          <w:spacing w:val="-9"/>
        </w:rPr>
        <w:t xml:space="preserve"> </w:t>
      </w:r>
      <w:r>
        <w:t>was</w:t>
      </w:r>
      <w:r>
        <w:rPr>
          <w:spacing w:val="-6"/>
        </w:rPr>
        <w:t xml:space="preserve"> </w:t>
      </w:r>
      <w:r>
        <w:t>provided</w:t>
      </w:r>
      <w:r>
        <w:rPr>
          <w:spacing w:val="-9"/>
        </w:rPr>
        <w:t xml:space="preserve"> </w:t>
      </w:r>
      <w:r>
        <w:t>with</w:t>
      </w:r>
      <w:r>
        <w:rPr>
          <w:spacing w:val="-7"/>
        </w:rPr>
        <w:t xml:space="preserve"> </w:t>
      </w:r>
      <w:r>
        <w:t>a</w:t>
      </w:r>
      <w:r>
        <w:rPr>
          <w:spacing w:val="-9"/>
        </w:rPr>
        <w:t xml:space="preserve"> </w:t>
      </w:r>
      <w:r>
        <w:t>draft</w:t>
      </w:r>
      <w:r>
        <w:rPr>
          <w:spacing w:val="-8"/>
        </w:rPr>
        <w:t xml:space="preserve"> </w:t>
      </w:r>
      <w:r>
        <w:t>copy</w:t>
      </w:r>
      <w:r>
        <w:rPr>
          <w:spacing w:val="-9"/>
        </w:rPr>
        <w:t xml:space="preserve"> </w:t>
      </w:r>
      <w:r>
        <w:t>of</w:t>
      </w:r>
      <w:r>
        <w:rPr>
          <w:spacing w:val="-9"/>
        </w:rPr>
        <w:t xml:space="preserve"> </w:t>
      </w:r>
      <w:r>
        <w:t>a</w:t>
      </w:r>
      <w:r>
        <w:rPr>
          <w:spacing w:val="-9"/>
        </w:rPr>
        <w:t xml:space="preserve"> </w:t>
      </w:r>
      <w:r>
        <w:t>subsequent</w:t>
      </w:r>
      <w:r>
        <w:rPr>
          <w:spacing w:val="-8"/>
        </w:rPr>
        <w:t xml:space="preserve"> </w:t>
      </w:r>
      <w:r>
        <w:t>amending</w:t>
      </w:r>
      <w:r>
        <w:rPr>
          <w:spacing w:val="-12"/>
        </w:rPr>
        <w:t xml:space="preserve"> </w:t>
      </w:r>
      <w:r>
        <w:t>Bill</w:t>
      </w:r>
      <w:r>
        <w:rPr>
          <w:spacing w:val="-8"/>
        </w:rPr>
        <w:t xml:space="preserve"> </w:t>
      </w:r>
      <w:r>
        <w:t>and</w:t>
      </w:r>
      <w:r>
        <w:rPr>
          <w:spacing w:val="-10"/>
        </w:rPr>
        <w:t xml:space="preserve"> </w:t>
      </w:r>
      <w:r>
        <w:t>explanatory statement prior to its introduction to Parliament. The Committee raised various concerns with the Attorney-General,</w:t>
      </w:r>
      <w:r>
        <w:rPr>
          <w:spacing w:val="-11"/>
        </w:rPr>
        <w:t xml:space="preserve"> </w:t>
      </w:r>
      <w:r>
        <w:t>who</w:t>
      </w:r>
      <w:r>
        <w:rPr>
          <w:spacing w:val="-12"/>
        </w:rPr>
        <w:t xml:space="preserve"> </w:t>
      </w:r>
      <w:r>
        <w:t>made</w:t>
      </w:r>
      <w:r>
        <w:rPr>
          <w:spacing w:val="-10"/>
        </w:rPr>
        <w:t xml:space="preserve"> </w:t>
      </w:r>
      <w:r>
        <w:t>several</w:t>
      </w:r>
      <w:r>
        <w:rPr>
          <w:spacing w:val="-11"/>
        </w:rPr>
        <w:t xml:space="preserve"> </w:t>
      </w:r>
      <w:r>
        <w:t>amendments</w:t>
      </w:r>
      <w:r>
        <w:rPr>
          <w:spacing w:val="-12"/>
        </w:rPr>
        <w:t xml:space="preserve"> </w:t>
      </w:r>
      <w:r>
        <w:t>to</w:t>
      </w:r>
      <w:r>
        <w:rPr>
          <w:spacing w:val="-12"/>
        </w:rPr>
        <w:t xml:space="preserve"> </w:t>
      </w:r>
      <w:r>
        <w:t>address</w:t>
      </w:r>
      <w:r>
        <w:rPr>
          <w:spacing w:val="-11"/>
        </w:rPr>
        <w:t xml:space="preserve"> </w:t>
      </w:r>
      <w:r>
        <w:t>those</w:t>
      </w:r>
      <w:r>
        <w:rPr>
          <w:spacing w:val="-10"/>
        </w:rPr>
        <w:t xml:space="preserve"> </w:t>
      </w:r>
      <w:r>
        <w:t>concerns</w:t>
      </w:r>
      <w:r>
        <w:rPr>
          <w:spacing w:val="-12"/>
        </w:rPr>
        <w:t xml:space="preserve"> </w:t>
      </w:r>
      <w:r>
        <w:t>before</w:t>
      </w:r>
      <w:r>
        <w:rPr>
          <w:spacing w:val="-10"/>
        </w:rPr>
        <w:t xml:space="preserve"> </w:t>
      </w:r>
      <w:r>
        <w:t>the</w:t>
      </w:r>
      <w:r>
        <w:rPr>
          <w:spacing w:val="-10"/>
        </w:rPr>
        <w:t xml:space="preserve"> </w:t>
      </w:r>
      <w:r>
        <w:t>amendment</w:t>
      </w:r>
      <w:r>
        <w:rPr>
          <w:spacing w:val="-11"/>
        </w:rPr>
        <w:t xml:space="preserve"> </w:t>
      </w:r>
      <w:r>
        <w:t>Bill was introduced. The revised Bill was passed shortly after its introduction.</w:t>
      </w:r>
      <w:r>
        <w:rPr>
          <w:position w:val="7"/>
          <w:sz w:val="13"/>
        </w:rPr>
        <w:t>183</w:t>
      </w:r>
    </w:p>
    <w:p w14:paraId="7CB25EC6" w14:textId="77777777" w:rsidR="008A4099" w:rsidRDefault="006A6EE2">
      <w:pPr>
        <w:pStyle w:val="ListParagraph"/>
        <w:numPr>
          <w:ilvl w:val="2"/>
          <w:numId w:val="6"/>
        </w:numPr>
        <w:tabs>
          <w:tab w:val="left" w:pos="879"/>
        </w:tabs>
        <w:spacing w:before="216"/>
        <w:ind w:right="674" w:firstLine="0"/>
        <w:jc w:val="both"/>
      </w:pPr>
      <w:r>
        <w:t>There</w:t>
      </w:r>
      <w:r>
        <w:rPr>
          <w:spacing w:val="-14"/>
        </w:rPr>
        <w:t xml:space="preserve"> </w:t>
      </w:r>
      <w:r>
        <w:t>was</w:t>
      </w:r>
      <w:r>
        <w:rPr>
          <w:spacing w:val="-14"/>
        </w:rPr>
        <w:t xml:space="preserve"> </w:t>
      </w:r>
      <w:r>
        <w:t>also</w:t>
      </w:r>
      <w:r>
        <w:rPr>
          <w:spacing w:val="-14"/>
        </w:rPr>
        <w:t xml:space="preserve"> </w:t>
      </w:r>
      <w:r>
        <w:t>ongoing</w:t>
      </w:r>
      <w:r>
        <w:rPr>
          <w:spacing w:val="-13"/>
        </w:rPr>
        <w:t xml:space="preserve"> </w:t>
      </w:r>
      <w:r>
        <w:t>parliamentary</w:t>
      </w:r>
      <w:r>
        <w:rPr>
          <w:spacing w:val="-14"/>
        </w:rPr>
        <w:t xml:space="preserve"> </w:t>
      </w:r>
      <w:r>
        <w:t>scrutiny</w:t>
      </w:r>
      <w:r>
        <w:rPr>
          <w:spacing w:val="-14"/>
        </w:rPr>
        <w:t xml:space="preserve"> </w:t>
      </w:r>
      <w:r>
        <w:t>of</w:t>
      </w:r>
      <w:r>
        <w:rPr>
          <w:spacing w:val="-14"/>
        </w:rPr>
        <w:t xml:space="preserve"> </w:t>
      </w:r>
      <w:r>
        <w:t>legislation</w:t>
      </w:r>
      <w:r>
        <w:rPr>
          <w:spacing w:val="-13"/>
        </w:rPr>
        <w:t xml:space="preserve"> </w:t>
      </w:r>
      <w:r>
        <w:t>under</w:t>
      </w:r>
      <w:r>
        <w:rPr>
          <w:spacing w:val="-14"/>
        </w:rPr>
        <w:t xml:space="preserve"> </w:t>
      </w:r>
      <w:r>
        <w:t>the</w:t>
      </w:r>
      <w:r>
        <w:rPr>
          <w:spacing w:val="-14"/>
        </w:rPr>
        <w:t xml:space="preserve"> </w:t>
      </w:r>
      <w:r>
        <w:t>framework</w:t>
      </w:r>
      <w:r>
        <w:rPr>
          <w:spacing w:val="-14"/>
        </w:rPr>
        <w:t xml:space="preserve"> </w:t>
      </w:r>
      <w:r>
        <w:t>of</w:t>
      </w:r>
      <w:r>
        <w:rPr>
          <w:spacing w:val="-13"/>
        </w:rPr>
        <w:t xml:space="preserve"> </w:t>
      </w:r>
      <w:r>
        <w:t>the</w:t>
      </w:r>
      <w:r>
        <w:rPr>
          <w:spacing w:val="-14"/>
        </w:rPr>
        <w:t xml:space="preserve"> </w:t>
      </w:r>
      <w:r>
        <w:t>human rights</w:t>
      </w:r>
      <w:r>
        <w:rPr>
          <w:spacing w:val="-4"/>
        </w:rPr>
        <w:t xml:space="preserve"> </w:t>
      </w:r>
      <w:r>
        <w:t>enactments.</w:t>
      </w:r>
      <w:r>
        <w:rPr>
          <w:spacing w:val="-4"/>
        </w:rPr>
        <w:t xml:space="preserve"> </w:t>
      </w:r>
      <w:r>
        <w:t>The</w:t>
      </w:r>
      <w:r>
        <w:rPr>
          <w:spacing w:val="-5"/>
        </w:rPr>
        <w:t xml:space="preserve"> </w:t>
      </w:r>
      <w:r>
        <w:t>ACT</w:t>
      </w:r>
      <w:r>
        <w:rPr>
          <w:spacing w:val="-5"/>
        </w:rPr>
        <w:t xml:space="preserve"> </w:t>
      </w:r>
      <w:r>
        <w:t>Parliament</w:t>
      </w:r>
      <w:r>
        <w:rPr>
          <w:spacing w:val="-4"/>
        </w:rPr>
        <w:t xml:space="preserve"> </w:t>
      </w:r>
      <w:r>
        <w:t>established</w:t>
      </w:r>
      <w:r>
        <w:rPr>
          <w:spacing w:val="-7"/>
        </w:rPr>
        <w:t xml:space="preserve"> </w:t>
      </w:r>
      <w:r>
        <w:t>the</w:t>
      </w:r>
      <w:r>
        <w:rPr>
          <w:spacing w:val="-4"/>
        </w:rPr>
        <w:t xml:space="preserve"> </w:t>
      </w:r>
      <w:r>
        <w:t>Select</w:t>
      </w:r>
      <w:r>
        <w:rPr>
          <w:spacing w:val="-4"/>
        </w:rPr>
        <w:t xml:space="preserve"> </w:t>
      </w:r>
      <w:r>
        <w:t>Committee</w:t>
      </w:r>
      <w:r>
        <w:rPr>
          <w:spacing w:val="-4"/>
        </w:rPr>
        <w:t xml:space="preserve"> </w:t>
      </w:r>
      <w:r>
        <w:t>on</w:t>
      </w:r>
      <w:r>
        <w:rPr>
          <w:spacing w:val="-5"/>
        </w:rPr>
        <w:t xml:space="preserve"> </w:t>
      </w:r>
      <w:r>
        <w:t>the</w:t>
      </w:r>
      <w:r>
        <w:rPr>
          <w:spacing w:val="-7"/>
        </w:rPr>
        <w:t xml:space="preserve"> </w:t>
      </w:r>
      <w:r>
        <w:t>COVID-19</w:t>
      </w:r>
      <w:r>
        <w:rPr>
          <w:spacing w:val="-5"/>
        </w:rPr>
        <w:t xml:space="preserve"> </w:t>
      </w:r>
      <w:r>
        <w:t>Pandemic Response</w:t>
      </w:r>
      <w:r>
        <w:rPr>
          <w:spacing w:val="-2"/>
        </w:rPr>
        <w:t xml:space="preserve"> </w:t>
      </w:r>
      <w:r>
        <w:t>(‘ACT</w:t>
      </w:r>
      <w:r>
        <w:rPr>
          <w:spacing w:val="-2"/>
        </w:rPr>
        <w:t xml:space="preserve"> </w:t>
      </w:r>
      <w:r>
        <w:t>Covid</w:t>
      </w:r>
      <w:r>
        <w:rPr>
          <w:spacing w:val="-2"/>
        </w:rPr>
        <w:t xml:space="preserve"> </w:t>
      </w:r>
      <w:r>
        <w:t>Select</w:t>
      </w:r>
      <w:r>
        <w:rPr>
          <w:spacing w:val="-1"/>
        </w:rPr>
        <w:t xml:space="preserve"> </w:t>
      </w:r>
      <w:r>
        <w:t>Committee’)</w:t>
      </w:r>
      <w:r>
        <w:rPr>
          <w:spacing w:val="-2"/>
        </w:rPr>
        <w:t xml:space="preserve"> </w:t>
      </w:r>
      <w:r>
        <w:t>at</w:t>
      </w:r>
      <w:r>
        <w:rPr>
          <w:spacing w:val="-4"/>
        </w:rPr>
        <w:t xml:space="preserve"> </w:t>
      </w:r>
      <w:r>
        <w:t>the</w:t>
      </w:r>
      <w:r>
        <w:rPr>
          <w:spacing w:val="-2"/>
        </w:rPr>
        <w:t xml:space="preserve"> </w:t>
      </w:r>
      <w:r>
        <w:t>outset</w:t>
      </w:r>
      <w:r>
        <w:rPr>
          <w:spacing w:val="-1"/>
        </w:rPr>
        <w:t xml:space="preserve"> </w:t>
      </w:r>
      <w:r>
        <w:t>of</w:t>
      </w:r>
      <w:r>
        <w:rPr>
          <w:spacing w:val="-4"/>
        </w:rPr>
        <w:t xml:space="preserve"> </w:t>
      </w:r>
      <w:r>
        <w:t>the</w:t>
      </w:r>
      <w:r>
        <w:rPr>
          <w:spacing w:val="-2"/>
        </w:rPr>
        <w:t xml:space="preserve"> </w:t>
      </w:r>
      <w:r>
        <w:t>pandemic</w:t>
      </w:r>
      <w:r>
        <w:rPr>
          <w:spacing w:val="-2"/>
        </w:rPr>
        <w:t xml:space="preserve"> </w:t>
      </w:r>
      <w:r>
        <w:t>to</w:t>
      </w:r>
      <w:r>
        <w:rPr>
          <w:spacing w:val="-2"/>
        </w:rPr>
        <w:t xml:space="preserve"> </w:t>
      </w:r>
      <w:r>
        <w:t>consider</w:t>
      </w:r>
      <w:r>
        <w:rPr>
          <w:spacing w:val="-1"/>
        </w:rPr>
        <w:t xml:space="preserve"> </w:t>
      </w:r>
      <w:r>
        <w:t>and</w:t>
      </w:r>
      <w:r>
        <w:rPr>
          <w:spacing w:val="-4"/>
        </w:rPr>
        <w:t xml:space="preserve"> </w:t>
      </w:r>
      <w:r>
        <w:t>report</w:t>
      </w:r>
      <w:r>
        <w:rPr>
          <w:spacing w:val="-1"/>
        </w:rPr>
        <w:t xml:space="preserve"> </w:t>
      </w:r>
      <w:r>
        <w:t>on</w:t>
      </w:r>
      <w:r>
        <w:rPr>
          <w:spacing w:val="-2"/>
        </w:rPr>
        <w:t xml:space="preserve"> </w:t>
      </w:r>
      <w:r>
        <w:t>the government’s response to the pandemic.</w:t>
      </w:r>
      <w:r>
        <w:rPr>
          <w:position w:val="7"/>
          <w:sz w:val="13"/>
        </w:rPr>
        <w:t xml:space="preserve">184 </w:t>
      </w:r>
      <w:r>
        <w:t>It produced five reports; the government responded to the recommendations made in each report.</w:t>
      </w:r>
    </w:p>
    <w:p w14:paraId="7CB25EC7" w14:textId="77777777" w:rsidR="008A4099" w:rsidRDefault="006A6EE2">
      <w:pPr>
        <w:pStyle w:val="ListParagraph"/>
        <w:numPr>
          <w:ilvl w:val="2"/>
          <w:numId w:val="6"/>
        </w:numPr>
        <w:tabs>
          <w:tab w:val="left" w:pos="935"/>
        </w:tabs>
        <w:spacing w:before="215"/>
        <w:ind w:right="674" w:firstLine="0"/>
        <w:jc w:val="both"/>
        <w:rPr>
          <w:i/>
        </w:rPr>
      </w:pPr>
      <w:r>
        <w:t>As</w:t>
      </w:r>
      <w:r>
        <w:rPr>
          <w:spacing w:val="-8"/>
        </w:rPr>
        <w:t xml:space="preserve"> </w:t>
      </w:r>
      <w:r>
        <w:t>with</w:t>
      </w:r>
      <w:r>
        <w:rPr>
          <w:spacing w:val="-11"/>
        </w:rPr>
        <w:t xml:space="preserve"> </w:t>
      </w:r>
      <w:r>
        <w:t>the</w:t>
      </w:r>
      <w:r>
        <w:rPr>
          <w:spacing w:val="-8"/>
        </w:rPr>
        <w:t xml:space="preserve"> </w:t>
      </w:r>
      <w:r>
        <w:t>ACT,</w:t>
      </w:r>
      <w:r>
        <w:rPr>
          <w:spacing w:val="-9"/>
        </w:rPr>
        <w:t xml:space="preserve"> </w:t>
      </w:r>
      <w:r>
        <w:t>in</w:t>
      </w:r>
      <w:r>
        <w:rPr>
          <w:spacing w:val="-11"/>
        </w:rPr>
        <w:t xml:space="preserve"> </w:t>
      </w:r>
      <w:r>
        <w:t>Queensland,</w:t>
      </w:r>
      <w:r>
        <w:rPr>
          <w:spacing w:val="-9"/>
        </w:rPr>
        <w:t xml:space="preserve"> </w:t>
      </w:r>
      <w:r>
        <w:t>standing</w:t>
      </w:r>
      <w:r>
        <w:rPr>
          <w:spacing w:val="-11"/>
        </w:rPr>
        <w:t xml:space="preserve"> </w:t>
      </w:r>
      <w:r>
        <w:t>rules</w:t>
      </w:r>
      <w:r>
        <w:rPr>
          <w:spacing w:val="-10"/>
        </w:rPr>
        <w:t xml:space="preserve"> </w:t>
      </w:r>
      <w:r>
        <w:t>allow</w:t>
      </w:r>
      <w:r>
        <w:rPr>
          <w:spacing w:val="-12"/>
        </w:rPr>
        <w:t xml:space="preserve"> </w:t>
      </w:r>
      <w:r>
        <w:t>Bills</w:t>
      </w:r>
      <w:r>
        <w:rPr>
          <w:spacing w:val="-8"/>
        </w:rPr>
        <w:t xml:space="preserve"> </w:t>
      </w:r>
      <w:r>
        <w:t>declared</w:t>
      </w:r>
      <w:r>
        <w:rPr>
          <w:spacing w:val="-9"/>
        </w:rPr>
        <w:t xml:space="preserve"> </w:t>
      </w:r>
      <w:r>
        <w:t>to</w:t>
      </w:r>
      <w:r>
        <w:rPr>
          <w:spacing w:val="-11"/>
        </w:rPr>
        <w:t xml:space="preserve"> </w:t>
      </w:r>
      <w:r>
        <w:t>be</w:t>
      </w:r>
      <w:r>
        <w:rPr>
          <w:spacing w:val="-8"/>
        </w:rPr>
        <w:t xml:space="preserve"> </w:t>
      </w:r>
      <w:r>
        <w:t>urgent</w:t>
      </w:r>
      <w:r>
        <w:rPr>
          <w:spacing w:val="-10"/>
        </w:rPr>
        <w:t xml:space="preserve"> </w:t>
      </w:r>
      <w:r>
        <w:t>to</w:t>
      </w:r>
      <w:r>
        <w:rPr>
          <w:spacing w:val="-9"/>
        </w:rPr>
        <w:t xml:space="preserve"> </w:t>
      </w:r>
      <w:r>
        <w:t>be</w:t>
      </w:r>
      <w:r>
        <w:rPr>
          <w:spacing w:val="-8"/>
        </w:rPr>
        <w:t xml:space="preserve"> </w:t>
      </w:r>
      <w:r>
        <w:t>debated without scrutiny by the relevant portfolio committee, including scrutiny of human rights.</w:t>
      </w:r>
      <w:r>
        <w:rPr>
          <w:position w:val="7"/>
          <w:sz w:val="13"/>
        </w:rPr>
        <w:t>185</w:t>
      </w:r>
      <w:r>
        <w:rPr>
          <w:spacing w:val="37"/>
          <w:position w:val="7"/>
          <w:sz w:val="13"/>
        </w:rPr>
        <w:t xml:space="preserve"> </w:t>
      </w:r>
      <w:r>
        <w:t xml:space="preserve">Both the </w:t>
      </w:r>
      <w:r>
        <w:rPr>
          <w:i/>
        </w:rPr>
        <w:t xml:space="preserve">Public Health and Other Legislation (Public Health Emergency) Amendment Act 2020 </w:t>
      </w:r>
      <w:r>
        <w:t xml:space="preserve">(Qld) and the </w:t>
      </w:r>
      <w:r>
        <w:rPr>
          <w:i/>
        </w:rPr>
        <w:t xml:space="preserve">COVID-19 Emergency Response Act 2020 </w:t>
      </w:r>
      <w:r>
        <w:t>(Qld) were declared urgent and passed with little consultation.</w:t>
      </w:r>
      <w:r>
        <w:rPr>
          <w:position w:val="7"/>
          <w:sz w:val="13"/>
        </w:rPr>
        <w:t>186</w:t>
      </w:r>
      <w:r>
        <w:rPr>
          <w:spacing w:val="30"/>
          <w:position w:val="7"/>
          <w:sz w:val="13"/>
        </w:rPr>
        <w:t xml:space="preserve"> </w:t>
      </w:r>
      <w:r>
        <w:t>Subsequent</w:t>
      </w:r>
      <w:r>
        <w:rPr>
          <w:spacing w:val="10"/>
        </w:rPr>
        <w:t xml:space="preserve"> </w:t>
      </w:r>
      <w:r>
        <w:t>Bills,</w:t>
      </w:r>
      <w:r>
        <w:rPr>
          <w:spacing w:val="8"/>
        </w:rPr>
        <w:t xml:space="preserve"> </w:t>
      </w:r>
      <w:r>
        <w:t>such</w:t>
      </w:r>
      <w:r>
        <w:rPr>
          <w:spacing w:val="9"/>
        </w:rPr>
        <w:t xml:space="preserve"> </w:t>
      </w:r>
      <w:r>
        <w:t>as</w:t>
      </w:r>
      <w:r>
        <w:rPr>
          <w:spacing w:val="7"/>
        </w:rPr>
        <w:t xml:space="preserve"> </w:t>
      </w:r>
      <w:r>
        <w:t>the</w:t>
      </w:r>
      <w:r>
        <w:rPr>
          <w:spacing w:val="11"/>
        </w:rPr>
        <w:t xml:space="preserve"> </w:t>
      </w:r>
      <w:r>
        <w:rPr>
          <w:i/>
        </w:rPr>
        <w:t>COVID-19</w:t>
      </w:r>
      <w:r>
        <w:rPr>
          <w:i/>
          <w:spacing w:val="6"/>
        </w:rPr>
        <w:t xml:space="preserve"> </w:t>
      </w:r>
      <w:r>
        <w:rPr>
          <w:i/>
        </w:rPr>
        <w:t>Emergency</w:t>
      </w:r>
      <w:r>
        <w:rPr>
          <w:i/>
          <w:spacing w:val="9"/>
        </w:rPr>
        <w:t xml:space="preserve"> </w:t>
      </w:r>
      <w:r>
        <w:rPr>
          <w:i/>
        </w:rPr>
        <w:t>Response</w:t>
      </w:r>
      <w:r>
        <w:rPr>
          <w:i/>
          <w:spacing w:val="8"/>
        </w:rPr>
        <w:t xml:space="preserve"> </w:t>
      </w:r>
      <w:r>
        <w:rPr>
          <w:i/>
        </w:rPr>
        <w:t>and</w:t>
      </w:r>
      <w:r>
        <w:rPr>
          <w:i/>
          <w:spacing w:val="6"/>
        </w:rPr>
        <w:t xml:space="preserve"> </w:t>
      </w:r>
      <w:r>
        <w:rPr>
          <w:i/>
        </w:rPr>
        <w:t>Other</w:t>
      </w:r>
      <w:r>
        <w:rPr>
          <w:i/>
          <w:spacing w:val="9"/>
        </w:rPr>
        <w:t xml:space="preserve"> </w:t>
      </w:r>
      <w:r>
        <w:rPr>
          <w:i/>
          <w:spacing w:val="-2"/>
        </w:rPr>
        <w:t>Legislation</w:t>
      </w:r>
    </w:p>
    <w:p w14:paraId="7CB25EC8" w14:textId="77777777" w:rsidR="008A4099" w:rsidRDefault="008A4099">
      <w:pPr>
        <w:pStyle w:val="BodyText"/>
        <w:rPr>
          <w:i/>
          <w:sz w:val="20"/>
        </w:rPr>
      </w:pPr>
    </w:p>
    <w:p w14:paraId="7CB25EC9" w14:textId="77777777" w:rsidR="008A4099" w:rsidRDefault="008A4099">
      <w:pPr>
        <w:pStyle w:val="BodyText"/>
        <w:rPr>
          <w:i/>
          <w:sz w:val="20"/>
        </w:rPr>
      </w:pPr>
    </w:p>
    <w:p w14:paraId="7CB25ECA" w14:textId="77777777" w:rsidR="008A4099" w:rsidRDefault="008A4099">
      <w:pPr>
        <w:pStyle w:val="BodyText"/>
        <w:rPr>
          <w:i/>
          <w:sz w:val="20"/>
        </w:rPr>
      </w:pPr>
    </w:p>
    <w:p w14:paraId="7CB25ECB" w14:textId="77777777" w:rsidR="008A4099" w:rsidRDefault="006A6EE2">
      <w:pPr>
        <w:pStyle w:val="BodyText"/>
        <w:spacing w:before="162"/>
        <w:rPr>
          <w:i/>
          <w:sz w:val="20"/>
        </w:rPr>
      </w:pPr>
      <w:r>
        <w:rPr>
          <w:noProof/>
        </w:rPr>
        <mc:AlternateContent>
          <mc:Choice Requires="wps">
            <w:drawing>
              <wp:anchor distT="0" distB="0" distL="0" distR="0" simplePos="0" relativeHeight="487602688" behindDoc="1" locked="0" layoutInCell="1" allowOverlap="1" wp14:anchorId="7CB26613" wp14:editId="7CB26614">
                <wp:simplePos x="0" y="0"/>
                <wp:positionH relativeFrom="page">
                  <wp:posOffset>914704</wp:posOffset>
                </wp:positionH>
                <wp:positionV relativeFrom="paragraph">
                  <wp:posOffset>264294</wp:posOffset>
                </wp:positionV>
                <wp:extent cx="1829435" cy="762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822038" id="Graphic 71" o:spid="_x0000_s1026" style="position:absolute;margin-left:1in;margin-top:20.8pt;width:144.05pt;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" path="m1829054,l,,,7620r1829054,l1829054,xe" fillcolor="black" stroked="f">
                <v:path arrowok="t"/>
                <w10:wrap type="topAndBottom" anchorx="page"/>
              </v:shape>
            </w:pict>
          </mc:Fallback>
        </mc:AlternateContent>
      </w:r>
    </w:p>
    <w:p w14:paraId="7CB25ECC" w14:textId="77777777" w:rsidR="008A4099" w:rsidRDefault="006A6EE2">
      <w:pPr>
        <w:spacing w:before="112"/>
        <w:ind w:left="160" w:right="673"/>
        <w:jc w:val="both"/>
        <w:rPr>
          <w:sz w:val="18"/>
        </w:rPr>
      </w:pPr>
      <w:r>
        <w:rPr>
          <w:sz w:val="18"/>
          <w:vertAlign w:val="superscript"/>
        </w:rPr>
        <w:t>180</w:t>
      </w:r>
      <w:r>
        <w:rPr>
          <w:sz w:val="18"/>
        </w:rPr>
        <w:t xml:space="preserve"> </w:t>
      </w:r>
      <w:r>
        <w:rPr>
          <w:i/>
          <w:sz w:val="18"/>
        </w:rPr>
        <w:t xml:space="preserve">Statement of Compatibility: COVID-19 Emergency Response Bill 2020 </w:t>
      </w:r>
      <w:r>
        <w:rPr>
          <w:sz w:val="18"/>
        </w:rPr>
        <w:t xml:space="preserve">21, 25–26. The Statement noted that entities exercising powers under the Bill would be ‘public entities’ under the </w:t>
      </w:r>
      <w:r>
        <w:rPr>
          <w:i/>
          <w:sz w:val="18"/>
        </w:rPr>
        <w:t xml:space="preserve">Human Rights Act 2019 </w:t>
      </w:r>
      <w:r>
        <w:rPr>
          <w:sz w:val="18"/>
        </w:rPr>
        <w:t>(Qld) and would therefore be required</w:t>
      </w:r>
      <w:r>
        <w:rPr>
          <w:spacing w:val="-11"/>
          <w:sz w:val="18"/>
        </w:rPr>
        <w:t xml:space="preserve"> </w:t>
      </w:r>
      <w:r>
        <w:rPr>
          <w:sz w:val="18"/>
        </w:rPr>
        <w:t>to</w:t>
      </w:r>
      <w:r>
        <w:rPr>
          <w:spacing w:val="-10"/>
          <w:sz w:val="18"/>
        </w:rPr>
        <w:t xml:space="preserve"> </w:t>
      </w:r>
      <w:r>
        <w:rPr>
          <w:sz w:val="18"/>
        </w:rPr>
        <w:t>‘give</w:t>
      </w:r>
      <w:r>
        <w:rPr>
          <w:spacing w:val="-10"/>
          <w:sz w:val="18"/>
        </w:rPr>
        <w:t xml:space="preserve"> </w:t>
      </w:r>
      <w:r>
        <w:rPr>
          <w:sz w:val="18"/>
        </w:rPr>
        <w:t>proper</w:t>
      </w:r>
      <w:r>
        <w:rPr>
          <w:spacing w:val="-11"/>
          <w:sz w:val="18"/>
        </w:rPr>
        <w:t xml:space="preserve"> </w:t>
      </w:r>
      <w:r>
        <w:rPr>
          <w:sz w:val="18"/>
        </w:rPr>
        <w:t>consideration</w:t>
      </w:r>
      <w:r>
        <w:rPr>
          <w:spacing w:val="-10"/>
          <w:sz w:val="18"/>
        </w:rPr>
        <w:t xml:space="preserve"> </w:t>
      </w:r>
      <w:r>
        <w:rPr>
          <w:sz w:val="18"/>
        </w:rPr>
        <w:t>to</w:t>
      </w:r>
      <w:r>
        <w:rPr>
          <w:spacing w:val="-10"/>
          <w:sz w:val="18"/>
        </w:rPr>
        <w:t xml:space="preserve"> </w:t>
      </w:r>
      <w:r>
        <w:rPr>
          <w:sz w:val="18"/>
        </w:rPr>
        <w:t>human</w:t>
      </w:r>
      <w:r>
        <w:rPr>
          <w:spacing w:val="-8"/>
          <w:sz w:val="18"/>
        </w:rPr>
        <w:t xml:space="preserve"> </w:t>
      </w:r>
      <w:r>
        <w:rPr>
          <w:sz w:val="18"/>
        </w:rPr>
        <w:t>rights</w:t>
      </w:r>
      <w:r>
        <w:rPr>
          <w:spacing w:val="-12"/>
          <w:sz w:val="18"/>
        </w:rPr>
        <w:t xml:space="preserve"> </w:t>
      </w:r>
      <w:r>
        <w:rPr>
          <w:sz w:val="18"/>
        </w:rPr>
        <w:t>and</w:t>
      </w:r>
      <w:r>
        <w:rPr>
          <w:spacing w:val="-9"/>
          <w:sz w:val="18"/>
        </w:rPr>
        <w:t xml:space="preserve"> </w:t>
      </w:r>
      <w:r>
        <w:rPr>
          <w:sz w:val="18"/>
        </w:rPr>
        <w:t>exercise</w:t>
      </w:r>
      <w:r>
        <w:rPr>
          <w:spacing w:val="-10"/>
          <w:sz w:val="18"/>
        </w:rPr>
        <w:t xml:space="preserve"> </w:t>
      </w:r>
      <w:r>
        <w:rPr>
          <w:sz w:val="18"/>
        </w:rPr>
        <w:t>the</w:t>
      </w:r>
      <w:r>
        <w:rPr>
          <w:spacing w:val="-10"/>
          <w:sz w:val="18"/>
        </w:rPr>
        <w:t xml:space="preserve"> </w:t>
      </w:r>
      <w:r>
        <w:rPr>
          <w:sz w:val="18"/>
        </w:rPr>
        <w:t>power</w:t>
      </w:r>
      <w:r>
        <w:rPr>
          <w:spacing w:val="-9"/>
          <w:sz w:val="18"/>
        </w:rPr>
        <w:t xml:space="preserve"> </w:t>
      </w:r>
      <w:r>
        <w:rPr>
          <w:sz w:val="18"/>
        </w:rPr>
        <w:t>in</w:t>
      </w:r>
      <w:r>
        <w:rPr>
          <w:spacing w:val="-10"/>
          <w:sz w:val="18"/>
        </w:rPr>
        <w:t xml:space="preserve"> </w:t>
      </w:r>
      <w:r>
        <w:rPr>
          <w:sz w:val="18"/>
        </w:rPr>
        <w:t>a</w:t>
      </w:r>
      <w:r>
        <w:rPr>
          <w:spacing w:val="-10"/>
          <w:sz w:val="18"/>
        </w:rPr>
        <w:t xml:space="preserve"> </w:t>
      </w:r>
      <w:r>
        <w:rPr>
          <w:sz w:val="18"/>
        </w:rPr>
        <w:t>manner</w:t>
      </w:r>
      <w:r>
        <w:rPr>
          <w:spacing w:val="-9"/>
          <w:sz w:val="18"/>
        </w:rPr>
        <w:t xml:space="preserve"> </w:t>
      </w:r>
      <w:r>
        <w:rPr>
          <w:sz w:val="18"/>
        </w:rPr>
        <w:t>that</w:t>
      </w:r>
      <w:r>
        <w:rPr>
          <w:spacing w:val="-9"/>
          <w:sz w:val="18"/>
        </w:rPr>
        <w:t xml:space="preserve"> </w:t>
      </w:r>
      <w:r>
        <w:rPr>
          <w:sz w:val="18"/>
        </w:rPr>
        <w:t>is</w:t>
      </w:r>
      <w:r>
        <w:rPr>
          <w:spacing w:val="-12"/>
          <w:sz w:val="18"/>
        </w:rPr>
        <w:t xml:space="preserve"> </w:t>
      </w:r>
      <w:r>
        <w:rPr>
          <w:sz w:val="18"/>
        </w:rPr>
        <w:t>compatible</w:t>
      </w:r>
      <w:r>
        <w:rPr>
          <w:spacing w:val="-8"/>
          <w:sz w:val="18"/>
        </w:rPr>
        <w:t xml:space="preserve"> </w:t>
      </w:r>
      <w:r>
        <w:rPr>
          <w:sz w:val="18"/>
        </w:rPr>
        <w:t>with</w:t>
      </w:r>
      <w:r>
        <w:rPr>
          <w:spacing w:val="-10"/>
          <w:sz w:val="18"/>
        </w:rPr>
        <w:t xml:space="preserve"> </w:t>
      </w:r>
      <w:r>
        <w:rPr>
          <w:sz w:val="18"/>
        </w:rPr>
        <w:t>human</w:t>
      </w:r>
      <w:r>
        <w:rPr>
          <w:spacing w:val="-8"/>
          <w:sz w:val="18"/>
        </w:rPr>
        <w:t xml:space="preserve"> </w:t>
      </w:r>
      <w:r>
        <w:rPr>
          <w:sz w:val="18"/>
        </w:rPr>
        <w:t>rights under section 58 of the HR Act’.</w:t>
      </w:r>
    </w:p>
    <w:p w14:paraId="7CB25ECD" w14:textId="77777777" w:rsidR="008A4099" w:rsidRDefault="006A6EE2">
      <w:pPr>
        <w:spacing w:before="22"/>
        <w:ind w:left="160" w:right="675"/>
        <w:jc w:val="both"/>
        <w:rPr>
          <w:sz w:val="18"/>
        </w:rPr>
      </w:pPr>
      <w:r>
        <w:rPr>
          <w:sz w:val="18"/>
          <w:vertAlign w:val="superscript"/>
        </w:rPr>
        <w:t>181</w:t>
      </w:r>
      <w:r>
        <w:rPr>
          <w:sz w:val="18"/>
        </w:rPr>
        <w:t xml:space="preserve"> The Bill was passed on 2 April 2020, but not notified to the Standing Committee on Justice and Community Safety until</w:t>
      </w:r>
      <w:r>
        <w:rPr>
          <w:spacing w:val="80"/>
          <w:sz w:val="18"/>
        </w:rPr>
        <w:t xml:space="preserve"> </w:t>
      </w:r>
      <w:r>
        <w:rPr>
          <w:sz w:val="18"/>
        </w:rPr>
        <w:t xml:space="preserve">7 April 2020. As part of the Second Reading Speech, the Chief Minister noted that the ‘government has also undertaken to ensure that any future regulations dealing with the COVID-19 crisis will be provided to the Assembly scrutiny committee at least 48 hours in advance’: Legislative Assembly for the Australian Capital Territory, </w:t>
      </w:r>
      <w:r>
        <w:rPr>
          <w:i/>
          <w:sz w:val="18"/>
        </w:rPr>
        <w:t>Hansard</w:t>
      </w:r>
      <w:r>
        <w:rPr>
          <w:sz w:val="18"/>
        </w:rPr>
        <w:t>, 2</w:t>
      </w:r>
      <w:r>
        <w:rPr>
          <w:spacing w:val="-3"/>
          <w:sz w:val="18"/>
        </w:rPr>
        <w:t xml:space="preserve"> </w:t>
      </w:r>
      <w:r>
        <w:rPr>
          <w:sz w:val="18"/>
        </w:rPr>
        <w:t>April 2020, 749 (Andrew Barr).</w:t>
      </w:r>
      <w:r>
        <w:rPr>
          <w:spacing w:val="-4"/>
          <w:sz w:val="18"/>
        </w:rPr>
        <w:t xml:space="preserve"> </w:t>
      </w:r>
      <w:r>
        <w:rPr>
          <w:sz w:val="18"/>
        </w:rPr>
        <w:t>It</w:t>
      </w:r>
      <w:r>
        <w:rPr>
          <w:spacing w:val="-4"/>
          <w:sz w:val="18"/>
        </w:rPr>
        <w:t xml:space="preserve"> </w:t>
      </w:r>
      <w:r>
        <w:rPr>
          <w:sz w:val="18"/>
        </w:rPr>
        <w:t>is</w:t>
      </w:r>
      <w:r>
        <w:rPr>
          <w:spacing w:val="-7"/>
          <w:sz w:val="18"/>
        </w:rPr>
        <w:t xml:space="preserve"> </w:t>
      </w:r>
      <w:r>
        <w:rPr>
          <w:sz w:val="18"/>
        </w:rPr>
        <w:t>noted</w:t>
      </w:r>
      <w:r>
        <w:rPr>
          <w:spacing w:val="-3"/>
          <w:sz w:val="18"/>
        </w:rPr>
        <w:t xml:space="preserve"> </w:t>
      </w:r>
      <w:r>
        <w:rPr>
          <w:sz w:val="18"/>
        </w:rPr>
        <w:t>that</w:t>
      </w:r>
      <w:r>
        <w:rPr>
          <w:spacing w:val="-4"/>
          <w:sz w:val="18"/>
        </w:rPr>
        <w:t xml:space="preserve"> </w:t>
      </w:r>
      <w:r>
        <w:rPr>
          <w:sz w:val="18"/>
        </w:rPr>
        <w:t>the</w:t>
      </w:r>
      <w:r>
        <w:rPr>
          <w:spacing w:val="-5"/>
          <w:sz w:val="18"/>
        </w:rPr>
        <w:t xml:space="preserve"> </w:t>
      </w:r>
      <w:r>
        <w:rPr>
          <w:sz w:val="18"/>
        </w:rPr>
        <w:t>ACT</w:t>
      </w:r>
      <w:r>
        <w:rPr>
          <w:spacing w:val="-4"/>
          <w:sz w:val="18"/>
        </w:rPr>
        <w:t xml:space="preserve"> </w:t>
      </w:r>
      <w:r>
        <w:rPr>
          <w:sz w:val="18"/>
        </w:rPr>
        <w:t>Human</w:t>
      </w:r>
      <w:r>
        <w:rPr>
          <w:spacing w:val="-3"/>
          <w:sz w:val="18"/>
        </w:rPr>
        <w:t xml:space="preserve"> </w:t>
      </w:r>
      <w:r>
        <w:rPr>
          <w:sz w:val="18"/>
        </w:rPr>
        <w:t>Rights</w:t>
      </w:r>
      <w:r>
        <w:rPr>
          <w:spacing w:val="-4"/>
          <w:sz w:val="18"/>
        </w:rPr>
        <w:t xml:space="preserve"> </w:t>
      </w:r>
      <w:r>
        <w:rPr>
          <w:sz w:val="18"/>
        </w:rPr>
        <w:t>Act</w:t>
      </w:r>
      <w:r>
        <w:rPr>
          <w:spacing w:val="-4"/>
          <w:sz w:val="18"/>
        </w:rPr>
        <w:t xml:space="preserve"> </w:t>
      </w:r>
      <w:r>
        <w:rPr>
          <w:sz w:val="18"/>
        </w:rPr>
        <w:t>requires</w:t>
      </w:r>
      <w:r>
        <w:rPr>
          <w:spacing w:val="-5"/>
          <w:sz w:val="18"/>
        </w:rPr>
        <w:t xml:space="preserve"> </w:t>
      </w:r>
      <w:r>
        <w:rPr>
          <w:sz w:val="18"/>
        </w:rPr>
        <w:t>a</w:t>
      </w:r>
      <w:r>
        <w:rPr>
          <w:spacing w:val="-5"/>
          <w:sz w:val="18"/>
        </w:rPr>
        <w:t xml:space="preserve"> </w:t>
      </w:r>
      <w:r>
        <w:rPr>
          <w:sz w:val="18"/>
        </w:rPr>
        <w:t>Parliamentary</w:t>
      </w:r>
      <w:r>
        <w:rPr>
          <w:spacing w:val="-4"/>
          <w:sz w:val="18"/>
        </w:rPr>
        <w:t xml:space="preserve"> </w:t>
      </w:r>
      <w:r>
        <w:rPr>
          <w:sz w:val="18"/>
        </w:rPr>
        <w:t>Committee</w:t>
      </w:r>
      <w:r>
        <w:rPr>
          <w:spacing w:val="-5"/>
          <w:sz w:val="18"/>
        </w:rPr>
        <w:t xml:space="preserve"> </w:t>
      </w:r>
      <w:r>
        <w:rPr>
          <w:sz w:val="18"/>
        </w:rPr>
        <w:t>to</w:t>
      </w:r>
      <w:r>
        <w:rPr>
          <w:spacing w:val="-5"/>
          <w:sz w:val="18"/>
        </w:rPr>
        <w:t xml:space="preserve"> </w:t>
      </w:r>
      <w:r>
        <w:rPr>
          <w:sz w:val="18"/>
        </w:rPr>
        <w:t>assess</w:t>
      </w:r>
      <w:r>
        <w:rPr>
          <w:spacing w:val="-5"/>
          <w:sz w:val="18"/>
        </w:rPr>
        <w:t xml:space="preserve"> </w:t>
      </w:r>
      <w:r>
        <w:rPr>
          <w:sz w:val="18"/>
        </w:rPr>
        <w:t>the</w:t>
      </w:r>
      <w:r>
        <w:rPr>
          <w:spacing w:val="-7"/>
          <w:sz w:val="18"/>
        </w:rPr>
        <w:t xml:space="preserve"> </w:t>
      </w:r>
      <w:r>
        <w:rPr>
          <w:sz w:val="18"/>
        </w:rPr>
        <w:t>human</w:t>
      </w:r>
      <w:r>
        <w:rPr>
          <w:spacing w:val="-3"/>
          <w:sz w:val="18"/>
        </w:rPr>
        <w:t xml:space="preserve"> </w:t>
      </w:r>
      <w:r>
        <w:rPr>
          <w:sz w:val="18"/>
        </w:rPr>
        <w:t>rights</w:t>
      </w:r>
      <w:r>
        <w:rPr>
          <w:spacing w:val="-4"/>
          <w:sz w:val="18"/>
        </w:rPr>
        <w:t xml:space="preserve"> </w:t>
      </w:r>
      <w:r>
        <w:rPr>
          <w:sz w:val="18"/>
        </w:rPr>
        <w:t>implications of</w:t>
      </w:r>
      <w:r>
        <w:rPr>
          <w:spacing w:val="-1"/>
          <w:sz w:val="18"/>
        </w:rPr>
        <w:t xml:space="preserve"> </w:t>
      </w:r>
      <w:r>
        <w:rPr>
          <w:sz w:val="18"/>
        </w:rPr>
        <w:t>Bills</w:t>
      </w:r>
      <w:r>
        <w:rPr>
          <w:spacing w:val="-1"/>
          <w:sz w:val="18"/>
        </w:rPr>
        <w:t xml:space="preserve"> </w:t>
      </w:r>
      <w:r>
        <w:rPr>
          <w:sz w:val="18"/>
        </w:rPr>
        <w:t>and to report</w:t>
      </w:r>
      <w:r>
        <w:rPr>
          <w:spacing w:val="-1"/>
          <w:sz w:val="18"/>
        </w:rPr>
        <w:t xml:space="preserve"> </w:t>
      </w:r>
      <w:r>
        <w:rPr>
          <w:sz w:val="18"/>
        </w:rPr>
        <w:t>to the</w:t>
      </w:r>
      <w:r>
        <w:rPr>
          <w:spacing w:val="-2"/>
          <w:sz w:val="18"/>
        </w:rPr>
        <w:t xml:space="preserve"> </w:t>
      </w:r>
      <w:r>
        <w:rPr>
          <w:sz w:val="18"/>
        </w:rPr>
        <w:t>Legislative</w:t>
      </w:r>
      <w:r>
        <w:rPr>
          <w:spacing w:val="-2"/>
          <w:sz w:val="18"/>
        </w:rPr>
        <w:t xml:space="preserve"> </w:t>
      </w:r>
      <w:r>
        <w:rPr>
          <w:sz w:val="18"/>
        </w:rPr>
        <w:t>Assembly;</w:t>
      </w:r>
      <w:r>
        <w:rPr>
          <w:spacing w:val="-1"/>
          <w:sz w:val="18"/>
        </w:rPr>
        <w:t xml:space="preserve"> </w:t>
      </w:r>
      <w:r>
        <w:rPr>
          <w:sz w:val="18"/>
        </w:rPr>
        <w:t>however,</w:t>
      </w:r>
      <w:r>
        <w:rPr>
          <w:spacing w:val="-1"/>
          <w:sz w:val="18"/>
        </w:rPr>
        <w:t xml:space="preserve"> </w:t>
      </w:r>
      <w:r>
        <w:rPr>
          <w:sz w:val="18"/>
        </w:rPr>
        <w:t>laws</w:t>
      </w:r>
      <w:r>
        <w:rPr>
          <w:spacing w:val="-1"/>
          <w:sz w:val="18"/>
        </w:rPr>
        <w:t xml:space="preserve"> </w:t>
      </w:r>
      <w:r>
        <w:rPr>
          <w:sz w:val="18"/>
        </w:rPr>
        <w:t>are</w:t>
      </w:r>
      <w:r>
        <w:rPr>
          <w:spacing w:val="-2"/>
          <w:sz w:val="18"/>
        </w:rPr>
        <w:t xml:space="preserve"> </w:t>
      </w:r>
      <w:r>
        <w:rPr>
          <w:sz w:val="18"/>
        </w:rPr>
        <w:t>not</w:t>
      </w:r>
      <w:r>
        <w:rPr>
          <w:spacing w:val="-1"/>
          <w:sz w:val="18"/>
        </w:rPr>
        <w:t xml:space="preserve"> </w:t>
      </w:r>
      <w:r>
        <w:rPr>
          <w:sz w:val="18"/>
        </w:rPr>
        <w:t>invalid if</w:t>
      </w:r>
      <w:r>
        <w:rPr>
          <w:spacing w:val="-1"/>
          <w:sz w:val="18"/>
        </w:rPr>
        <w:t xml:space="preserve"> </w:t>
      </w:r>
      <w:r>
        <w:rPr>
          <w:sz w:val="18"/>
        </w:rPr>
        <w:t>they have</w:t>
      </w:r>
      <w:r>
        <w:rPr>
          <w:spacing w:val="-2"/>
          <w:sz w:val="18"/>
        </w:rPr>
        <w:t xml:space="preserve"> </w:t>
      </w:r>
      <w:r>
        <w:rPr>
          <w:sz w:val="18"/>
        </w:rPr>
        <w:t>not</w:t>
      </w:r>
      <w:r>
        <w:rPr>
          <w:spacing w:val="-1"/>
          <w:sz w:val="18"/>
        </w:rPr>
        <w:t xml:space="preserve"> </w:t>
      </w:r>
      <w:r>
        <w:rPr>
          <w:sz w:val="18"/>
        </w:rPr>
        <w:t>been subject</w:t>
      </w:r>
      <w:r>
        <w:rPr>
          <w:spacing w:val="-1"/>
          <w:sz w:val="18"/>
        </w:rPr>
        <w:t xml:space="preserve"> </w:t>
      </w:r>
      <w:r>
        <w:rPr>
          <w:sz w:val="18"/>
        </w:rPr>
        <w:t>to this</w:t>
      </w:r>
      <w:r>
        <w:rPr>
          <w:spacing w:val="-1"/>
          <w:sz w:val="18"/>
        </w:rPr>
        <w:t xml:space="preserve"> </w:t>
      </w:r>
      <w:r>
        <w:rPr>
          <w:sz w:val="18"/>
        </w:rPr>
        <w:t xml:space="preserve">scrutiny prior to enactment: see </w:t>
      </w:r>
      <w:r>
        <w:rPr>
          <w:i/>
          <w:sz w:val="18"/>
        </w:rPr>
        <w:t xml:space="preserve">Human Rights Act 2004 </w:t>
      </w:r>
      <w:r>
        <w:rPr>
          <w:sz w:val="18"/>
        </w:rPr>
        <w:t>(ACT) s 38. The relevant committee is the Justice and Community Safety (Legislative Scrutiny Role) Standing Committee (‘ACT Scrutiny Committee’).</w:t>
      </w:r>
    </w:p>
    <w:p w14:paraId="7CB25ECE" w14:textId="77777777" w:rsidR="008A4099" w:rsidRDefault="006A6EE2">
      <w:pPr>
        <w:spacing w:before="24" w:line="242" w:lineRule="auto"/>
        <w:ind w:left="160" w:right="676"/>
        <w:jc w:val="both"/>
        <w:rPr>
          <w:sz w:val="18"/>
        </w:rPr>
      </w:pPr>
      <w:r>
        <w:rPr>
          <w:sz w:val="18"/>
          <w:vertAlign w:val="superscript"/>
        </w:rPr>
        <w:t>182</w:t>
      </w:r>
      <w:r>
        <w:rPr>
          <w:spacing w:val="-12"/>
          <w:sz w:val="18"/>
        </w:rPr>
        <w:t xml:space="preserve"> </w:t>
      </w:r>
      <w:r>
        <w:rPr>
          <w:sz w:val="18"/>
        </w:rPr>
        <w:t>Standing</w:t>
      </w:r>
      <w:r>
        <w:rPr>
          <w:spacing w:val="-11"/>
          <w:sz w:val="18"/>
        </w:rPr>
        <w:t xml:space="preserve"> </w:t>
      </w:r>
      <w:r>
        <w:rPr>
          <w:sz w:val="18"/>
        </w:rPr>
        <w:t>Committee</w:t>
      </w:r>
      <w:r>
        <w:rPr>
          <w:spacing w:val="-11"/>
          <w:sz w:val="18"/>
        </w:rPr>
        <w:t xml:space="preserve"> </w:t>
      </w:r>
      <w:r>
        <w:rPr>
          <w:sz w:val="18"/>
        </w:rPr>
        <w:t>on</w:t>
      </w:r>
      <w:r>
        <w:rPr>
          <w:spacing w:val="-11"/>
          <w:sz w:val="18"/>
        </w:rPr>
        <w:t xml:space="preserve"> </w:t>
      </w:r>
      <w:r>
        <w:rPr>
          <w:sz w:val="18"/>
        </w:rPr>
        <w:t>Justice</w:t>
      </w:r>
      <w:r>
        <w:rPr>
          <w:spacing w:val="-12"/>
          <w:sz w:val="18"/>
        </w:rPr>
        <w:t xml:space="preserve"> </w:t>
      </w:r>
      <w:r>
        <w:rPr>
          <w:sz w:val="18"/>
        </w:rPr>
        <w:t>and</w:t>
      </w:r>
      <w:r>
        <w:rPr>
          <w:spacing w:val="-11"/>
          <w:sz w:val="18"/>
        </w:rPr>
        <w:t xml:space="preserve"> </w:t>
      </w:r>
      <w:r>
        <w:rPr>
          <w:sz w:val="18"/>
        </w:rPr>
        <w:t>Community</w:t>
      </w:r>
      <w:r>
        <w:rPr>
          <w:spacing w:val="-11"/>
          <w:sz w:val="18"/>
        </w:rPr>
        <w:t xml:space="preserve"> </w:t>
      </w:r>
      <w:r>
        <w:rPr>
          <w:sz w:val="18"/>
        </w:rPr>
        <w:t>Safety</w:t>
      </w:r>
      <w:r>
        <w:rPr>
          <w:spacing w:val="-11"/>
          <w:sz w:val="18"/>
        </w:rPr>
        <w:t xml:space="preserve"> </w:t>
      </w:r>
      <w:r>
        <w:rPr>
          <w:sz w:val="18"/>
        </w:rPr>
        <w:t>(Legislative</w:t>
      </w:r>
      <w:r>
        <w:rPr>
          <w:spacing w:val="-12"/>
          <w:sz w:val="18"/>
        </w:rPr>
        <w:t xml:space="preserve"> </w:t>
      </w:r>
      <w:r>
        <w:rPr>
          <w:sz w:val="18"/>
        </w:rPr>
        <w:t>Scrutiny</w:t>
      </w:r>
      <w:r>
        <w:rPr>
          <w:spacing w:val="-9"/>
          <w:sz w:val="18"/>
        </w:rPr>
        <w:t xml:space="preserve"> </w:t>
      </w:r>
      <w:r>
        <w:rPr>
          <w:sz w:val="18"/>
        </w:rPr>
        <w:t>Role),</w:t>
      </w:r>
      <w:r>
        <w:rPr>
          <w:spacing w:val="-10"/>
          <w:sz w:val="18"/>
        </w:rPr>
        <w:t xml:space="preserve"> </w:t>
      </w:r>
      <w:r>
        <w:rPr>
          <w:sz w:val="18"/>
        </w:rPr>
        <w:t>Legislative</w:t>
      </w:r>
      <w:r>
        <w:rPr>
          <w:spacing w:val="-11"/>
          <w:sz w:val="18"/>
        </w:rPr>
        <w:t xml:space="preserve"> </w:t>
      </w:r>
      <w:r>
        <w:rPr>
          <w:sz w:val="18"/>
        </w:rPr>
        <w:t>Assembly</w:t>
      </w:r>
      <w:r>
        <w:rPr>
          <w:spacing w:val="-11"/>
          <w:sz w:val="18"/>
        </w:rPr>
        <w:t xml:space="preserve"> </w:t>
      </w:r>
      <w:r>
        <w:rPr>
          <w:sz w:val="18"/>
        </w:rPr>
        <w:t>for</w:t>
      </w:r>
      <w:r>
        <w:rPr>
          <w:spacing w:val="-12"/>
          <w:sz w:val="18"/>
        </w:rPr>
        <w:t xml:space="preserve"> </w:t>
      </w:r>
      <w:r>
        <w:rPr>
          <w:sz w:val="18"/>
        </w:rPr>
        <w:t>the</w:t>
      </w:r>
      <w:r>
        <w:rPr>
          <w:spacing w:val="-11"/>
          <w:sz w:val="18"/>
        </w:rPr>
        <w:t xml:space="preserve"> </w:t>
      </w:r>
      <w:r>
        <w:rPr>
          <w:sz w:val="18"/>
        </w:rPr>
        <w:t xml:space="preserve">Australian Capital Territory, </w:t>
      </w:r>
      <w:r>
        <w:rPr>
          <w:i/>
          <w:sz w:val="18"/>
        </w:rPr>
        <w:t xml:space="preserve">Scrutiny Report </w:t>
      </w:r>
      <w:r>
        <w:rPr>
          <w:sz w:val="18"/>
        </w:rPr>
        <w:t>(Report 41, 28 April 2020) 1. The Committee’s report highlighted particular areas of concern,</w:t>
      </w:r>
      <w:r>
        <w:rPr>
          <w:spacing w:val="-4"/>
          <w:sz w:val="18"/>
        </w:rPr>
        <w:t xml:space="preserve"> </w:t>
      </w:r>
      <w:r>
        <w:rPr>
          <w:sz w:val="18"/>
        </w:rPr>
        <w:t>such</w:t>
      </w:r>
      <w:r>
        <w:rPr>
          <w:spacing w:val="-3"/>
          <w:sz w:val="18"/>
        </w:rPr>
        <w:t xml:space="preserve"> </w:t>
      </w:r>
      <w:r>
        <w:rPr>
          <w:sz w:val="18"/>
        </w:rPr>
        <w:t>as</w:t>
      </w:r>
      <w:r>
        <w:rPr>
          <w:spacing w:val="-5"/>
          <w:sz w:val="18"/>
        </w:rPr>
        <w:t xml:space="preserve"> </w:t>
      </w:r>
      <w:r>
        <w:rPr>
          <w:sz w:val="18"/>
        </w:rPr>
        <w:t>the</w:t>
      </w:r>
      <w:r>
        <w:rPr>
          <w:spacing w:val="-5"/>
          <w:sz w:val="18"/>
        </w:rPr>
        <w:t xml:space="preserve"> </w:t>
      </w:r>
      <w:r>
        <w:rPr>
          <w:sz w:val="18"/>
        </w:rPr>
        <w:t>defined</w:t>
      </w:r>
      <w:r>
        <w:rPr>
          <w:spacing w:val="-3"/>
          <w:sz w:val="18"/>
        </w:rPr>
        <w:t xml:space="preserve"> </w:t>
      </w:r>
      <w:r>
        <w:rPr>
          <w:sz w:val="18"/>
        </w:rPr>
        <w:t>period</w:t>
      </w:r>
      <w:r>
        <w:rPr>
          <w:spacing w:val="-3"/>
          <w:sz w:val="18"/>
        </w:rPr>
        <w:t xml:space="preserve"> </w:t>
      </w:r>
      <w:r>
        <w:rPr>
          <w:sz w:val="18"/>
        </w:rPr>
        <w:t>of</w:t>
      </w:r>
      <w:r>
        <w:rPr>
          <w:spacing w:val="-4"/>
          <w:sz w:val="18"/>
        </w:rPr>
        <w:t xml:space="preserve"> </w:t>
      </w:r>
      <w:r>
        <w:rPr>
          <w:sz w:val="18"/>
        </w:rPr>
        <w:t>emergency,</w:t>
      </w:r>
      <w:r>
        <w:rPr>
          <w:spacing w:val="-6"/>
          <w:sz w:val="18"/>
        </w:rPr>
        <w:t xml:space="preserve"> </w:t>
      </w:r>
      <w:r>
        <w:rPr>
          <w:sz w:val="18"/>
        </w:rPr>
        <w:t>issues</w:t>
      </w:r>
      <w:r>
        <w:rPr>
          <w:spacing w:val="-5"/>
          <w:sz w:val="18"/>
        </w:rPr>
        <w:t xml:space="preserve"> </w:t>
      </w:r>
      <w:r>
        <w:rPr>
          <w:sz w:val="18"/>
        </w:rPr>
        <w:t>concerning</w:t>
      </w:r>
      <w:r>
        <w:rPr>
          <w:spacing w:val="-3"/>
          <w:sz w:val="18"/>
        </w:rPr>
        <w:t xml:space="preserve"> </w:t>
      </w:r>
      <w:r>
        <w:rPr>
          <w:sz w:val="18"/>
        </w:rPr>
        <w:t>notifiable</w:t>
      </w:r>
      <w:r>
        <w:rPr>
          <w:spacing w:val="-5"/>
          <w:sz w:val="18"/>
        </w:rPr>
        <w:t xml:space="preserve"> </w:t>
      </w:r>
      <w:r>
        <w:rPr>
          <w:sz w:val="18"/>
        </w:rPr>
        <w:t>instruments and</w:t>
      </w:r>
      <w:r>
        <w:rPr>
          <w:spacing w:val="-3"/>
          <w:sz w:val="18"/>
        </w:rPr>
        <w:t xml:space="preserve"> </w:t>
      </w:r>
      <w:r>
        <w:rPr>
          <w:sz w:val="18"/>
        </w:rPr>
        <w:t>changes</w:t>
      </w:r>
      <w:r>
        <w:rPr>
          <w:spacing w:val="-5"/>
          <w:sz w:val="18"/>
        </w:rPr>
        <w:t xml:space="preserve"> </w:t>
      </w:r>
      <w:r>
        <w:rPr>
          <w:sz w:val="18"/>
        </w:rPr>
        <w:t>to</w:t>
      </w:r>
      <w:r>
        <w:rPr>
          <w:spacing w:val="-3"/>
          <w:sz w:val="18"/>
        </w:rPr>
        <w:t xml:space="preserve"> </w:t>
      </w:r>
      <w:r>
        <w:rPr>
          <w:sz w:val="18"/>
        </w:rPr>
        <w:t>the</w:t>
      </w:r>
      <w:r>
        <w:rPr>
          <w:spacing w:val="-5"/>
          <w:sz w:val="18"/>
        </w:rPr>
        <w:t xml:space="preserve"> </w:t>
      </w:r>
      <w:r>
        <w:rPr>
          <w:sz w:val="18"/>
        </w:rPr>
        <w:t>right</w:t>
      </w:r>
      <w:r>
        <w:rPr>
          <w:spacing w:val="-4"/>
          <w:sz w:val="18"/>
        </w:rPr>
        <w:t xml:space="preserve"> </w:t>
      </w:r>
      <w:r>
        <w:rPr>
          <w:sz w:val="18"/>
        </w:rPr>
        <w:t>to</w:t>
      </w:r>
      <w:r>
        <w:rPr>
          <w:spacing w:val="-3"/>
          <w:sz w:val="18"/>
        </w:rPr>
        <w:t xml:space="preserve"> </w:t>
      </w:r>
      <w:r>
        <w:rPr>
          <w:sz w:val="18"/>
        </w:rPr>
        <w:t>trial</w:t>
      </w:r>
      <w:r>
        <w:rPr>
          <w:spacing w:val="-4"/>
          <w:sz w:val="18"/>
        </w:rPr>
        <w:t xml:space="preserve"> </w:t>
      </w:r>
      <w:r>
        <w:rPr>
          <w:sz w:val="18"/>
        </w:rPr>
        <w:t xml:space="preserve">by jury, and invited the Minister responsible to respond: </w:t>
      </w:r>
      <w:r>
        <w:rPr>
          <w:i/>
          <w:sz w:val="18"/>
        </w:rPr>
        <w:t xml:space="preserve">Scrutiny Report </w:t>
      </w:r>
      <w:r>
        <w:rPr>
          <w:sz w:val="18"/>
        </w:rPr>
        <w:t>1–5.</w:t>
      </w:r>
    </w:p>
    <w:p w14:paraId="7CB25ECF" w14:textId="77777777" w:rsidR="008A4099" w:rsidRDefault="006A6EE2">
      <w:pPr>
        <w:spacing w:before="14" w:line="244" w:lineRule="auto"/>
        <w:ind w:left="160" w:right="684"/>
        <w:jc w:val="both"/>
        <w:rPr>
          <w:sz w:val="18"/>
        </w:rPr>
      </w:pPr>
      <w:r>
        <w:rPr>
          <w:sz w:val="18"/>
          <w:vertAlign w:val="superscript"/>
        </w:rPr>
        <w:t>183</w:t>
      </w:r>
      <w:r>
        <w:rPr>
          <w:spacing w:val="-12"/>
          <w:sz w:val="18"/>
        </w:rPr>
        <w:t xml:space="preserve"> </w:t>
      </w:r>
      <w:r>
        <w:rPr>
          <w:sz w:val="18"/>
        </w:rPr>
        <w:t>Standing</w:t>
      </w:r>
      <w:r>
        <w:rPr>
          <w:spacing w:val="-11"/>
          <w:sz w:val="18"/>
        </w:rPr>
        <w:t xml:space="preserve"> </w:t>
      </w:r>
      <w:r>
        <w:rPr>
          <w:sz w:val="18"/>
        </w:rPr>
        <w:t>Committee</w:t>
      </w:r>
      <w:r>
        <w:rPr>
          <w:spacing w:val="-11"/>
          <w:sz w:val="18"/>
        </w:rPr>
        <w:t xml:space="preserve"> </w:t>
      </w:r>
      <w:r>
        <w:rPr>
          <w:sz w:val="18"/>
        </w:rPr>
        <w:t>on</w:t>
      </w:r>
      <w:r>
        <w:rPr>
          <w:spacing w:val="-11"/>
          <w:sz w:val="18"/>
        </w:rPr>
        <w:t xml:space="preserve"> </w:t>
      </w:r>
      <w:r>
        <w:rPr>
          <w:sz w:val="18"/>
        </w:rPr>
        <w:t>Justice</w:t>
      </w:r>
      <w:r>
        <w:rPr>
          <w:spacing w:val="-12"/>
          <w:sz w:val="18"/>
        </w:rPr>
        <w:t xml:space="preserve"> </w:t>
      </w:r>
      <w:r>
        <w:rPr>
          <w:sz w:val="18"/>
        </w:rPr>
        <w:t>and</w:t>
      </w:r>
      <w:r>
        <w:rPr>
          <w:spacing w:val="-11"/>
          <w:sz w:val="18"/>
        </w:rPr>
        <w:t xml:space="preserve"> </w:t>
      </w:r>
      <w:r>
        <w:rPr>
          <w:sz w:val="18"/>
        </w:rPr>
        <w:t>Community</w:t>
      </w:r>
      <w:r>
        <w:rPr>
          <w:spacing w:val="-11"/>
          <w:sz w:val="18"/>
        </w:rPr>
        <w:t xml:space="preserve"> </w:t>
      </w:r>
      <w:r>
        <w:rPr>
          <w:sz w:val="18"/>
        </w:rPr>
        <w:t>Safety</w:t>
      </w:r>
      <w:r>
        <w:rPr>
          <w:spacing w:val="-11"/>
          <w:sz w:val="18"/>
        </w:rPr>
        <w:t xml:space="preserve"> </w:t>
      </w:r>
      <w:r>
        <w:rPr>
          <w:sz w:val="18"/>
        </w:rPr>
        <w:t>(Legislative</w:t>
      </w:r>
      <w:r>
        <w:rPr>
          <w:spacing w:val="-12"/>
          <w:sz w:val="18"/>
        </w:rPr>
        <w:t xml:space="preserve"> </w:t>
      </w:r>
      <w:r>
        <w:rPr>
          <w:sz w:val="18"/>
        </w:rPr>
        <w:t>Scrutiny</w:t>
      </w:r>
      <w:r>
        <w:rPr>
          <w:spacing w:val="-11"/>
          <w:sz w:val="18"/>
        </w:rPr>
        <w:t xml:space="preserve"> </w:t>
      </w:r>
      <w:r>
        <w:rPr>
          <w:sz w:val="18"/>
        </w:rPr>
        <w:t>Role),</w:t>
      </w:r>
      <w:r>
        <w:rPr>
          <w:spacing w:val="-11"/>
          <w:sz w:val="18"/>
        </w:rPr>
        <w:t xml:space="preserve"> </w:t>
      </w:r>
      <w:r>
        <w:rPr>
          <w:sz w:val="18"/>
        </w:rPr>
        <w:t>Legislative</w:t>
      </w:r>
      <w:r>
        <w:rPr>
          <w:spacing w:val="-11"/>
          <w:sz w:val="18"/>
        </w:rPr>
        <w:t xml:space="preserve"> </w:t>
      </w:r>
      <w:r>
        <w:rPr>
          <w:sz w:val="18"/>
        </w:rPr>
        <w:t>Assembly</w:t>
      </w:r>
      <w:r>
        <w:rPr>
          <w:spacing w:val="-12"/>
          <w:sz w:val="18"/>
        </w:rPr>
        <w:t xml:space="preserve"> </w:t>
      </w:r>
      <w:r>
        <w:rPr>
          <w:sz w:val="18"/>
        </w:rPr>
        <w:t>for</w:t>
      </w:r>
      <w:r>
        <w:rPr>
          <w:spacing w:val="-11"/>
          <w:sz w:val="18"/>
        </w:rPr>
        <w:t xml:space="preserve"> </w:t>
      </w:r>
      <w:r>
        <w:rPr>
          <w:sz w:val="18"/>
        </w:rPr>
        <w:t>the</w:t>
      </w:r>
      <w:r>
        <w:rPr>
          <w:spacing w:val="-11"/>
          <w:sz w:val="18"/>
        </w:rPr>
        <w:t xml:space="preserve"> </w:t>
      </w:r>
      <w:r>
        <w:rPr>
          <w:sz w:val="18"/>
        </w:rPr>
        <w:t xml:space="preserve">Australian Capital Territory, </w:t>
      </w:r>
      <w:r>
        <w:rPr>
          <w:i/>
          <w:sz w:val="18"/>
        </w:rPr>
        <w:t xml:space="preserve">Scrutiny Report </w:t>
      </w:r>
      <w:r>
        <w:rPr>
          <w:sz w:val="18"/>
        </w:rPr>
        <w:t>(Report 42, 19 May 2020) 1. This process took a total of seven days.</w:t>
      </w:r>
    </w:p>
    <w:p w14:paraId="7CB25ED0" w14:textId="77777777" w:rsidR="008A4099" w:rsidRDefault="006A6EE2">
      <w:pPr>
        <w:spacing w:before="15" w:line="242" w:lineRule="auto"/>
        <w:ind w:left="160" w:right="679"/>
        <w:rPr>
          <w:sz w:val="18"/>
        </w:rPr>
      </w:pPr>
      <w:r>
        <w:rPr>
          <w:sz w:val="18"/>
          <w:vertAlign w:val="superscript"/>
        </w:rPr>
        <w:t>184</w:t>
      </w:r>
      <w:r>
        <w:rPr>
          <w:sz w:val="18"/>
        </w:rPr>
        <w:t xml:space="preserve"> See Select Committee on the COVID-19 Pandemic Response, Legislative Assembly for the Australian Capital Territory (Dissolved) &lt;https:/</w:t>
      </w:r>
      <w:hyperlink r:id="rId92">
        <w:r>
          <w:rPr>
            <w:sz w:val="18"/>
          </w:rPr>
          <w:t>/www.parliament.act.gov.au/parliamentary-business/in-committees/previous-assemblies/select-</w:t>
        </w:r>
      </w:hyperlink>
      <w:r>
        <w:rPr>
          <w:sz w:val="18"/>
        </w:rPr>
        <w:t xml:space="preserve"> committees-ninth-assembly/select-committee-on-the-covid-19-response&gt;. Notably, the Committee was established</w:t>
      </w:r>
      <w:r>
        <w:rPr>
          <w:spacing w:val="19"/>
          <w:sz w:val="18"/>
        </w:rPr>
        <w:t xml:space="preserve"> </w:t>
      </w:r>
      <w:r>
        <w:rPr>
          <w:sz w:val="18"/>
        </w:rPr>
        <w:t>early in the</w:t>
      </w:r>
      <w:r>
        <w:rPr>
          <w:spacing w:val="-7"/>
          <w:sz w:val="18"/>
        </w:rPr>
        <w:t xml:space="preserve"> </w:t>
      </w:r>
      <w:r>
        <w:rPr>
          <w:sz w:val="18"/>
        </w:rPr>
        <w:t>emergency</w:t>
      </w:r>
      <w:r>
        <w:rPr>
          <w:spacing w:val="-2"/>
          <w:sz w:val="18"/>
        </w:rPr>
        <w:t xml:space="preserve"> </w:t>
      </w:r>
      <w:r>
        <w:rPr>
          <w:sz w:val="18"/>
        </w:rPr>
        <w:t>period,</w:t>
      </w:r>
      <w:r>
        <w:rPr>
          <w:spacing w:val="-3"/>
          <w:sz w:val="18"/>
        </w:rPr>
        <w:t xml:space="preserve"> </w:t>
      </w:r>
      <w:r>
        <w:rPr>
          <w:sz w:val="18"/>
        </w:rPr>
        <w:t>at</w:t>
      </w:r>
      <w:r>
        <w:rPr>
          <w:spacing w:val="-5"/>
          <w:sz w:val="18"/>
        </w:rPr>
        <w:t xml:space="preserve"> </w:t>
      </w:r>
      <w:r>
        <w:rPr>
          <w:sz w:val="18"/>
        </w:rPr>
        <w:t>the</w:t>
      </w:r>
      <w:r>
        <w:rPr>
          <w:spacing w:val="-4"/>
          <w:sz w:val="18"/>
        </w:rPr>
        <w:t xml:space="preserve"> </w:t>
      </w:r>
      <w:r>
        <w:rPr>
          <w:sz w:val="18"/>
        </w:rPr>
        <w:t>same</w:t>
      </w:r>
      <w:r>
        <w:rPr>
          <w:spacing w:val="-4"/>
          <w:sz w:val="18"/>
        </w:rPr>
        <w:t xml:space="preserve"> </w:t>
      </w:r>
      <w:r>
        <w:rPr>
          <w:sz w:val="18"/>
        </w:rPr>
        <w:t>time</w:t>
      </w:r>
      <w:r>
        <w:rPr>
          <w:spacing w:val="-1"/>
          <w:sz w:val="18"/>
        </w:rPr>
        <w:t xml:space="preserve"> </w:t>
      </w:r>
      <w:r>
        <w:rPr>
          <w:sz w:val="18"/>
        </w:rPr>
        <w:t>as</w:t>
      </w:r>
      <w:r>
        <w:rPr>
          <w:spacing w:val="-4"/>
          <w:sz w:val="18"/>
        </w:rPr>
        <w:t xml:space="preserve"> </w:t>
      </w:r>
      <w:r>
        <w:rPr>
          <w:sz w:val="18"/>
        </w:rPr>
        <w:t>the</w:t>
      </w:r>
      <w:r>
        <w:rPr>
          <w:spacing w:val="-4"/>
          <w:sz w:val="18"/>
        </w:rPr>
        <w:t xml:space="preserve"> </w:t>
      </w:r>
      <w:r>
        <w:rPr>
          <w:sz w:val="18"/>
        </w:rPr>
        <w:t>COVID-19</w:t>
      </w:r>
      <w:r>
        <w:rPr>
          <w:spacing w:val="-2"/>
          <w:sz w:val="18"/>
        </w:rPr>
        <w:t xml:space="preserve"> </w:t>
      </w:r>
      <w:r>
        <w:rPr>
          <w:sz w:val="18"/>
        </w:rPr>
        <w:t>Emergency</w:t>
      </w:r>
      <w:r>
        <w:rPr>
          <w:spacing w:val="-3"/>
          <w:sz w:val="18"/>
        </w:rPr>
        <w:t xml:space="preserve"> </w:t>
      </w:r>
      <w:r>
        <w:rPr>
          <w:sz w:val="18"/>
        </w:rPr>
        <w:t>Response</w:t>
      </w:r>
      <w:r>
        <w:rPr>
          <w:spacing w:val="-4"/>
          <w:sz w:val="18"/>
        </w:rPr>
        <w:t xml:space="preserve"> </w:t>
      </w:r>
      <w:r>
        <w:rPr>
          <w:sz w:val="18"/>
        </w:rPr>
        <w:t>Bill</w:t>
      </w:r>
      <w:r>
        <w:rPr>
          <w:spacing w:val="-3"/>
          <w:sz w:val="18"/>
        </w:rPr>
        <w:t xml:space="preserve"> </w:t>
      </w:r>
      <w:r>
        <w:rPr>
          <w:sz w:val="18"/>
        </w:rPr>
        <w:t>2020</w:t>
      </w:r>
      <w:r>
        <w:rPr>
          <w:spacing w:val="-2"/>
          <w:sz w:val="18"/>
        </w:rPr>
        <w:t xml:space="preserve"> </w:t>
      </w:r>
      <w:r>
        <w:rPr>
          <w:sz w:val="18"/>
        </w:rPr>
        <w:t>(ACT)</w:t>
      </w:r>
      <w:r>
        <w:rPr>
          <w:spacing w:val="-3"/>
          <w:sz w:val="18"/>
        </w:rPr>
        <w:t xml:space="preserve"> </w:t>
      </w:r>
      <w:r>
        <w:rPr>
          <w:sz w:val="18"/>
        </w:rPr>
        <w:t>was</w:t>
      </w:r>
      <w:r>
        <w:rPr>
          <w:spacing w:val="-6"/>
          <w:sz w:val="18"/>
        </w:rPr>
        <w:t xml:space="preserve"> </w:t>
      </w:r>
      <w:r>
        <w:rPr>
          <w:sz w:val="18"/>
        </w:rPr>
        <w:t>passed</w:t>
      </w:r>
      <w:r>
        <w:rPr>
          <w:spacing w:val="-2"/>
          <w:sz w:val="18"/>
        </w:rPr>
        <w:t xml:space="preserve"> </w:t>
      </w:r>
      <w:r>
        <w:rPr>
          <w:sz w:val="18"/>
        </w:rPr>
        <w:t>on</w:t>
      </w:r>
      <w:r>
        <w:rPr>
          <w:spacing w:val="-5"/>
          <w:sz w:val="18"/>
        </w:rPr>
        <w:t xml:space="preserve"> </w:t>
      </w:r>
      <w:r>
        <w:rPr>
          <w:sz w:val="18"/>
        </w:rPr>
        <w:t>2</w:t>
      </w:r>
      <w:r>
        <w:rPr>
          <w:spacing w:val="-2"/>
          <w:sz w:val="18"/>
        </w:rPr>
        <w:t xml:space="preserve"> </w:t>
      </w:r>
      <w:r>
        <w:rPr>
          <w:sz w:val="18"/>
        </w:rPr>
        <w:t>April</w:t>
      </w:r>
      <w:r>
        <w:rPr>
          <w:spacing w:val="-3"/>
          <w:sz w:val="18"/>
        </w:rPr>
        <w:t xml:space="preserve"> </w:t>
      </w:r>
      <w:r>
        <w:rPr>
          <w:spacing w:val="-2"/>
          <w:sz w:val="18"/>
        </w:rPr>
        <w:t>2020.</w:t>
      </w:r>
    </w:p>
    <w:p w14:paraId="7CB25ED1" w14:textId="77777777" w:rsidR="008A4099" w:rsidRDefault="006A6EE2">
      <w:pPr>
        <w:spacing w:before="16"/>
        <w:ind w:left="160"/>
        <w:jc w:val="both"/>
        <w:rPr>
          <w:sz w:val="18"/>
        </w:rPr>
      </w:pPr>
      <w:r>
        <w:rPr>
          <w:sz w:val="18"/>
          <w:vertAlign w:val="superscript"/>
        </w:rPr>
        <w:t>185</w:t>
      </w:r>
      <w:r>
        <w:rPr>
          <w:sz w:val="18"/>
        </w:rPr>
        <w:t xml:space="preserve"> Standing</w:t>
      </w:r>
      <w:r>
        <w:rPr>
          <w:spacing w:val="1"/>
          <w:sz w:val="18"/>
        </w:rPr>
        <w:t xml:space="preserve"> </w:t>
      </w:r>
      <w:r>
        <w:rPr>
          <w:sz w:val="18"/>
        </w:rPr>
        <w:t>Rules</w:t>
      </w:r>
      <w:r>
        <w:rPr>
          <w:spacing w:val="-1"/>
          <w:sz w:val="18"/>
        </w:rPr>
        <w:t xml:space="preserve"> </w:t>
      </w:r>
      <w:r>
        <w:rPr>
          <w:sz w:val="18"/>
        </w:rPr>
        <w:t>and</w:t>
      </w:r>
      <w:r>
        <w:rPr>
          <w:spacing w:val="1"/>
          <w:sz w:val="18"/>
        </w:rPr>
        <w:t xml:space="preserve"> </w:t>
      </w:r>
      <w:r>
        <w:rPr>
          <w:sz w:val="18"/>
        </w:rPr>
        <w:t>Orders of the</w:t>
      </w:r>
      <w:r>
        <w:rPr>
          <w:spacing w:val="-1"/>
          <w:sz w:val="18"/>
        </w:rPr>
        <w:t xml:space="preserve"> </w:t>
      </w:r>
      <w:r>
        <w:rPr>
          <w:sz w:val="18"/>
        </w:rPr>
        <w:t>Legislative</w:t>
      </w:r>
      <w:r>
        <w:rPr>
          <w:spacing w:val="-1"/>
          <w:sz w:val="18"/>
        </w:rPr>
        <w:t xml:space="preserve"> </w:t>
      </w:r>
      <w:r>
        <w:rPr>
          <w:sz w:val="18"/>
        </w:rPr>
        <w:t>Assembly</w:t>
      </w:r>
      <w:r>
        <w:rPr>
          <w:spacing w:val="-1"/>
          <w:sz w:val="18"/>
        </w:rPr>
        <w:t xml:space="preserve"> </w:t>
      </w:r>
      <w:r>
        <w:rPr>
          <w:sz w:val="18"/>
        </w:rPr>
        <w:t>2014</w:t>
      </w:r>
      <w:r>
        <w:rPr>
          <w:spacing w:val="-1"/>
          <w:sz w:val="18"/>
        </w:rPr>
        <w:t xml:space="preserve"> </w:t>
      </w:r>
      <w:r>
        <w:rPr>
          <w:sz w:val="18"/>
        </w:rPr>
        <w:t>(Qld)</w:t>
      </w:r>
      <w:r>
        <w:rPr>
          <w:spacing w:val="-2"/>
          <w:sz w:val="18"/>
        </w:rPr>
        <w:t xml:space="preserve"> </w:t>
      </w:r>
      <w:r>
        <w:rPr>
          <w:sz w:val="18"/>
        </w:rPr>
        <w:t>std</w:t>
      </w:r>
      <w:r>
        <w:rPr>
          <w:spacing w:val="1"/>
          <w:sz w:val="18"/>
        </w:rPr>
        <w:t xml:space="preserve"> </w:t>
      </w:r>
      <w:r>
        <w:rPr>
          <w:sz w:val="18"/>
        </w:rPr>
        <w:t>ord</w:t>
      </w:r>
      <w:r>
        <w:rPr>
          <w:spacing w:val="-1"/>
          <w:sz w:val="18"/>
        </w:rPr>
        <w:t xml:space="preserve"> </w:t>
      </w:r>
      <w:r>
        <w:rPr>
          <w:spacing w:val="-4"/>
          <w:sz w:val="18"/>
        </w:rPr>
        <w:t>137.</w:t>
      </w:r>
    </w:p>
    <w:p w14:paraId="7CB25ED2" w14:textId="77777777" w:rsidR="008A4099" w:rsidRDefault="006A6EE2">
      <w:pPr>
        <w:spacing w:before="23" w:line="242" w:lineRule="auto"/>
        <w:ind w:left="160" w:right="677"/>
        <w:jc w:val="both"/>
        <w:rPr>
          <w:sz w:val="18"/>
        </w:rPr>
      </w:pPr>
      <w:r>
        <w:rPr>
          <w:sz w:val="18"/>
          <w:vertAlign w:val="superscript"/>
        </w:rPr>
        <w:t>186</w:t>
      </w:r>
      <w:r>
        <w:rPr>
          <w:spacing w:val="-4"/>
          <w:sz w:val="18"/>
        </w:rPr>
        <w:t xml:space="preserve"> </w:t>
      </w:r>
      <w:r>
        <w:rPr>
          <w:sz w:val="18"/>
        </w:rPr>
        <w:t>In</w:t>
      </w:r>
      <w:r>
        <w:rPr>
          <w:spacing w:val="-3"/>
          <w:sz w:val="18"/>
        </w:rPr>
        <w:t xml:space="preserve"> </w:t>
      </w:r>
      <w:r>
        <w:rPr>
          <w:sz w:val="18"/>
        </w:rPr>
        <w:t>relation</w:t>
      </w:r>
      <w:r>
        <w:rPr>
          <w:spacing w:val="-3"/>
          <w:sz w:val="18"/>
        </w:rPr>
        <w:t xml:space="preserve"> </w:t>
      </w:r>
      <w:r>
        <w:rPr>
          <w:sz w:val="18"/>
        </w:rPr>
        <w:t>to</w:t>
      </w:r>
      <w:r>
        <w:rPr>
          <w:spacing w:val="-3"/>
          <w:sz w:val="18"/>
        </w:rPr>
        <w:t xml:space="preserve"> </w:t>
      </w:r>
      <w:r>
        <w:rPr>
          <w:sz w:val="18"/>
        </w:rPr>
        <w:t>the</w:t>
      </w:r>
      <w:r>
        <w:rPr>
          <w:spacing w:val="-5"/>
          <w:sz w:val="18"/>
        </w:rPr>
        <w:t xml:space="preserve"> </w:t>
      </w:r>
      <w:r>
        <w:rPr>
          <w:i/>
          <w:sz w:val="18"/>
        </w:rPr>
        <w:t>Public</w:t>
      </w:r>
      <w:r>
        <w:rPr>
          <w:i/>
          <w:spacing w:val="-5"/>
          <w:sz w:val="18"/>
        </w:rPr>
        <w:t xml:space="preserve"> </w:t>
      </w:r>
      <w:r>
        <w:rPr>
          <w:i/>
          <w:sz w:val="18"/>
        </w:rPr>
        <w:t>Health</w:t>
      </w:r>
      <w:r>
        <w:rPr>
          <w:i/>
          <w:spacing w:val="-6"/>
          <w:sz w:val="18"/>
        </w:rPr>
        <w:t xml:space="preserve"> </w:t>
      </w:r>
      <w:r>
        <w:rPr>
          <w:i/>
          <w:sz w:val="18"/>
        </w:rPr>
        <w:t>and</w:t>
      </w:r>
      <w:r>
        <w:rPr>
          <w:i/>
          <w:spacing w:val="-3"/>
          <w:sz w:val="18"/>
        </w:rPr>
        <w:t xml:space="preserve"> </w:t>
      </w:r>
      <w:r>
        <w:rPr>
          <w:i/>
          <w:sz w:val="18"/>
        </w:rPr>
        <w:t>Other</w:t>
      </w:r>
      <w:r>
        <w:rPr>
          <w:i/>
          <w:spacing w:val="-5"/>
          <w:sz w:val="18"/>
        </w:rPr>
        <w:t xml:space="preserve"> </w:t>
      </w:r>
      <w:r>
        <w:rPr>
          <w:i/>
          <w:sz w:val="18"/>
        </w:rPr>
        <w:t>Legislation</w:t>
      </w:r>
      <w:r>
        <w:rPr>
          <w:i/>
          <w:spacing w:val="-3"/>
          <w:sz w:val="18"/>
        </w:rPr>
        <w:t xml:space="preserve"> </w:t>
      </w:r>
      <w:r>
        <w:rPr>
          <w:i/>
          <w:sz w:val="18"/>
        </w:rPr>
        <w:t>(Public</w:t>
      </w:r>
      <w:r>
        <w:rPr>
          <w:i/>
          <w:spacing w:val="-5"/>
          <w:sz w:val="18"/>
        </w:rPr>
        <w:t xml:space="preserve"> </w:t>
      </w:r>
      <w:r>
        <w:rPr>
          <w:i/>
          <w:sz w:val="18"/>
        </w:rPr>
        <w:t>Health</w:t>
      </w:r>
      <w:r>
        <w:rPr>
          <w:i/>
          <w:spacing w:val="-3"/>
          <w:sz w:val="18"/>
        </w:rPr>
        <w:t xml:space="preserve"> </w:t>
      </w:r>
      <w:r>
        <w:rPr>
          <w:i/>
          <w:sz w:val="18"/>
        </w:rPr>
        <w:t>Emergency)</w:t>
      </w:r>
      <w:r>
        <w:rPr>
          <w:i/>
          <w:spacing w:val="-4"/>
          <w:sz w:val="18"/>
        </w:rPr>
        <w:t xml:space="preserve"> </w:t>
      </w:r>
      <w:r>
        <w:rPr>
          <w:i/>
          <w:sz w:val="18"/>
        </w:rPr>
        <w:t>Amendment</w:t>
      </w:r>
      <w:r>
        <w:rPr>
          <w:i/>
          <w:spacing w:val="-4"/>
          <w:sz w:val="18"/>
        </w:rPr>
        <w:t xml:space="preserve"> </w:t>
      </w:r>
      <w:r>
        <w:rPr>
          <w:i/>
          <w:sz w:val="18"/>
        </w:rPr>
        <w:t>Bill</w:t>
      </w:r>
      <w:r>
        <w:rPr>
          <w:i/>
          <w:spacing w:val="-4"/>
          <w:sz w:val="18"/>
        </w:rPr>
        <w:t xml:space="preserve"> </w:t>
      </w:r>
      <w:r>
        <w:rPr>
          <w:i/>
          <w:sz w:val="18"/>
        </w:rPr>
        <w:t xml:space="preserve">2020 </w:t>
      </w:r>
      <w:r>
        <w:rPr>
          <w:sz w:val="18"/>
        </w:rPr>
        <w:t>(Qld),</w:t>
      </w:r>
      <w:r>
        <w:rPr>
          <w:spacing w:val="-6"/>
          <w:sz w:val="18"/>
        </w:rPr>
        <w:t xml:space="preserve"> </w:t>
      </w:r>
      <w:r>
        <w:rPr>
          <w:sz w:val="18"/>
        </w:rPr>
        <w:t>the</w:t>
      </w:r>
      <w:r>
        <w:rPr>
          <w:spacing w:val="-5"/>
          <w:sz w:val="18"/>
        </w:rPr>
        <w:t xml:space="preserve"> </w:t>
      </w:r>
      <w:r>
        <w:rPr>
          <w:sz w:val="18"/>
        </w:rPr>
        <w:t>Deputy Leader of the Opposition indicated that, while the Opposition would support the Bill, they were deeply concerned about the lack</w:t>
      </w:r>
      <w:r>
        <w:rPr>
          <w:spacing w:val="-4"/>
          <w:sz w:val="18"/>
        </w:rPr>
        <w:t xml:space="preserve"> </w:t>
      </w:r>
      <w:r>
        <w:rPr>
          <w:sz w:val="18"/>
        </w:rPr>
        <w:t>of</w:t>
      </w:r>
      <w:r>
        <w:rPr>
          <w:spacing w:val="-5"/>
          <w:sz w:val="18"/>
        </w:rPr>
        <w:t xml:space="preserve"> </w:t>
      </w:r>
      <w:r>
        <w:rPr>
          <w:sz w:val="18"/>
        </w:rPr>
        <w:t>time</w:t>
      </w:r>
      <w:r>
        <w:rPr>
          <w:spacing w:val="-6"/>
          <w:sz w:val="18"/>
        </w:rPr>
        <w:t xml:space="preserve"> </w:t>
      </w:r>
      <w:r>
        <w:rPr>
          <w:sz w:val="18"/>
        </w:rPr>
        <w:t>afforded</w:t>
      </w:r>
      <w:r>
        <w:rPr>
          <w:spacing w:val="-4"/>
          <w:sz w:val="18"/>
        </w:rPr>
        <w:t xml:space="preserve"> </w:t>
      </w:r>
      <w:r>
        <w:rPr>
          <w:sz w:val="18"/>
        </w:rPr>
        <w:t>for</w:t>
      </w:r>
      <w:r>
        <w:rPr>
          <w:spacing w:val="-5"/>
          <w:sz w:val="18"/>
        </w:rPr>
        <w:t xml:space="preserve"> </w:t>
      </w:r>
      <w:r>
        <w:rPr>
          <w:sz w:val="18"/>
        </w:rPr>
        <w:t>debating</w:t>
      </w:r>
      <w:r>
        <w:rPr>
          <w:spacing w:val="-7"/>
          <w:sz w:val="18"/>
        </w:rPr>
        <w:t xml:space="preserve"> </w:t>
      </w:r>
      <w:r>
        <w:rPr>
          <w:sz w:val="18"/>
        </w:rPr>
        <w:t>its</w:t>
      </w:r>
      <w:r>
        <w:rPr>
          <w:spacing w:val="-6"/>
          <w:sz w:val="18"/>
        </w:rPr>
        <w:t xml:space="preserve"> </w:t>
      </w:r>
      <w:r>
        <w:rPr>
          <w:sz w:val="18"/>
        </w:rPr>
        <w:t>provisions:</w:t>
      </w:r>
      <w:r>
        <w:rPr>
          <w:spacing w:val="-2"/>
          <w:sz w:val="18"/>
        </w:rPr>
        <w:t xml:space="preserve"> </w:t>
      </w:r>
      <w:r>
        <w:rPr>
          <w:sz w:val="18"/>
        </w:rPr>
        <w:t>Queensland,</w:t>
      </w:r>
      <w:r>
        <w:rPr>
          <w:spacing w:val="-4"/>
          <w:sz w:val="18"/>
        </w:rPr>
        <w:t xml:space="preserve"> </w:t>
      </w:r>
      <w:r>
        <w:rPr>
          <w:i/>
          <w:sz w:val="18"/>
        </w:rPr>
        <w:t>Parliamentary</w:t>
      </w:r>
      <w:r>
        <w:rPr>
          <w:i/>
          <w:spacing w:val="-6"/>
          <w:sz w:val="18"/>
        </w:rPr>
        <w:t xml:space="preserve"> </w:t>
      </w:r>
      <w:r>
        <w:rPr>
          <w:i/>
          <w:sz w:val="18"/>
        </w:rPr>
        <w:t>Debates</w:t>
      </w:r>
      <w:r>
        <w:rPr>
          <w:sz w:val="18"/>
        </w:rPr>
        <w:t>,</w:t>
      </w:r>
      <w:r>
        <w:rPr>
          <w:spacing w:val="-5"/>
          <w:sz w:val="18"/>
        </w:rPr>
        <w:t xml:space="preserve"> </w:t>
      </w:r>
      <w:r>
        <w:rPr>
          <w:sz w:val="18"/>
        </w:rPr>
        <w:t>Legislative</w:t>
      </w:r>
      <w:r>
        <w:rPr>
          <w:spacing w:val="-6"/>
          <w:sz w:val="18"/>
        </w:rPr>
        <w:t xml:space="preserve"> </w:t>
      </w:r>
      <w:r>
        <w:rPr>
          <w:sz w:val="18"/>
        </w:rPr>
        <w:t>Assembly,</w:t>
      </w:r>
      <w:r>
        <w:rPr>
          <w:spacing w:val="-5"/>
          <w:sz w:val="18"/>
        </w:rPr>
        <w:t xml:space="preserve"> </w:t>
      </w:r>
      <w:r>
        <w:rPr>
          <w:sz w:val="18"/>
        </w:rPr>
        <w:t>18</w:t>
      </w:r>
      <w:r>
        <w:rPr>
          <w:spacing w:val="-4"/>
          <w:sz w:val="18"/>
        </w:rPr>
        <w:t xml:space="preserve"> </w:t>
      </w:r>
      <w:r>
        <w:rPr>
          <w:sz w:val="18"/>
        </w:rPr>
        <w:t>March</w:t>
      </w:r>
      <w:r>
        <w:rPr>
          <w:spacing w:val="-4"/>
          <w:sz w:val="18"/>
        </w:rPr>
        <w:t xml:space="preserve"> </w:t>
      </w:r>
      <w:r>
        <w:rPr>
          <w:sz w:val="18"/>
        </w:rPr>
        <w:t xml:space="preserve">2020, 686 (Tim Mander). The </w:t>
      </w:r>
      <w:r>
        <w:rPr>
          <w:i/>
          <w:sz w:val="18"/>
        </w:rPr>
        <w:t xml:space="preserve">COVID-19 Emergency Response Act 2020 </w:t>
      </w:r>
      <w:r>
        <w:rPr>
          <w:sz w:val="18"/>
        </w:rPr>
        <w:t>(Qld) was introduced in the Legislative Assembly and assented to within 48 hours.</w:t>
      </w:r>
    </w:p>
    <w:p w14:paraId="7CB25ED3"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ED4" w14:textId="77777777" w:rsidR="008A4099" w:rsidRDefault="008A4099">
      <w:pPr>
        <w:pStyle w:val="BodyText"/>
        <w:spacing w:before="194"/>
      </w:pPr>
    </w:p>
    <w:p w14:paraId="7CB25ED5" w14:textId="77777777" w:rsidR="008A4099" w:rsidRDefault="006A6EE2">
      <w:pPr>
        <w:pStyle w:val="BodyText"/>
        <w:ind w:left="160" w:right="679"/>
        <w:rPr>
          <w:sz w:val="13"/>
        </w:rPr>
      </w:pPr>
      <w:r>
        <w:rPr>
          <w:i/>
        </w:rPr>
        <w:t>Amendment Bill</w:t>
      </w:r>
      <w:r>
        <w:rPr>
          <w:i/>
          <w:spacing w:val="23"/>
        </w:rPr>
        <w:t xml:space="preserve"> </w:t>
      </w:r>
      <w:r>
        <w:rPr>
          <w:i/>
        </w:rPr>
        <w:t xml:space="preserve">2021 </w:t>
      </w:r>
      <w:r>
        <w:t>(Qld)</w:t>
      </w:r>
      <w:r>
        <w:rPr>
          <w:spacing w:val="26"/>
        </w:rPr>
        <w:t xml:space="preserve"> </w:t>
      </w:r>
      <w:r>
        <w:t>were subject</w:t>
      </w:r>
      <w:r>
        <w:rPr>
          <w:spacing w:val="25"/>
        </w:rPr>
        <w:t xml:space="preserve"> </w:t>
      </w:r>
      <w:r>
        <w:t>to targeted consultation and pre-enactment inquiry by the</w:t>
      </w:r>
      <w:r>
        <w:rPr>
          <w:spacing w:val="40"/>
        </w:rPr>
        <w:t xml:space="preserve"> </w:t>
      </w:r>
      <w:r>
        <w:t>relevant Standing Committee.</w:t>
      </w:r>
      <w:r>
        <w:rPr>
          <w:position w:val="7"/>
          <w:sz w:val="13"/>
        </w:rPr>
        <w:t>187</w:t>
      </w:r>
    </w:p>
    <w:p w14:paraId="7CB25ED6" w14:textId="77777777" w:rsidR="008A4099" w:rsidRDefault="006A6EE2">
      <w:pPr>
        <w:pStyle w:val="ListParagraph"/>
        <w:numPr>
          <w:ilvl w:val="2"/>
          <w:numId w:val="6"/>
        </w:numPr>
        <w:tabs>
          <w:tab w:val="left" w:pos="879"/>
        </w:tabs>
        <w:ind w:right="673" w:firstLine="0"/>
        <w:jc w:val="both"/>
        <w:rPr>
          <w:sz w:val="13"/>
        </w:rPr>
      </w:pPr>
      <w:r>
        <w:t>In regard to ongoing scrutiny, the Queensland Parliament did not establish a dedicated Committee</w:t>
      </w:r>
      <w:r>
        <w:rPr>
          <w:spacing w:val="-9"/>
        </w:rPr>
        <w:t xml:space="preserve"> </w:t>
      </w:r>
      <w:r>
        <w:t>but</w:t>
      </w:r>
      <w:r>
        <w:rPr>
          <w:spacing w:val="-11"/>
        </w:rPr>
        <w:t xml:space="preserve"> </w:t>
      </w:r>
      <w:r>
        <w:t>made</w:t>
      </w:r>
      <w:r>
        <w:rPr>
          <w:spacing w:val="-12"/>
        </w:rPr>
        <w:t xml:space="preserve"> </w:t>
      </w:r>
      <w:r>
        <w:t>separate</w:t>
      </w:r>
      <w:r>
        <w:rPr>
          <w:spacing w:val="-12"/>
        </w:rPr>
        <w:t xml:space="preserve"> </w:t>
      </w:r>
      <w:r>
        <w:t>referrals</w:t>
      </w:r>
      <w:r>
        <w:rPr>
          <w:spacing w:val="-11"/>
        </w:rPr>
        <w:t xml:space="preserve"> </w:t>
      </w:r>
      <w:r>
        <w:t>to</w:t>
      </w:r>
      <w:r>
        <w:rPr>
          <w:spacing w:val="-12"/>
        </w:rPr>
        <w:t xml:space="preserve"> </w:t>
      </w:r>
      <w:r>
        <w:t>the</w:t>
      </w:r>
      <w:r>
        <w:rPr>
          <w:spacing w:val="-9"/>
        </w:rPr>
        <w:t xml:space="preserve"> </w:t>
      </w:r>
      <w:r>
        <w:t>Economics</w:t>
      </w:r>
      <w:r>
        <w:rPr>
          <w:spacing w:val="-9"/>
        </w:rPr>
        <w:t xml:space="preserve"> </w:t>
      </w:r>
      <w:r>
        <w:t>and</w:t>
      </w:r>
      <w:r>
        <w:rPr>
          <w:spacing w:val="-12"/>
        </w:rPr>
        <w:t xml:space="preserve"> </w:t>
      </w:r>
      <w:r>
        <w:t>Governance</w:t>
      </w:r>
      <w:r>
        <w:rPr>
          <w:spacing w:val="-9"/>
        </w:rPr>
        <w:t xml:space="preserve"> </w:t>
      </w:r>
      <w:r>
        <w:t>Committee</w:t>
      </w:r>
      <w:r>
        <w:rPr>
          <w:spacing w:val="-11"/>
        </w:rPr>
        <w:t xml:space="preserve"> </w:t>
      </w:r>
      <w:r>
        <w:t>to</w:t>
      </w:r>
      <w:r>
        <w:rPr>
          <w:spacing w:val="-12"/>
        </w:rPr>
        <w:t xml:space="preserve"> </w:t>
      </w:r>
      <w:r>
        <w:t>inquire</w:t>
      </w:r>
      <w:r>
        <w:rPr>
          <w:spacing w:val="-12"/>
        </w:rPr>
        <w:t xml:space="preserve"> </w:t>
      </w:r>
      <w:r>
        <w:t>into</w:t>
      </w:r>
      <w:r>
        <w:rPr>
          <w:spacing w:val="-12"/>
        </w:rPr>
        <w:t xml:space="preserve"> </w:t>
      </w:r>
      <w:r>
        <w:t>the Queensland</w:t>
      </w:r>
      <w:r>
        <w:rPr>
          <w:spacing w:val="-14"/>
        </w:rPr>
        <w:t xml:space="preserve"> </w:t>
      </w:r>
      <w:r>
        <w:t>Government’s</w:t>
      </w:r>
      <w:r>
        <w:rPr>
          <w:spacing w:val="-14"/>
        </w:rPr>
        <w:t xml:space="preserve"> </w:t>
      </w:r>
      <w:r>
        <w:t>economic</w:t>
      </w:r>
      <w:r>
        <w:rPr>
          <w:spacing w:val="-14"/>
        </w:rPr>
        <w:t xml:space="preserve"> </w:t>
      </w:r>
      <w:r>
        <w:t>response,</w:t>
      </w:r>
      <w:r>
        <w:rPr>
          <w:spacing w:val="-13"/>
        </w:rPr>
        <w:t xml:space="preserve"> </w:t>
      </w:r>
      <w:r>
        <w:t>and</w:t>
      </w:r>
      <w:r>
        <w:rPr>
          <w:spacing w:val="-14"/>
        </w:rPr>
        <w:t xml:space="preserve"> </w:t>
      </w:r>
      <w:r>
        <w:t>to</w:t>
      </w:r>
      <w:r>
        <w:rPr>
          <w:spacing w:val="-14"/>
        </w:rPr>
        <w:t xml:space="preserve"> </w:t>
      </w:r>
      <w:r>
        <w:t>the</w:t>
      </w:r>
      <w:r>
        <w:rPr>
          <w:spacing w:val="-14"/>
        </w:rPr>
        <w:t xml:space="preserve"> </w:t>
      </w:r>
      <w:r>
        <w:t>Health,</w:t>
      </w:r>
      <w:r>
        <w:rPr>
          <w:spacing w:val="-13"/>
        </w:rPr>
        <w:t xml:space="preserve"> </w:t>
      </w:r>
      <w:r>
        <w:t>Communities,</w:t>
      </w:r>
      <w:r>
        <w:rPr>
          <w:spacing w:val="-14"/>
        </w:rPr>
        <w:t xml:space="preserve"> </w:t>
      </w:r>
      <w:r>
        <w:t>Disability</w:t>
      </w:r>
      <w:r>
        <w:rPr>
          <w:spacing w:val="-14"/>
        </w:rPr>
        <w:t xml:space="preserve"> </w:t>
      </w:r>
      <w:r>
        <w:t>Services</w:t>
      </w:r>
      <w:r>
        <w:rPr>
          <w:spacing w:val="-14"/>
        </w:rPr>
        <w:t xml:space="preserve"> </w:t>
      </w:r>
      <w:r>
        <w:t>and Domestic and Family Violence Prevention Committee to inquire into the Queensland Government’s health response.</w:t>
      </w:r>
      <w:r>
        <w:rPr>
          <w:position w:val="7"/>
          <w:sz w:val="13"/>
        </w:rPr>
        <w:t>188</w:t>
      </w:r>
      <w:r>
        <w:rPr>
          <w:spacing w:val="40"/>
          <w:position w:val="7"/>
          <w:sz w:val="13"/>
        </w:rPr>
        <w:t xml:space="preserve"> </w:t>
      </w:r>
      <w:r>
        <w:t>Both inquiries held public hearings but lapsed before final reports were tabled because of the State election.</w:t>
      </w:r>
      <w:r>
        <w:rPr>
          <w:position w:val="7"/>
          <w:sz w:val="13"/>
        </w:rPr>
        <w:t>189</w:t>
      </w:r>
      <w:r>
        <w:rPr>
          <w:spacing w:val="29"/>
          <w:position w:val="7"/>
          <w:sz w:val="13"/>
        </w:rPr>
        <w:t xml:space="preserve"> </w:t>
      </w:r>
      <w:r>
        <w:t>The Interim Report of the Inquiry into the Queensland Government’s health response to COVID‐19 identified concerns regarding the human rights impact of mandatory quarantine and other public health directions on vulnerable Queenslanders, including people with disabilities, people in detention facilities, Aboriginal and Torres Strait Islanders, and older Queenslanders.</w:t>
      </w:r>
      <w:r>
        <w:rPr>
          <w:position w:val="7"/>
          <w:sz w:val="13"/>
        </w:rPr>
        <w:t>190</w:t>
      </w:r>
      <w:r>
        <w:rPr>
          <w:spacing w:val="12"/>
          <w:position w:val="7"/>
          <w:sz w:val="13"/>
        </w:rPr>
        <w:t xml:space="preserve"> </w:t>
      </w:r>
      <w:r>
        <w:t>Concerns</w:t>
      </w:r>
      <w:r>
        <w:rPr>
          <w:spacing w:val="-10"/>
        </w:rPr>
        <w:t xml:space="preserve"> </w:t>
      </w:r>
      <w:r>
        <w:t>about</w:t>
      </w:r>
      <w:r>
        <w:rPr>
          <w:spacing w:val="-11"/>
        </w:rPr>
        <w:t xml:space="preserve"> </w:t>
      </w:r>
      <w:r>
        <w:t>the</w:t>
      </w:r>
      <w:r>
        <w:rPr>
          <w:spacing w:val="-12"/>
        </w:rPr>
        <w:t xml:space="preserve"> </w:t>
      </w:r>
      <w:r>
        <w:t>human</w:t>
      </w:r>
      <w:r>
        <w:rPr>
          <w:spacing w:val="-12"/>
        </w:rPr>
        <w:t xml:space="preserve"> </w:t>
      </w:r>
      <w:r>
        <w:t>rights</w:t>
      </w:r>
      <w:r>
        <w:rPr>
          <w:spacing w:val="-12"/>
        </w:rPr>
        <w:t xml:space="preserve"> </w:t>
      </w:r>
      <w:r>
        <w:t>compatibility</w:t>
      </w:r>
      <w:r>
        <w:rPr>
          <w:spacing w:val="-11"/>
        </w:rPr>
        <w:t xml:space="preserve"> </w:t>
      </w:r>
      <w:r>
        <w:t>of</w:t>
      </w:r>
      <w:r>
        <w:rPr>
          <w:spacing w:val="-10"/>
        </w:rPr>
        <w:t xml:space="preserve"> </w:t>
      </w:r>
      <w:r>
        <w:t>Queensland</w:t>
      </w:r>
      <w:r>
        <w:rPr>
          <w:spacing w:val="-11"/>
        </w:rPr>
        <w:t xml:space="preserve"> </w:t>
      </w:r>
      <w:r>
        <w:t>Covid</w:t>
      </w:r>
      <w:r>
        <w:rPr>
          <w:spacing w:val="-12"/>
        </w:rPr>
        <w:t xml:space="preserve"> </w:t>
      </w:r>
      <w:r>
        <w:t>legislation</w:t>
      </w:r>
      <w:r>
        <w:rPr>
          <w:spacing w:val="-12"/>
        </w:rPr>
        <w:t xml:space="preserve"> </w:t>
      </w:r>
      <w:r>
        <w:t>were also raised by the Queensland Human Rights Commissioner.</w:t>
      </w:r>
      <w:r>
        <w:rPr>
          <w:position w:val="7"/>
          <w:sz w:val="13"/>
        </w:rPr>
        <w:t>191</w:t>
      </w:r>
    </w:p>
    <w:p w14:paraId="7CB25ED7" w14:textId="77777777" w:rsidR="008A4099" w:rsidRDefault="006A6EE2">
      <w:pPr>
        <w:pStyle w:val="ListParagraph"/>
        <w:numPr>
          <w:ilvl w:val="2"/>
          <w:numId w:val="6"/>
        </w:numPr>
        <w:tabs>
          <w:tab w:val="left" w:pos="879"/>
        </w:tabs>
        <w:spacing w:before="216"/>
        <w:ind w:right="674" w:firstLine="0"/>
        <w:jc w:val="both"/>
      </w:pPr>
      <w:r>
        <w:t xml:space="preserve">As with ACT and Queensland, there was limited preliminary scrutiny of the initial legislation relating to COVID-19 in Victoria due to the time constraints. In Victoria, Parliament was recalled for an emergency sitting to pass the </w:t>
      </w:r>
      <w:r>
        <w:rPr>
          <w:i/>
        </w:rPr>
        <w:t xml:space="preserve">COVID-19 Omnibus (Emergency Measures) Bill 2020 </w:t>
      </w:r>
      <w:r>
        <w:t>(Vic) (‘Vic Covid Bill’).</w:t>
      </w:r>
      <w:r>
        <w:rPr>
          <w:position w:val="7"/>
          <w:sz w:val="13"/>
        </w:rPr>
        <w:t>192</w:t>
      </w:r>
      <w:r>
        <w:rPr>
          <w:spacing w:val="30"/>
          <w:position w:val="7"/>
          <w:sz w:val="13"/>
        </w:rPr>
        <w:t xml:space="preserve"> </w:t>
      </w:r>
      <w:r>
        <w:t>Members of Parliament were offered briefings on the Victorian Covid Bill prior to its introduction, but parliamentary debate was limited, and the bill was passed by both houses on the day it was introduced. However, there was greater scrutiny of subsequent legislation from a human rights perspective. In late 2021, the Victorian Government proposed a new Bill to replace the emergency powers scheme that had been used to manage COVID-19 to that point with a new framework for pandemic-related emergencies.</w:t>
      </w:r>
      <w:r>
        <w:rPr>
          <w:position w:val="7"/>
          <w:sz w:val="13"/>
        </w:rPr>
        <w:t>193</w:t>
      </w:r>
      <w:r>
        <w:rPr>
          <w:spacing w:val="40"/>
          <w:position w:val="7"/>
          <w:sz w:val="13"/>
        </w:rPr>
        <w:t xml:space="preserve"> </w:t>
      </w:r>
      <w:r>
        <w:t xml:space="preserve">The </w:t>
      </w:r>
      <w:r>
        <w:rPr>
          <w:i/>
        </w:rPr>
        <w:t xml:space="preserve">Public Health and Wellbeing Amendment (Pandemic Management) Bill 2021 </w:t>
      </w:r>
      <w:r>
        <w:t>(Vic) (‘Vic Pandemic Bill’) was subject to wide stakeholder consultation and parliamentary negotiation to address concerns regarding the scope of the powers it contained. Amendments</w:t>
      </w:r>
      <w:r>
        <w:rPr>
          <w:spacing w:val="-1"/>
        </w:rPr>
        <w:t xml:space="preserve"> </w:t>
      </w:r>
      <w:r>
        <w:t>to</w:t>
      </w:r>
      <w:r>
        <w:rPr>
          <w:spacing w:val="-4"/>
        </w:rPr>
        <w:t xml:space="preserve"> </w:t>
      </w:r>
      <w:r>
        <w:t>the</w:t>
      </w:r>
      <w:r>
        <w:rPr>
          <w:spacing w:val="-1"/>
        </w:rPr>
        <w:t xml:space="preserve"> </w:t>
      </w:r>
      <w:r>
        <w:t>Vic</w:t>
      </w:r>
      <w:r>
        <w:rPr>
          <w:spacing w:val="-1"/>
        </w:rPr>
        <w:t xml:space="preserve"> </w:t>
      </w:r>
      <w:r>
        <w:t>Pandemic</w:t>
      </w:r>
      <w:r>
        <w:rPr>
          <w:spacing w:val="-1"/>
        </w:rPr>
        <w:t xml:space="preserve"> </w:t>
      </w:r>
      <w:r>
        <w:t>Bill were</w:t>
      </w:r>
      <w:r>
        <w:rPr>
          <w:spacing w:val="-1"/>
        </w:rPr>
        <w:t xml:space="preserve"> </w:t>
      </w:r>
      <w:r>
        <w:t>made</w:t>
      </w:r>
      <w:r>
        <w:rPr>
          <w:spacing w:val="-1"/>
        </w:rPr>
        <w:t xml:space="preserve"> </w:t>
      </w:r>
      <w:r>
        <w:t>because</w:t>
      </w:r>
      <w:r>
        <w:rPr>
          <w:spacing w:val="-1"/>
        </w:rPr>
        <w:t xml:space="preserve"> </w:t>
      </w:r>
      <w:r>
        <w:t>of</w:t>
      </w:r>
      <w:r>
        <w:rPr>
          <w:spacing w:val="-3"/>
        </w:rPr>
        <w:t xml:space="preserve"> </w:t>
      </w:r>
      <w:r>
        <w:t>this</w:t>
      </w:r>
      <w:r>
        <w:rPr>
          <w:spacing w:val="-1"/>
        </w:rPr>
        <w:t xml:space="preserve"> </w:t>
      </w:r>
      <w:r>
        <w:t>consultation,</w:t>
      </w:r>
      <w:r>
        <w:rPr>
          <w:spacing w:val="-1"/>
        </w:rPr>
        <w:t xml:space="preserve"> </w:t>
      </w:r>
      <w:r>
        <w:t>and</w:t>
      </w:r>
      <w:r>
        <w:rPr>
          <w:spacing w:val="-1"/>
        </w:rPr>
        <w:t xml:space="preserve"> </w:t>
      </w:r>
      <w:r>
        <w:t>these</w:t>
      </w:r>
      <w:r>
        <w:rPr>
          <w:spacing w:val="-1"/>
        </w:rPr>
        <w:t xml:space="preserve"> </w:t>
      </w:r>
      <w:r>
        <w:t>amendments ultimately strengthened protections of rights and freedoms suggesting the potential value of human rights discourse in policy development (see [3.3]).</w:t>
      </w:r>
    </w:p>
    <w:p w14:paraId="7CB25ED8" w14:textId="77777777" w:rsidR="008A4099" w:rsidRDefault="006A6EE2">
      <w:pPr>
        <w:pStyle w:val="ListParagraph"/>
        <w:numPr>
          <w:ilvl w:val="2"/>
          <w:numId w:val="6"/>
        </w:numPr>
        <w:tabs>
          <w:tab w:val="left" w:pos="879"/>
        </w:tabs>
        <w:spacing w:before="221" w:line="237" w:lineRule="auto"/>
        <w:ind w:right="675" w:firstLine="0"/>
        <w:jc w:val="both"/>
      </w:pPr>
      <w:r>
        <w:t>The</w:t>
      </w:r>
      <w:r>
        <w:rPr>
          <w:spacing w:val="-13"/>
        </w:rPr>
        <w:t xml:space="preserve"> </w:t>
      </w:r>
      <w:r>
        <w:t>human</w:t>
      </w:r>
      <w:r>
        <w:rPr>
          <w:spacing w:val="-14"/>
        </w:rPr>
        <w:t xml:space="preserve"> </w:t>
      </w:r>
      <w:r>
        <w:t>rights</w:t>
      </w:r>
      <w:r>
        <w:rPr>
          <w:spacing w:val="-14"/>
        </w:rPr>
        <w:t xml:space="preserve"> </w:t>
      </w:r>
      <w:r>
        <w:t>framework</w:t>
      </w:r>
      <w:r>
        <w:rPr>
          <w:spacing w:val="-12"/>
        </w:rPr>
        <w:t xml:space="preserve"> </w:t>
      </w:r>
      <w:r>
        <w:t>in</w:t>
      </w:r>
      <w:r>
        <w:rPr>
          <w:spacing w:val="-14"/>
        </w:rPr>
        <w:t xml:space="preserve"> </w:t>
      </w:r>
      <w:r>
        <w:t>Victoria</w:t>
      </w:r>
      <w:r>
        <w:rPr>
          <w:spacing w:val="-14"/>
        </w:rPr>
        <w:t xml:space="preserve"> </w:t>
      </w:r>
      <w:r>
        <w:t>also</w:t>
      </w:r>
      <w:r>
        <w:rPr>
          <w:spacing w:val="-14"/>
        </w:rPr>
        <w:t xml:space="preserve"> </w:t>
      </w:r>
      <w:r>
        <w:t>allowed</w:t>
      </w:r>
      <w:r>
        <w:rPr>
          <w:spacing w:val="-13"/>
        </w:rPr>
        <w:t xml:space="preserve"> </w:t>
      </w:r>
      <w:r>
        <w:t>for</w:t>
      </w:r>
      <w:r>
        <w:rPr>
          <w:spacing w:val="-11"/>
        </w:rPr>
        <w:t xml:space="preserve"> </w:t>
      </w:r>
      <w:r>
        <w:t>scrutiny</w:t>
      </w:r>
      <w:r>
        <w:rPr>
          <w:spacing w:val="-12"/>
        </w:rPr>
        <w:t xml:space="preserve"> </w:t>
      </w:r>
      <w:r>
        <w:t>by</w:t>
      </w:r>
      <w:r>
        <w:rPr>
          <w:spacing w:val="-14"/>
        </w:rPr>
        <w:t xml:space="preserve"> </w:t>
      </w:r>
      <w:r>
        <w:t>parliamentary</w:t>
      </w:r>
      <w:r>
        <w:rPr>
          <w:spacing w:val="-12"/>
        </w:rPr>
        <w:t xml:space="preserve"> </w:t>
      </w:r>
      <w:r>
        <w:t>committees of the COVID-19 response. In Victoria, the government tasked the standing Public Accounts and Estimates Committee with conducting an inquiry into the management of the COVID-19 pandemic in Victoria. The Committee’s Final Report, issued in January 2021, covered many human rights issues relating</w:t>
      </w:r>
      <w:r>
        <w:rPr>
          <w:spacing w:val="13"/>
        </w:rPr>
        <w:t xml:space="preserve"> </w:t>
      </w:r>
      <w:r>
        <w:t>to</w:t>
      </w:r>
      <w:r>
        <w:rPr>
          <w:spacing w:val="16"/>
        </w:rPr>
        <w:t xml:space="preserve"> </w:t>
      </w:r>
      <w:r>
        <w:t>the</w:t>
      </w:r>
      <w:r>
        <w:rPr>
          <w:spacing w:val="18"/>
        </w:rPr>
        <w:t xml:space="preserve"> </w:t>
      </w:r>
      <w:r>
        <w:t>government’s</w:t>
      </w:r>
      <w:r>
        <w:rPr>
          <w:spacing w:val="18"/>
        </w:rPr>
        <w:t xml:space="preserve"> </w:t>
      </w:r>
      <w:r>
        <w:t>COVID-19</w:t>
      </w:r>
      <w:r>
        <w:rPr>
          <w:spacing w:val="18"/>
        </w:rPr>
        <w:t xml:space="preserve"> </w:t>
      </w:r>
      <w:r>
        <w:t>response,</w:t>
      </w:r>
      <w:r>
        <w:rPr>
          <w:spacing w:val="15"/>
        </w:rPr>
        <w:t xml:space="preserve"> </w:t>
      </w:r>
      <w:r>
        <w:t>including</w:t>
      </w:r>
      <w:r>
        <w:rPr>
          <w:spacing w:val="16"/>
        </w:rPr>
        <w:t xml:space="preserve"> </w:t>
      </w:r>
      <w:r>
        <w:t>the</w:t>
      </w:r>
      <w:r>
        <w:rPr>
          <w:spacing w:val="16"/>
        </w:rPr>
        <w:t xml:space="preserve"> </w:t>
      </w:r>
      <w:r>
        <w:t>flawed</w:t>
      </w:r>
      <w:r>
        <w:rPr>
          <w:spacing w:val="15"/>
        </w:rPr>
        <w:t xml:space="preserve"> </w:t>
      </w:r>
      <w:r>
        <w:t>tower</w:t>
      </w:r>
      <w:r>
        <w:rPr>
          <w:spacing w:val="15"/>
        </w:rPr>
        <w:t xml:space="preserve"> </w:t>
      </w:r>
      <w:r>
        <w:t>lockdown,</w:t>
      </w:r>
      <w:r>
        <w:rPr>
          <w:spacing w:val="18"/>
        </w:rPr>
        <w:t xml:space="preserve"> </w:t>
      </w:r>
      <w:r>
        <w:t>which</w:t>
      </w:r>
      <w:r>
        <w:rPr>
          <w:spacing w:val="17"/>
        </w:rPr>
        <w:t xml:space="preserve"> </w:t>
      </w:r>
      <w:r>
        <w:rPr>
          <w:spacing w:val="-5"/>
        </w:rPr>
        <w:t>had</w:t>
      </w:r>
    </w:p>
    <w:p w14:paraId="7CB25ED9" w14:textId="77777777" w:rsidR="008A4099" w:rsidRDefault="008A4099">
      <w:pPr>
        <w:pStyle w:val="BodyText"/>
        <w:rPr>
          <w:sz w:val="20"/>
        </w:rPr>
      </w:pPr>
    </w:p>
    <w:p w14:paraId="7CB25EDA" w14:textId="77777777" w:rsidR="008A4099" w:rsidRDefault="008A4099">
      <w:pPr>
        <w:pStyle w:val="BodyText"/>
        <w:rPr>
          <w:sz w:val="20"/>
        </w:rPr>
      </w:pPr>
    </w:p>
    <w:p w14:paraId="7CB25EDB" w14:textId="77777777" w:rsidR="008A4099" w:rsidRDefault="008A4099">
      <w:pPr>
        <w:pStyle w:val="BodyText"/>
        <w:rPr>
          <w:sz w:val="20"/>
        </w:rPr>
      </w:pPr>
    </w:p>
    <w:p w14:paraId="7CB25EDC" w14:textId="77777777" w:rsidR="008A4099" w:rsidRDefault="006A6EE2">
      <w:pPr>
        <w:pStyle w:val="BodyText"/>
        <w:spacing w:before="9"/>
        <w:rPr>
          <w:sz w:val="20"/>
        </w:rPr>
      </w:pPr>
      <w:r>
        <w:rPr>
          <w:noProof/>
        </w:rPr>
        <mc:AlternateContent>
          <mc:Choice Requires="wps">
            <w:drawing>
              <wp:anchor distT="0" distB="0" distL="0" distR="0" simplePos="0" relativeHeight="487603200" behindDoc="1" locked="0" layoutInCell="1" allowOverlap="1" wp14:anchorId="7CB26615" wp14:editId="7CB26616">
                <wp:simplePos x="0" y="0"/>
                <wp:positionH relativeFrom="page">
                  <wp:posOffset>914704</wp:posOffset>
                </wp:positionH>
                <wp:positionV relativeFrom="paragraph">
                  <wp:posOffset>167165</wp:posOffset>
                </wp:positionV>
                <wp:extent cx="1829435" cy="762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BA004F" id="Graphic 72" o:spid="_x0000_s1026" style="position:absolute;margin-left:1in;margin-top:13.15pt;width:144.05pt;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" path="m1829054,l,,,7619r1829054,l1829054,xe" fillcolor="black" stroked="f">
                <v:path arrowok="t"/>
                <w10:wrap type="topAndBottom" anchorx="page"/>
              </v:shape>
            </w:pict>
          </mc:Fallback>
        </mc:AlternateContent>
      </w:r>
    </w:p>
    <w:p w14:paraId="7CB25EDD" w14:textId="77777777" w:rsidR="008A4099" w:rsidRDefault="006A6EE2">
      <w:pPr>
        <w:spacing w:before="112" w:line="244" w:lineRule="auto"/>
        <w:ind w:left="160" w:right="679"/>
        <w:rPr>
          <w:sz w:val="18"/>
        </w:rPr>
      </w:pPr>
      <w:r>
        <w:rPr>
          <w:sz w:val="18"/>
          <w:vertAlign w:val="superscript"/>
        </w:rPr>
        <w:t>187</w:t>
      </w:r>
      <w:r>
        <w:rPr>
          <w:sz w:val="18"/>
        </w:rPr>
        <w:t xml:space="preserve"> See, for example, </w:t>
      </w:r>
      <w:r>
        <w:rPr>
          <w:i/>
          <w:sz w:val="18"/>
        </w:rPr>
        <w:t>COVID-19 Emergency Response</w:t>
      </w:r>
      <w:r>
        <w:rPr>
          <w:i/>
          <w:spacing w:val="-1"/>
          <w:sz w:val="18"/>
        </w:rPr>
        <w:t xml:space="preserve"> </w:t>
      </w:r>
      <w:r>
        <w:rPr>
          <w:i/>
          <w:sz w:val="18"/>
        </w:rPr>
        <w:t xml:space="preserve">and Other Legislation Amendment Bill 2021 </w:t>
      </w:r>
      <w:r>
        <w:rPr>
          <w:sz w:val="18"/>
        </w:rPr>
        <w:t>(Qld), Report No</w:t>
      </w:r>
      <w:r>
        <w:rPr>
          <w:spacing w:val="-1"/>
          <w:sz w:val="18"/>
        </w:rPr>
        <w:t xml:space="preserve"> </w:t>
      </w:r>
      <w:r>
        <w:rPr>
          <w:sz w:val="18"/>
        </w:rPr>
        <w:t>6,</w:t>
      </w:r>
      <w:r>
        <w:rPr>
          <w:spacing w:val="-2"/>
          <w:sz w:val="18"/>
        </w:rPr>
        <w:t xml:space="preserve"> </w:t>
      </w:r>
      <w:r>
        <w:rPr>
          <w:sz w:val="18"/>
        </w:rPr>
        <w:t>57th Parliament, Economics and Governance Committee (April 2021).</w:t>
      </w:r>
    </w:p>
    <w:p w14:paraId="7CB25EDE" w14:textId="77777777" w:rsidR="008A4099" w:rsidRDefault="006A6EE2">
      <w:pPr>
        <w:spacing w:before="15" w:line="244" w:lineRule="auto"/>
        <w:ind w:left="160" w:right="680"/>
        <w:rPr>
          <w:sz w:val="18"/>
        </w:rPr>
      </w:pPr>
      <w:r>
        <w:rPr>
          <w:sz w:val="18"/>
          <w:vertAlign w:val="superscript"/>
        </w:rPr>
        <w:t>188</w:t>
      </w:r>
      <w:r>
        <w:rPr>
          <w:spacing w:val="-2"/>
          <w:sz w:val="18"/>
        </w:rPr>
        <w:t xml:space="preserve"> </w:t>
      </w:r>
      <w:r>
        <w:rPr>
          <w:sz w:val="18"/>
        </w:rPr>
        <w:t>The</w:t>
      </w:r>
      <w:r>
        <w:rPr>
          <w:spacing w:val="-5"/>
          <w:sz w:val="18"/>
        </w:rPr>
        <w:t xml:space="preserve"> </w:t>
      </w:r>
      <w:r>
        <w:rPr>
          <w:sz w:val="18"/>
        </w:rPr>
        <w:t>Economics</w:t>
      </w:r>
      <w:r>
        <w:rPr>
          <w:spacing w:val="-3"/>
          <w:sz w:val="18"/>
        </w:rPr>
        <w:t xml:space="preserve"> </w:t>
      </w:r>
      <w:r>
        <w:rPr>
          <w:sz w:val="18"/>
        </w:rPr>
        <w:t>and</w:t>
      </w:r>
      <w:r>
        <w:rPr>
          <w:spacing w:val="-3"/>
          <w:sz w:val="18"/>
        </w:rPr>
        <w:t xml:space="preserve"> </w:t>
      </w:r>
      <w:r>
        <w:rPr>
          <w:sz w:val="18"/>
        </w:rPr>
        <w:t>Governance</w:t>
      </w:r>
      <w:r>
        <w:rPr>
          <w:spacing w:val="-5"/>
          <w:sz w:val="18"/>
        </w:rPr>
        <w:t xml:space="preserve"> </w:t>
      </w:r>
      <w:r>
        <w:rPr>
          <w:sz w:val="18"/>
        </w:rPr>
        <w:t>Committee</w:t>
      </w:r>
      <w:r>
        <w:rPr>
          <w:spacing w:val="-3"/>
          <w:sz w:val="18"/>
        </w:rPr>
        <w:t xml:space="preserve"> </w:t>
      </w:r>
      <w:r>
        <w:rPr>
          <w:sz w:val="18"/>
        </w:rPr>
        <w:t>referral</w:t>
      </w:r>
      <w:r>
        <w:rPr>
          <w:spacing w:val="-2"/>
          <w:sz w:val="18"/>
        </w:rPr>
        <w:t xml:space="preserve"> </w:t>
      </w:r>
      <w:r>
        <w:rPr>
          <w:sz w:val="18"/>
        </w:rPr>
        <w:t>was</w:t>
      </w:r>
      <w:r>
        <w:rPr>
          <w:spacing w:val="-2"/>
          <w:sz w:val="18"/>
        </w:rPr>
        <w:t xml:space="preserve"> </w:t>
      </w:r>
      <w:r>
        <w:rPr>
          <w:sz w:val="18"/>
        </w:rPr>
        <w:t>made</w:t>
      </w:r>
      <w:r>
        <w:rPr>
          <w:spacing w:val="-3"/>
          <w:sz w:val="18"/>
        </w:rPr>
        <w:t xml:space="preserve"> </w:t>
      </w:r>
      <w:r>
        <w:rPr>
          <w:sz w:val="18"/>
        </w:rPr>
        <w:t>on</w:t>
      </w:r>
      <w:r>
        <w:rPr>
          <w:spacing w:val="-3"/>
          <w:sz w:val="18"/>
        </w:rPr>
        <w:t xml:space="preserve"> </w:t>
      </w:r>
      <w:r>
        <w:rPr>
          <w:sz w:val="18"/>
        </w:rPr>
        <w:t>8</w:t>
      </w:r>
      <w:r>
        <w:rPr>
          <w:spacing w:val="-1"/>
          <w:sz w:val="18"/>
        </w:rPr>
        <w:t xml:space="preserve"> </w:t>
      </w:r>
      <w:r>
        <w:rPr>
          <w:sz w:val="18"/>
        </w:rPr>
        <w:t>September</w:t>
      </w:r>
      <w:r>
        <w:rPr>
          <w:spacing w:val="-4"/>
          <w:sz w:val="18"/>
        </w:rPr>
        <w:t xml:space="preserve"> </w:t>
      </w:r>
      <w:r>
        <w:rPr>
          <w:sz w:val="18"/>
        </w:rPr>
        <w:t>2020;</w:t>
      </w:r>
      <w:r>
        <w:rPr>
          <w:spacing w:val="-4"/>
          <w:sz w:val="18"/>
        </w:rPr>
        <w:t xml:space="preserve"> </w:t>
      </w:r>
      <w:r>
        <w:rPr>
          <w:sz w:val="18"/>
        </w:rPr>
        <w:t>the Health,</w:t>
      </w:r>
      <w:r>
        <w:rPr>
          <w:spacing w:val="-4"/>
          <w:sz w:val="18"/>
        </w:rPr>
        <w:t xml:space="preserve"> </w:t>
      </w:r>
      <w:r>
        <w:rPr>
          <w:sz w:val="18"/>
        </w:rPr>
        <w:t>Communities,</w:t>
      </w:r>
      <w:r>
        <w:rPr>
          <w:spacing w:val="-2"/>
          <w:sz w:val="18"/>
        </w:rPr>
        <w:t xml:space="preserve"> </w:t>
      </w:r>
      <w:r>
        <w:rPr>
          <w:sz w:val="18"/>
        </w:rPr>
        <w:t>Disability Services and Domestic and Family Violence Prevention Committee referral was made on 22 April 2020.</w:t>
      </w:r>
    </w:p>
    <w:p w14:paraId="7CB25EDF" w14:textId="77777777" w:rsidR="008A4099" w:rsidRDefault="006A6EE2">
      <w:pPr>
        <w:spacing w:before="15"/>
        <w:ind w:left="160"/>
        <w:rPr>
          <w:i/>
          <w:sz w:val="18"/>
        </w:rPr>
      </w:pPr>
      <w:r>
        <w:rPr>
          <w:sz w:val="18"/>
          <w:vertAlign w:val="superscript"/>
        </w:rPr>
        <w:t>189</w:t>
      </w:r>
      <w:r>
        <w:rPr>
          <w:spacing w:val="33"/>
          <w:sz w:val="18"/>
        </w:rPr>
        <w:t xml:space="preserve"> </w:t>
      </w:r>
      <w:r>
        <w:rPr>
          <w:sz w:val="18"/>
        </w:rPr>
        <w:t>See</w:t>
      </w:r>
      <w:r>
        <w:rPr>
          <w:spacing w:val="32"/>
          <w:sz w:val="18"/>
        </w:rPr>
        <w:t xml:space="preserve"> </w:t>
      </w:r>
      <w:r>
        <w:rPr>
          <w:sz w:val="18"/>
        </w:rPr>
        <w:t>Queensland</w:t>
      </w:r>
      <w:r>
        <w:rPr>
          <w:spacing w:val="32"/>
          <w:sz w:val="18"/>
        </w:rPr>
        <w:t xml:space="preserve"> </w:t>
      </w:r>
      <w:r>
        <w:rPr>
          <w:sz w:val="18"/>
        </w:rPr>
        <w:t>Parliament,</w:t>
      </w:r>
      <w:r>
        <w:rPr>
          <w:spacing w:val="36"/>
          <w:sz w:val="18"/>
        </w:rPr>
        <w:t xml:space="preserve"> </w:t>
      </w:r>
      <w:r>
        <w:rPr>
          <w:i/>
          <w:sz w:val="18"/>
        </w:rPr>
        <w:t>Inquiry</w:t>
      </w:r>
      <w:r>
        <w:rPr>
          <w:i/>
          <w:spacing w:val="32"/>
          <w:sz w:val="18"/>
        </w:rPr>
        <w:t xml:space="preserve"> </w:t>
      </w:r>
      <w:r>
        <w:rPr>
          <w:i/>
          <w:sz w:val="18"/>
        </w:rPr>
        <w:t>into</w:t>
      </w:r>
      <w:r>
        <w:rPr>
          <w:i/>
          <w:spacing w:val="33"/>
          <w:sz w:val="18"/>
        </w:rPr>
        <w:t xml:space="preserve"> </w:t>
      </w:r>
      <w:r>
        <w:rPr>
          <w:i/>
          <w:sz w:val="18"/>
        </w:rPr>
        <w:t>the</w:t>
      </w:r>
      <w:r>
        <w:rPr>
          <w:i/>
          <w:spacing w:val="32"/>
          <w:sz w:val="18"/>
        </w:rPr>
        <w:t xml:space="preserve"> </w:t>
      </w:r>
      <w:r>
        <w:rPr>
          <w:i/>
          <w:sz w:val="18"/>
        </w:rPr>
        <w:t>Queensland</w:t>
      </w:r>
      <w:r>
        <w:rPr>
          <w:i/>
          <w:spacing w:val="31"/>
          <w:sz w:val="18"/>
        </w:rPr>
        <w:t xml:space="preserve"> </w:t>
      </w:r>
      <w:r>
        <w:rPr>
          <w:i/>
          <w:sz w:val="18"/>
        </w:rPr>
        <w:t>Government’s</w:t>
      </w:r>
      <w:r>
        <w:rPr>
          <w:i/>
          <w:spacing w:val="34"/>
          <w:sz w:val="18"/>
        </w:rPr>
        <w:t xml:space="preserve"> </w:t>
      </w:r>
      <w:r>
        <w:rPr>
          <w:i/>
          <w:sz w:val="18"/>
        </w:rPr>
        <w:t>Economic</w:t>
      </w:r>
      <w:r>
        <w:rPr>
          <w:i/>
          <w:spacing w:val="32"/>
          <w:sz w:val="18"/>
        </w:rPr>
        <w:t xml:space="preserve"> </w:t>
      </w:r>
      <w:r>
        <w:rPr>
          <w:i/>
          <w:sz w:val="18"/>
        </w:rPr>
        <w:t>Response</w:t>
      </w:r>
      <w:r>
        <w:rPr>
          <w:i/>
          <w:spacing w:val="31"/>
          <w:sz w:val="18"/>
        </w:rPr>
        <w:t xml:space="preserve"> </w:t>
      </w:r>
      <w:r>
        <w:rPr>
          <w:i/>
          <w:sz w:val="18"/>
        </w:rPr>
        <w:t>to</w:t>
      </w:r>
      <w:r>
        <w:rPr>
          <w:i/>
          <w:spacing w:val="32"/>
          <w:sz w:val="18"/>
        </w:rPr>
        <w:t xml:space="preserve"> </w:t>
      </w:r>
      <w:r>
        <w:rPr>
          <w:i/>
          <w:sz w:val="18"/>
        </w:rPr>
        <w:t>COVID-19</w:t>
      </w:r>
      <w:r>
        <w:rPr>
          <w:i/>
          <w:spacing w:val="31"/>
          <w:sz w:val="18"/>
        </w:rPr>
        <w:t xml:space="preserve"> </w:t>
      </w:r>
      <w:r>
        <w:rPr>
          <w:i/>
          <w:spacing w:val="-2"/>
          <w:sz w:val="18"/>
        </w:rPr>
        <w:t>(Lapsed)</w:t>
      </w:r>
    </w:p>
    <w:p w14:paraId="7CB25EE0" w14:textId="77777777" w:rsidR="008A4099" w:rsidRDefault="006A6EE2">
      <w:pPr>
        <w:spacing w:before="4"/>
        <w:ind w:left="160"/>
        <w:rPr>
          <w:sz w:val="18"/>
        </w:rPr>
      </w:pPr>
      <w:r>
        <w:rPr>
          <w:spacing w:val="-2"/>
          <w:sz w:val="18"/>
        </w:rPr>
        <w:t>&lt;https://</w:t>
      </w:r>
      <w:hyperlink r:id="rId93">
        <w:r>
          <w:rPr>
            <w:spacing w:val="-2"/>
            <w:sz w:val="18"/>
          </w:rPr>
          <w:t>www.parliament.qld.gov.au/Work-of-Committees/Inquiries/Inquiry-Details?id=2896</w:t>
        </w:r>
      </w:hyperlink>
      <w:r>
        <w:rPr>
          <w:spacing w:val="-2"/>
          <w:sz w:val="18"/>
        </w:rPr>
        <w:t>&gt;.</w:t>
      </w:r>
    </w:p>
    <w:p w14:paraId="7CB25EE1" w14:textId="77777777" w:rsidR="008A4099" w:rsidRDefault="006A6EE2">
      <w:pPr>
        <w:spacing w:before="19" w:line="244" w:lineRule="auto"/>
        <w:ind w:left="160" w:right="685"/>
        <w:jc w:val="both"/>
        <w:rPr>
          <w:sz w:val="18"/>
        </w:rPr>
      </w:pPr>
      <w:r>
        <w:rPr>
          <w:sz w:val="18"/>
          <w:vertAlign w:val="superscript"/>
        </w:rPr>
        <w:t>190</w:t>
      </w:r>
      <w:r>
        <w:rPr>
          <w:sz w:val="18"/>
        </w:rPr>
        <w:t xml:space="preserve"> Report No 43, 56th Parliament Health, Communities, Disability Services and Domestic and Family Violence Prevention Committee (September 2020).</w:t>
      </w:r>
    </w:p>
    <w:p w14:paraId="7CB25EE2" w14:textId="77777777" w:rsidR="008A4099" w:rsidRDefault="006A6EE2">
      <w:pPr>
        <w:spacing w:before="15" w:line="244" w:lineRule="auto"/>
        <w:ind w:left="160" w:right="675"/>
        <w:jc w:val="both"/>
        <w:rPr>
          <w:sz w:val="18"/>
        </w:rPr>
      </w:pPr>
      <w:r>
        <w:rPr>
          <w:sz w:val="18"/>
          <w:vertAlign w:val="superscript"/>
        </w:rPr>
        <w:t>191</w:t>
      </w:r>
      <w:r>
        <w:rPr>
          <w:spacing w:val="-7"/>
          <w:sz w:val="18"/>
        </w:rPr>
        <w:t xml:space="preserve"> </w:t>
      </w:r>
      <w:r>
        <w:rPr>
          <w:sz w:val="18"/>
        </w:rPr>
        <w:t>Queensland</w:t>
      </w:r>
      <w:r>
        <w:rPr>
          <w:spacing w:val="-6"/>
          <w:sz w:val="18"/>
        </w:rPr>
        <w:t xml:space="preserve"> </w:t>
      </w:r>
      <w:r>
        <w:rPr>
          <w:sz w:val="18"/>
        </w:rPr>
        <w:t>Human</w:t>
      </w:r>
      <w:r>
        <w:rPr>
          <w:spacing w:val="-6"/>
          <w:sz w:val="18"/>
        </w:rPr>
        <w:t xml:space="preserve"> </w:t>
      </w:r>
      <w:r>
        <w:rPr>
          <w:sz w:val="18"/>
        </w:rPr>
        <w:t>Rights</w:t>
      </w:r>
      <w:r>
        <w:rPr>
          <w:spacing w:val="-7"/>
          <w:sz w:val="18"/>
        </w:rPr>
        <w:t xml:space="preserve"> </w:t>
      </w:r>
      <w:r>
        <w:rPr>
          <w:sz w:val="18"/>
        </w:rPr>
        <w:t>Commission,</w:t>
      </w:r>
      <w:r>
        <w:rPr>
          <w:spacing w:val="-8"/>
          <w:sz w:val="18"/>
        </w:rPr>
        <w:t xml:space="preserve"> </w:t>
      </w:r>
      <w:r>
        <w:rPr>
          <w:sz w:val="18"/>
        </w:rPr>
        <w:t>Submission</w:t>
      </w:r>
      <w:r>
        <w:rPr>
          <w:spacing w:val="-8"/>
          <w:sz w:val="18"/>
        </w:rPr>
        <w:t xml:space="preserve"> </w:t>
      </w:r>
      <w:r>
        <w:rPr>
          <w:sz w:val="18"/>
        </w:rPr>
        <w:t>to</w:t>
      </w:r>
      <w:r>
        <w:rPr>
          <w:spacing w:val="-5"/>
          <w:sz w:val="18"/>
        </w:rPr>
        <w:t xml:space="preserve"> </w:t>
      </w:r>
      <w:r>
        <w:rPr>
          <w:sz w:val="18"/>
        </w:rPr>
        <w:t>the</w:t>
      </w:r>
      <w:r>
        <w:rPr>
          <w:spacing w:val="-10"/>
          <w:sz w:val="18"/>
        </w:rPr>
        <w:t xml:space="preserve"> </w:t>
      </w:r>
      <w:r>
        <w:rPr>
          <w:sz w:val="18"/>
        </w:rPr>
        <w:t>Community</w:t>
      </w:r>
      <w:r>
        <w:rPr>
          <w:spacing w:val="-8"/>
          <w:sz w:val="18"/>
        </w:rPr>
        <w:t xml:space="preserve"> </w:t>
      </w:r>
      <w:r>
        <w:rPr>
          <w:sz w:val="18"/>
        </w:rPr>
        <w:t>Support</w:t>
      </w:r>
      <w:r>
        <w:rPr>
          <w:spacing w:val="-9"/>
          <w:sz w:val="18"/>
        </w:rPr>
        <w:t xml:space="preserve"> </w:t>
      </w:r>
      <w:r>
        <w:rPr>
          <w:sz w:val="18"/>
        </w:rPr>
        <w:t>and</w:t>
      </w:r>
      <w:r>
        <w:rPr>
          <w:spacing w:val="-8"/>
          <w:sz w:val="18"/>
        </w:rPr>
        <w:t xml:space="preserve"> </w:t>
      </w:r>
      <w:r>
        <w:rPr>
          <w:sz w:val="18"/>
        </w:rPr>
        <w:t>Services</w:t>
      </w:r>
      <w:r>
        <w:rPr>
          <w:spacing w:val="-7"/>
          <w:sz w:val="18"/>
        </w:rPr>
        <w:t xml:space="preserve"> </w:t>
      </w:r>
      <w:r>
        <w:rPr>
          <w:sz w:val="18"/>
        </w:rPr>
        <w:t>Committee</w:t>
      </w:r>
      <w:r>
        <w:rPr>
          <w:spacing w:val="-8"/>
          <w:sz w:val="18"/>
        </w:rPr>
        <w:t xml:space="preserve"> </w:t>
      </w:r>
      <w:r>
        <w:rPr>
          <w:sz w:val="18"/>
        </w:rPr>
        <w:t>on</w:t>
      </w:r>
      <w:r>
        <w:rPr>
          <w:spacing w:val="-4"/>
          <w:sz w:val="18"/>
        </w:rPr>
        <w:t xml:space="preserve"> </w:t>
      </w:r>
      <w:r>
        <w:rPr>
          <w:i/>
          <w:sz w:val="18"/>
        </w:rPr>
        <w:t>Public</w:t>
      </w:r>
      <w:r>
        <w:rPr>
          <w:i/>
          <w:spacing w:val="-10"/>
          <w:sz w:val="18"/>
        </w:rPr>
        <w:t xml:space="preserve"> </w:t>
      </w:r>
      <w:r>
        <w:rPr>
          <w:i/>
          <w:sz w:val="18"/>
        </w:rPr>
        <w:t xml:space="preserve">Health and Other Legislation (Extension of Expiring Provisions) Amendment Bill 2022 </w:t>
      </w:r>
      <w:r>
        <w:rPr>
          <w:sz w:val="18"/>
        </w:rPr>
        <w:t>(4 March 2022) 3.</w:t>
      </w:r>
    </w:p>
    <w:p w14:paraId="7CB25EE3" w14:textId="77777777" w:rsidR="008A4099" w:rsidRDefault="006A6EE2">
      <w:pPr>
        <w:spacing w:before="14" w:line="242" w:lineRule="auto"/>
        <w:ind w:left="160" w:right="677"/>
        <w:jc w:val="both"/>
        <w:rPr>
          <w:sz w:val="18"/>
        </w:rPr>
      </w:pPr>
      <w:r>
        <w:rPr>
          <w:sz w:val="18"/>
          <w:vertAlign w:val="superscript"/>
        </w:rPr>
        <w:t>192</w:t>
      </w:r>
      <w:r>
        <w:rPr>
          <w:sz w:val="18"/>
        </w:rPr>
        <w:t xml:space="preserve"> The Victorian Parliament was also presented with urgent appropriation Bills to provide additional COVID-19 support. Amendments to the standard government business schedule were agreed to allow for urgent passage of the Bills, including limiting debate and allowing MPs to table their second reading statements rather than reading them out. See Jacinta Allan, ‘Emergency Sitting of the Victorian Parliament Next Week’ (Media release, 15 April 2020)</w:t>
      </w:r>
    </w:p>
    <w:p w14:paraId="7CB25EE4" w14:textId="77777777" w:rsidR="008A4099" w:rsidRDefault="006A6EE2">
      <w:pPr>
        <w:ind w:left="160" w:right="674"/>
        <w:jc w:val="both"/>
        <w:rPr>
          <w:sz w:val="18"/>
        </w:rPr>
      </w:pPr>
      <w:r>
        <w:rPr>
          <w:sz w:val="18"/>
        </w:rPr>
        <w:t>&lt;https://</w:t>
      </w:r>
      <w:hyperlink r:id="rId94">
        <w:r>
          <w:rPr>
            <w:sz w:val="18"/>
          </w:rPr>
          <w:t>www.premier.vic.gov.au/emergency-sitting-victorian-parliament-next-week</w:t>
        </w:r>
      </w:hyperlink>
      <w:r>
        <w:rPr>
          <w:sz w:val="18"/>
        </w:rPr>
        <w:t xml:space="preserve">&gt; and Victoria, </w:t>
      </w:r>
      <w:r>
        <w:rPr>
          <w:i/>
          <w:sz w:val="18"/>
        </w:rPr>
        <w:t>Parliamentary Debates</w:t>
      </w:r>
      <w:r>
        <w:rPr>
          <w:sz w:val="18"/>
        </w:rPr>
        <w:t>, Legislative Assembly, 23 April 2020, 1178 (Jacinta Allan).</w:t>
      </w:r>
    </w:p>
    <w:p w14:paraId="7CB25EE5" w14:textId="77777777" w:rsidR="008A4099" w:rsidRDefault="006A6EE2">
      <w:pPr>
        <w:spacing w:before="15" w:line="242" w:lineRule="auto"/>
        <w:ind w:left="160" w:right="676"/>
        <w:jc w:val="both"/>
        <w:rPr>
          <w:sz w:val="18"/>
        </w:rPr>
      </w:pPr>
      <w:r>
        <w:rPr>
          <w:sz w:val="18"/>
          <w:vertAlign w:val="superscript"/>
        </w:rPr>
        <w:t>193</w:t>
      </w:r>
      <w:r>
        <w:rPr>
          <w:sz w:val="18"/>
        </w:rPr>
        <w:t xml:space="preserve"> The </w:t>
      </w:r>
      <w:r>
        <w:rPr>
          <w:i/>
          <w:sz w:val="18"/>
        </w:rPr>
        <w:t xml:space="preserve">Public Health and Wellbeing Act 2008 </w:t>
      </w:r>
      <w:r>
        <w:rPr>
          <w:sz w:val="18"/>
        </w:rPr>
        <w:t>(Vic) strictly limited the operation of the COVID-19 state of emergency declaration to 21 months beyond the initial declaration period. Without new legislation, the Victorian Government was not able to extend the existing declaration beyond December 2021.</w:t>
      </w:r>
    </w:p>
    <w:p w14:paraId="7CB25EE6"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EE7" w14:textId="77777777" w:rsidR="008A4099" w:rsidRDefault="008A4099">
      <w:pPr>
        <w:pStyle w:val="BodyText"/>
        <w:spacing w:before="194"/>
      </w:pPr>
    </w:p>
    <w:p w14:paraId="7CB25EE8" w14:textId="77777777" w:rsidR="008A4099" w:rsidRDefault="006A6EE2">
      <w:pPr>
        <w:pStyle w:val="BodyText"/>
        <w:ind w:left="160" w:right="675"/>
        <w:jc w:val="both"/>
        <w:rPr>
          <w:sz w:val="13"/>
        </w:rPr>
      </w:pPr>
      <w:r>
        <w:t>been subject to adverse findings by the Ombudsman.</w:t>
      </w:r>
      <w:r>
        <w:rPr>
          <w:position w:val="7"/>
          <w:sz w:val="13"/>
        </w:rPr>
        <w:t>194</w:t>
      </w:r>
      <w:r>
        <w:rPr>
          <w:spacing w:val="36"/>
          <w:position w:val="7"/>
          <w:sz w:val="13"/>
        </w:rPr>
        <w:t xml:space="preserve"> </w:t>
      </w:r>
      <w:r>
        <w:t>Subsequently, in response to calls to ‘follow emerging global best practice and create a specialised cross-party Parliamentary Committee’</w:t>
      </w:r>
      <w:r>
        <w:rPr>
          <w:position w:val="7"/>
          <w:sz w:val="13"/>
        </w:rPr>
        <w:t>195</w:t>
      </w:r>
      <w:r>
        <w:rPr>
          <w:spacing w:val="40"/>
          <w:position w:val="7"/>
          <w:sz w:val="13"/>
        </w:rPr>
        <w:t xml:space="preserve"> </w:t>
      </w:r>
      <w:r>
        <w:t>to oversee pandemic responses, the Victorian Government established the Pandemic Declaration Accountability and Oversight Committee (‘PDAOC’),</w:t>
      </w:r>
      <w:r>
        <w:rPr>
          <w:position w:val="7"/>
          <w:sz w:val="13"/>
        </w:rPr>
        <w:t>196</w:t>
      </w:r>
      <w:r>
        <w:rPr>
          <w:spacing w:val="40"/>
          <w:position w:val="7"/>
          <w:sz w:val="13"/>
        </w:rPr>
        <w:t xml:space="preserve"> </w:t>
      </w:r>
      <w:r>
        <w:t>with responsibility for reviewing all orders and</w:t>
      </w:r>
      <w:r>
        <w:rPr>
          <w:spacing w:val="-7"/>
        </w:rPr>
        <w:t xml:space="preserve"> </w:t>
      </w:r>
      <w:r>
        <w:t>instruments</w:t>
      </w:r>
      <w:r>
        <w:rPr>
          <w:spacing w:val="-9"/>
        </w:rPr>
        <w:t xml:space="preserve"> </w:t>
      </w:r>
      <w:r>
        <w:t>made</w:t>
      </w:r>
      <w:r>
        <w:rPr>
          <w:spacing w:val="-7"/>
        </w:rPr>
        <w:t xml:space="preserve"> </w:t>
      </w:r>
      <w:r>
        <w:t>under</w:t>
      </w:r>
      <w:r>
        <w:rPr>
          <w:spacing w:val="-6"/>
        </w:rPr>
        <w:t xml:space="preserve"> </w:t>
      </w:r>
      <w:r>
        <w:t>a</w:t>
      </w:r>
      <w:r>
        <w:rPr>
          <w:spacing w:val="-7"/>
        </w:rPr>
        <w:t xml:space="preserve"> </w:t>
      </w:r>
      <w:r>
        <w:t>pandemic</w:t>
      </w:r>
      <w:r>
        <w:rPr>
          <w:spacing w:val="-9"/>
        </w:rPr>
        <w:t xml:space="preserve"> </w:t>
      </w:r>
      <w:r>
        <w:t>declaration</w:t>
      </w:r>
      <w:r>
        <w:rPr>
          <w:spacing w:val="-9"/>
        </w:rPr>
        <w:t xml:space="preserve"> </w:t>
      </w:r>
      <w:r>
        <w:t>and</w:t>
      </w:r>
      <w:r>
        <w:rPr>
          <w:spacing w:val="-7"/>
        </w:rPr>
        <w:t xml:space="preserve"> </w:t>
      </w:r>
      <w:r>
        <w:t>with</w:t>
      </w:r>
      <w:r>
        <w:rPr>
          <w:spacing w:val="-9"/>
        </w:rPr>
        <w:t xml:space="preserve"> </w:t>
      </w:r>
      <w:r>
        <w:t>the</w:t>
      </w:r>
      <w:r>
        <w:rPr>
          <w:spacing w:val="-7"/>
        </w:rPr>
        <w:t xml:space="preserve"> </w:t>
      </w:r>
      <w:r>
        <w:t>power</w:t>
      </w:r>
      <w:r>
        <w:rPr>
          <w:spacing w:val="-8"/>
        </w:rPr>
        <w:t xml:space="preserve"> </w:t>
      </w:r>
      <w:r>
        <w:t>to</w:t>
      </w:r>
      <w:r>
        <w:rPr>
          <w:spacing w:val="-7"/>
        </w:rPr>
        <w:t xml:space="preserve"> </w:t>
      </w:r>
      <w:r>
        <w:t>make</w:t>
      </w:r>
      <w:r>
        <w:rPr>
          <w:spacing w:val="-9"/>
        </w:rPr>
        <w:t xml:space="preserve"> </w:t>
      </w:r>
      <w:r>
        <w:t>recommendations</w:t>
      </w:r>
      <w:r>
        <w:rPr>
          <w:spacing w:val="-6"/>
        </w:rPr>
        <w:t xml:space="preserve"> </w:t>
      </w:r>
      <w:r>
        <w:t>that instruments be disallowed.</w:t>
      </w:r>
      <w:r>
        <w:rPr>
          <w:position w:val="7"/>
          <w:sz w:val="13"/>
        </w:rPr>
        <w:t>197</w:t>
      </w:r>
    </w:p>
    <w:p w14:paraId="7CB25EE9" w14:textId="77777777" w:rsidR="008A4099" w:rsidRDefault="006A6EE2">
      <w:pPr>
        <w:pStyle w:val="ListParagraph"/>
        <w:numPr>
          <w:ilvl w:val="2"/>
          <w:numId w:val="6"/>
        </w:numPr>
        <w:tabs>
          <w:tab w:val="left" w:pos="879"/>
        </w:tabs>
        <w:spacing w:before="221"/>
        <w:ind w:right="674" w:firstLine="0"/>
        <w:jc w:val="both"/>
      </w:pPr>
      <w:r>
        <w:t>At the federal level, as noted at [2.5], there is no human rights enactment, but there is a requirement that the Parliamentary Joint Committee on Human Rights (‘PJCHR’) scrutinise all new legislation for compatibility with human rights and that legislation be accompanied by a compatibility statement. As with the experience in other jurisdictions, the Commonwealth Covid-19 Bills continued to be reviewed by the PJCHR. In most cases, however, the Bills were debated and passed before the Committee had completed its review and provided advice to Parliament about any human rights concerns.</w:t>
      </w:r>
      <w:r>
        <w:rPr>
          <w:spacing w:val="-8"/>
        </w:rPr>
        <w:t xml:space="preserve"> </w:t>
      </w:r>
      <w:r>
        <w:t>As</w:t>
      </w:r>
      <w:r>
        <w:rPr>
          <w:spacing w:val="-10"/>
        </w:rPr>
        <w:t xml:space="preserve"> </w:t>
      </w:r>
      <w:r>
        <w:t>the</w:t>
      </w:r>
      <w:r>
        <w:rPr>
          <w:spacing w:val="-8"/>
        </w:rPr>
        <w:t xml:space="preserve"> </w:t>
      </w:r>
      <w:r>
        <w:t>Commonwealth</w:t>
      </w:r>
      <w:r>
        <w:rPr>
          <w:spacing w:val="-9"/>
        </w:rPr>
        <w:t xml:space="preserve"> </w:t>
      </w:r>
      <w:r>
        <w:t>approach</w:t>
      </w:r>
      <w:r>
        <w:rPr>
          <w:spacing w:val="-9"/>
        </w:rPr>
        <w:t xml:space="preserve"> </w:t>
      </w:r>
      <w:r>
        <w:t>to</w:t>
      </w:r>
      <w:r>
        <w:rPr>
          <w:spacing w:val="-9"/>
        </w:rPr>
        <w:t xml:space="preserve"> </w:t>
      </w:r>
      <w:r>
        <w:t>human</w:t>
      </w:r>
      <w:r>
        <w:rPr>
          <w:spacing w:val="-8"/>
        </w:rPr>
        <w:t xml:space="preserve"> </w:t>
      </w:r>
      <w:r>
        <w:t>rights</w:t>
      </w:r>
      <w:r>
        <w:rPr>
          <w:spacing w:val="-8"/>
        </w:rPr>
        <w:t xml:space="preserve"> </w:t>
      </w:r>
      <w:r>
        <w:t>scrutiny</w:t>
      </w:r>
      <w:r>
        <w:rPr>
          <w:spacing w:val="-9"/>
        </w:rPr>
        <w:t xml:space="preserve"> </w:t>
      </w:r>
      <w:r>
        <w:t>of</w:t>
      </w:r>
      <w:r>
        <w:rPr>
          <w:spacing w:val="-8"/>
        </w:rPr>
        <w:t xml:space="preserve"> </w:t>
      </w:r>
      <w:r>
        <w:t>legislation</w:t>
      </w:r>
      <w:r>
        <w:rPr>
          <w:spacing w:val="-11"/>
        </w:rPr>
        <w:t xml:space="preserve"> </w:t>
      </w:r>
      <w:r>
        <w:t>is</w:t>
      </w:r>
      <w:r>
        <w:rPr>
          <w:spacing w:val="-8"/>
        </w:rPr>
        <w:t xml:space="preserve"> </w:t>
      </w:r>
      <w:r>
        <w:t>limited</w:t>
      </w:r>
      <w:r>
        <w:rPr>
          <w:spacing w:val="-11"/>
        </w:rPr>
        <w:t xml:space="preserve"> </w:t>
      </w:r>
      <w:r>
        <w:t>to</w:t>
      </w:r>
      <w:r>
        <w:rPr>
          <w:spacing w:val="-9"/>
        </w:rPr>
        <w:t xml:space="preserve"> </w:t>
      </w:r>
      <w:r>
        <w:t>its</w:t>
      </w:r>
      <w:r>
        <w:rPr>
          <w:spacing w:val="-8"/>
        </w:rPr>
        <w:t xml:space="preserve"> </w:t>
      </w:r>
      <w:r>
        <w:t>initial introduction,</w:t>
      </w:r>
      <w:r>
        <w:rPr>
          <w:spacing w:val="-4"/>
        </w:rPr>
        <w:t xml:space="preserve"> </w:t>
      </w:r>
      <w:r>
        <w:t>there</w:t>
      </w:r>
      <w:r>
        <w:rPr>
          <w:spacing w:val="-4"/>
        </w:rPr>
        <w:t xml:space="preserve"> </w:t>
      </w:r>
      <w:r>
        <w:t>has</w:t>
      </w:r>
      <w:r>
        <w:rPr>
          <w:spacing w:val="-2"/>
        </w:rPr>
        <w:t xml:space="preserve"> </w:t>
      </w:r>
      <w:r>
        <w:t>been</w:t>
      </w:r>
      <w:r>
        <w:rPr>
          <w:spacing w:val="-5"/>
        </w:rPr>
        <w:t xml:space="preserve"> </w:t>
      </w:r>
      <w:r>
        <w:t>a</w:t>
      </w:r>
      <w:r>
        <w:rPr>
          <w:spacing w:val="-4"/>
        </w:rPr>
        <w:t xml:space="preserve"> </w:t>
      </w:r>
      <w:r>
        <w:t>lack</w:t>
      </w:r>
      <w:r>
        <w:rPr>
          <w:spacing w:val="-2"/>
        </w:rPr>
        <w:t xml:space="preserve"> </w:t>
      </w:r>
      <w:r>
        <w:t>of</w:t>
      </w:r>
      <w:r>
        <w:rPr>
          <w:spacing w:val="-2"/>
        </w:rPr>
        <w:t xml:space="preserve"> </w:t>
      </w:r>
      <w:r>
        <w:t>ongoing</w:t>
      </w:r>
      <w:r>
        <w:rPr>
          <w:spacing w:val="-5"/>
        </w:rPr>
        <w:t xml:space="preserve"> </w:t>
      </w:r>
      <w:r>
        <w:t>oversight</w:t>
      </w:r>
      <w:r>
        <w:rPr>
          <w:spacing w:val="-1"/>
        </w:rPr>
        <w:t xml:space="preserve"> </w:t>
      </w:r>
      <w:r>
        <w:t>and</w:t>
      </w:r>
      <w:r>
        <w:rPr>
          <w:spacing w:val="-5"/>
        </w:rPr>
        <w:t xml:space="preserve"> </w:t>
      </w:r>
      <w:r>
        <w:t>transparency</w:t>
      </w:r>
      <w:r>
        <w:rPr>
          <w:spacing w:val="-4"/>
        </w:rPr>
        <w:t xml:space="preserve"> </w:t>
      </w:r>
      <w:r>
        <w:t>in</w:t>
      </w:r>
      <w:r>
        <w:rPr>
          <w:spacing w:val="-5"/>
        </w:rPr>
        <w:t xml:space="preserve"> </w:t>
      </w:r>
      <w:r>
        <w:t>relation</w:t>
      </w:r>
      <w:r>
        <w:rPr>
          <w:spacing w:val="-2"/>
        </w:rPr>
        <w:t xml:space="preserve"> </w:t>
      </w:r>
      <w:r>
        <w:t>to</w:t>
      </w:r>
      <w:r>
        <w:rPr>
          <w:spacing w:val="-5"/>
        </w:rPr>
        <w:t xml:space="preserve"> </w:t>
      </w:r>
      <w:r>
        <w:t>amendments</w:t>
      </w:r>
      <w:r>
        <w:rPr>
          <w:spacing w:val="-2"/>
        </w:rPr>
        <w:t xml:space="preserve"> </w:t>
      </w:r>
      <w:r>
        <w:t xml:space="preserve">of </w:t>
      </w:r>
      <w:r>
        <w:rPr>
          <w:spacing w:val="-2"/>
        </w:rPr>
        <w:t>Bills.</w:t>
      </w:r>
    </w:p>
    <w:p w14:paraId="7CB25EEA" w14:textId="77777777" w:rsidR="008A4099" w:rsidRDefault="006A6EE2">
      <w:pPr>
        <w:pStyle w:val="ListParagraph"/>
        <w:numPr>
          <w:ilvl w:val="2"/>
          <w:numId w:val="6"/>
        </w:numPr>
        <w:tabs>
          <w:tab w:val="left" w:pos="879"/>
        </w:tabs>
        <w:spacing w:before="216"/>
        <w:ind w:right="672" w:firstLine="0"/>
        <w:jc w:val="both"/>
        <w:rPr>
          <w:sz w:val="13"/>
        </w:rPr>
      </w:pPr>
      <w:r>
        <w:t>Another key issue that arises in evaluating the COVID-19 response across jurisdictions is the oversight of delegated legislation. This issue was identified in Tasmania, but was also an issue in jurisdictions with human rights enactments. In some jurisdictions, there was limited oversight of subordinate legislation. For example, while the ACT Select Committee on the COVID-19 Pandemic Response recommended that all delegated legislation made in response to COVID-19 (including notifiable instruments) be accompanied by a statement of compatibility outlining the instrument’s effects on human rights, the government declined to adopt this recommendation.</w:t>
      </w:r>
      <w:r>
        <w:rPr>
          <w:position w:val="7"/>
          <w:sz w:val="13"/>
        </w:rPr>
        <w:t xml:space="preserve">198 </w:t>
      </w:r>
      <w:r>
        <w:t>The ACT Government also rejected a recommendation from the ACT Select Committee on the COVID-19 Pandemic Response and the ACT Human Rights Scrutiny Committee that delegated legislation made in</w:t>
      </w:r>
      <w:r>
        <w:rPr>
          <w:spacing w:val="-12"/>
        </w:rPr>
        <w:t xml:space="preserve"> </w:t>
      </w:r>
      <w:r>
        <w:t>response</w:t>
      </w:r>
      <w:r>
        <w:rPr>
          <w:spacing w:val="-11"/>
        </w:rPr>
        <w:t xml:space="preserve"> </w:t>
      </w:r>
      <w:r>
        <w:t>to</w:t>
      </w:r>
      <w:r>
        <w:rPr>
          <w:spacing w:val="-10"/>
        </w:rPr>
        <w:t xml:space="preserve"> </w:t>
      </w:r>
      <w:r>
        <w:t>COVID-19</w:t>
      </w:r>
      <w:r>
        <w:rPr>
          <w:spacing w:val="-10"/>
        </w:rPr>
        <w:t xml:space="preserve"> </w:t>
      </w:r>
      <w:r>
        <w:t>be</w:t>
      </w:r>
      <w:r>
        <w:rPr>
          <w:spacing w:val="-9"/>
        </w:rPr>
        <w:t xml:space="preserve"> </w:t>
      </w:r>
      <w:r>
        <w:t>in</w:t>
      </w:r>
      <w:r>
        <w:rPr>
          <w:spacing w:val="-13"/>
        </w:rPr>
        <w:t xml:space="preserve"> </w:t>
      </w:r>
      <w:r>
        <w:t>the</w:t>
      </w:r>
      <w:r>
        <w:rPr>
          <w:spacing w:val="-12"/>
        </w:rPr>
        <w:t xml:space="preserve"> </w:t>
      </w:r>
      <w:r>
        <w:t>form</w:t>
      </w:r>
      <w:r>
        <w:rPr>
          <w:spacing w:val="-11"/>
        </w:rPr>
        <w:t xml:space="preserve"> </w:t>
      </w:r>
      <w:r>
        <w:t>of</w:t>
      </w:r>
      <w:r>
        <w:rPr>
          <w:spacing w:val="-11"/>
        </w:rPr>
        <w:t xml:space="preserve"> </w:t>
      </w:r>
      <w:r>
        <w:t>disallowable</w:t>
      </w:r>
      <w:r>
        <w:rPr>
          <w:spacing w:val="-9"/>
        </w:rPr>
        <w:t xml:space="preserve"> </w:t>
      </w:r>
      <w:r>
        <w:t>instruments,</w:t>
      </w:r>
      <w:r>
        <w:rPr>
          <w:spacing w:val="-12"/>
        </w:rPr>
        <w:t xml:space="preserve"> </w:t>
      </w:r>
      <w:r>
        <w:t>rather</w:t>
      </w:r>
      <w:r>
        <w:rPr>
          <w:spacing w:val="-11"/>
        </w:rPr>
        <w:t xml:space="preserve"> </w:t>
      </w:r>
      <w:r>
        <w:t>than</w:t>
      </w:r>
      <w:r>
        <w:rPr>
          <w:spacing w:val="-12"/>
        </w:rPr>
        <w:t xml:space="preserve"> </w:t>
      </w:r>
      <w:r>
        <w:t>notifiable</w:t>
      </w:r>
      <w:r>
        <w:rPr>
          <w:spacing w:val="-12"/>
        </w:rPr>
        <w:t xml:space="preserve"> </w:t>
      </w:r>
      <w:r>
        <w:t>instruments, to provide for adequate Parliamentary oversight.</w:t>
      </w:r>
      <w:r>
        <w:rPr>
          <w:position w:val="7"/>
          <w:sz w:val="13"/>
        </w:rPr>
        <w:t>199</w:t>
      </w:r>
    </w:p>
    <w:p w14:paraId="7CB25EEB" w14:textId="77777777" w:rsidR="008A4099" w:rsidRDefault="006A6EE2">
      <w:pPr>
        <w:pStyle w:val="ListParagraph"/>
        <w:numPr>
          <w:ilvl w:val="2"/>
          <w:numId w:val="6"/>
        </w:numPr>
        <w:tabs>
          <w:tab w:val="left" w:pos="879"/>
        </w:tabs>
        <w:spacing w:before="221" w:line="235" w:lineRule="auto"/>
        <w:ind w:right="676" w:firstLine="0"/>
        <w:jc w:val="both"/>
        <w:rPr>
          <w:sz w:val="13"/>
        </w:rPr>
      </w:pPr>
      <w:r>
        <w:t>In</w:t>
      </w:r>
      <w:r>
        <w:rPr>
          <w:spacing w:val="-2"/>
        </w:rPr>
        <w:t xml:space="preserve"> </w:t>
      </w:r>
      <w:r>
        <w:t>contrast,</w:t>
      </w:r>
      <w:r>
        <w:rPr>
          <w:spacing w:val="-3"/>
        </w:rPr>
        <w:t xml:space="preserve"> </w:t>
      </w:r>
      <w:r>
        <w:t>in</w:t>
      </w:r>
      <w:r>
        <w:rPr>
          <w:spacing w:val="-2"/>
        </w:rPr>
        <w:t xml:space="preserve"> </w:t>
      </w:r>
      <w:r>
        <w:t>Queensland,</w:t>
      </w:r>
      <w:r>
        <w:rPr>
          <w:spacing w:val="-4"/>
        </w:rPr>
        <w:t xml:space="preserve"> </w:t>
      </w:r>
      <w:r>
        <w:t>the</w:t>
      </w:r>
      <w:r>
        <w:rPr>
          <w:spacing w:val="-2"/>
        </w:rPr>
        <w:t xml:space="preserve"> </w:t>
      </w:r>
      <w:r>
        <w:t>Attorney-General</w:t>
      </w:r>
      <w:r>
        <w:rPr>
          <w:spacing w:val="-2"/>
        </w:rPr>
        <w:t xml:space="preserve"> </w:t>
      </w:r>
      <w:r>
        <w:t>stated</w:t>
      </w:r>
      <w:r>
        <w:rPr>
          <w:spacing w:val="-4"/>
        </w:rPr>
        <w:t xml:space="preserve"> </w:t>
      </w:r>
      <w:r>
        <w:t>that</w:t>
      </w:r>
      <w:r>
        <w:rPr>
          <w:spacing w:val="-2"/>
        </w:rPr>
        <w:t xml:space="preserve"> </w:t>
      </w:r>
      <w:r>
        <w:t>the</w:t>
      </w:r>
      <w:r>
        <w:rPr>
          <w:spacing w:val="-4"/>
        </w:rPr>
        <w:t xml:space="preserve"> </w:t>
      </w:r>
      <w:r>
        <w:t>requirement</w:t>
      </w:r>
      <w:r>
        <w:rPr>
          <w:spacing w:val="-4"/>
        </w:rPr>
        <w:t xml:space="preserve"> </w:t>
      </w:r>
      <w:r>
        <w:t>for</w:t>
      </w:r>
      <w:r>
        <w:rPr>
          <w:spacing w:val="-4"/>
        </w:rPr>
        <w:t xml:space="preserve"> </w:t>
      </w:r>
      <w:r>
        <w:t>instruments</w:t>
      </w:r>
      <w:r>
        <w:rPr>
          <w:spacing w:val="-4"/>
        </w:rPr>
        <w:t xml:space="preserve"> </w:t>
      </w:r>
      <w:r>
        <w:t>to be</w:t>
      </w:r>
      <w:r>
        <w:rPr>
          <w:spacing w:val="-14"/>
        </w:rPr>
        <w:t xml:space="preserve"> </w:t>
      </w:r>
      <w:r>
        <w:t>compatible</w:t>
      </w:r>
      <w:r>
        <w:rPr>
          <w:spacing w:val="-14"/>
        </w:rPr>
        <w:t xml:space="preserve"> </w:t>
      </w:r>
      <w:r>
        <w:t>with</w:t>
      </w:r>
      <w:r>
        <w:rPr>
          <w:spacing w:val="-14"/>
        </w:rPr>
        <w:t xml:space="preserve"> </w:t>
      </w:r>
      <w:r>
        <w:t>human</w:t>
      </w:r>
      <w:r>
        <w:rPr>
          <w:spacing w:val="-13"/>
        </w:rPr>
        <w:t xml:space="preserve"> </w:t>
      </w:r>
      <w:r>
        <w:t>rights</w:t>
      </w:r>
      <w:r>
        <w:rPr>
          <w:position w:val="7"/>
          <w:sz w:val="13"/>
        </w:rPr>
        <w:t>200</w:t>
      </w:r>
      <w:r>
        <w:rPr>
          <w:spacing w:val="8"/>
          <w:position w:val="7"/>
          <w:sz w:val="13"/>
        </w:rPr>
        <w:t xml:space="preserve"> </w:t>
      </w:r>
      <w:r>
        <w:t>was</w:t>
      </w:r>
      <w:r>
        <w:rPr>
          <w:spacing w:val="-14"/>
        </w:rPr>
        <w:t xml:space="preserve"> </w:t>
      </w:r>
      <w:r>
        <w:t>‘a</w:t>
      </w:r>
      <w:r>
        <w:rPr>
          <w:spacing w:val="-14"/>
        </w:rPr>
        <w:t xml:space="preserve"> </w:t>
      </w:r>
      <w:r>
        <w:t>critically</w:t>
      </w:r>
      <w:r>
        <w:rPr>
          <w:spacing w:val="-13"/>
        </w:rPr>
        <w:t xml:space="preserve"> </w:t>
      </w:r>
      <w:r>
        <w:t>important</w:t>
      </w:r>
      <w:r>
        <w:rPr>
          <w:spacing w:val="-13"/>
        </w:rPr>
        <w:t xml:space="preserve"> </w:t>
      </w:r>
      <w:r>
        <w:t>human</w:t>
      </w:r>
      <w:r>
        <w:rPr>
          <w:spacing w:val="-14"/>
        </w:rPr>
        <w:t xml:space="preserve"> </w:t>
      </w:r>
      <w:r>
        <w:t>rights</w:t>
      </w:r>
      <w:r>
        <w:rPr>
          <w:spacing w:val="-14"/>
        </w:rPr>
        <w:t xml:space="preserve"> </w:t>
      </w:r>
      <w:r>
        <w:t>protection</w:t>
      </w:r>
      <w:r>
        <w:rPr>
          <w:spacing w:val="-15"/>
        </w:rPr>
        <w:t xml:space="preserve"> </w:t>
      </w:r>
      <w:r>
        <w:t>and</w:t>
      </w:r>
      <w:r>
        <w:rPr>
          <w:spacing w:val="-13"/>
        </w:rPr>
        <w:t xml:space="preserve"> </w:t>
      </w:r>
      <w:r>
        <w:t>safeguard’</w:t>
      </w:r>
      <w:r>
        <w:rPr>
          <w:position w:val="7"/>
          <w:sz w:val="13"/>
        </w:rPr>
        <w:t>201</w:t>
      </w:r>
    </w:p>
    <w:p w14:paraId="7CB25EEC" w14:textId="77777777" w:rsidR="008A4099" w:rsidRDefault="006A6EE2">
      <w:pPr>
        <w:pStyle w:val="BodyText"/>
        <w:spacing w:before="6"/>
        <w:rPr>
          <w:sz w:val="20"/>
        </w:rPr>
      </w:pPr>
      <w:r>
        <w:rPr>
          <w:noProof/>
        </w:rPr>
        <mc:AlternateContent>
          <mc:Choice Requires="wps">
            <w:drawing>
              <wp:anchor distT="0" distB="0" distL="0" distR="0" simplePos="0" relativeHeight="487603712" behindDoc="1" locked="0" layoutInCell="1" allowOverlap="1" wp14:anchorId="7CB26617" wp14:editId="7CB26618">
                <wp:simplePos x="0" y="0"/>
                <wp:positionH relativeFrom="page">
                  <wp:posOffset>914704</wp:posOffset>
                </wp:positionH>
                <wp:positionV relativeFrom="paragraph">
                  <wp:posOffset>165232</wp:posOffset>
                </wp:positionV>
                <wp:extent cx="1829435" cy="762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ED0D6D" id="Graphic 73" o:spid="_x0000_s1026" style="position:absolute;margin-left:1in;margin-top:13pt;width:144.05pt;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" path="m1829054,l,,,7619r1829054,l1829054,xe" fillcolor="black" stroked="f">
                <v:path arrowok="t"/>
                <w10:wrap type="topAndBottom" anchorx="page"/>
              </v:shape>
            </w:pict>
          </mc:Fallback>
        </mc:AlternateContent>
      </w:r>
    </w:p>
    <w:p w14:paraId="7CB25EED" w14:textId="77777777" w:rsidR="008A4099" w:rsidRDefault="006A6EE2">
      <w:pPr>
        <w:spacing w:before="112" w:line="244" w:lineRule="auto"/>
        <w:ind w:left="160" w:right="680"/>
        <w:rPr>
          <w:sz w:val="18"/>
        </w:rPr>
      </w:pPr>
      <w:r>
        <w:rPr>
          <w:sz w:val="18"/>
          <w:vertAlign w:val="superscript"/>
        </w:rPr>
        <w:t>194</w:t>
      </w:r>
      <w:r>
        <w:rPr>
          <w:spacing w:val="-10"/>
          <w:sz w:val="18"/>
        </w:rPr>
        <w:t xml:space="preserve"> </w:t>
      </w:r>
      <w:r>
        <w:rPr>
          <w:sz w:val="18"/>
        </w:rPr>
        <w:t>Public</w:t>
      </w:r>
      <w:r>
        <w:rPr>
          <w:spacing w:val="-11"/>
          <w:sz w:val="18"/>
        </w:rPr>
        <w:t xml:space="preserve"> </w:t>
      </w:r>
      <w:r>
        <w:rPr>
          <w:sz w:val="18"/>
        </w:rPr>
        <w:t>Accounts</w:t>
      </w:r>
      <w:r>
        <w:rPr>
          <w:spacing w:val="-10"/>
          <w:sz w:val="18"/>
        </w:rPr>
        <w:t xml:space="preserve"> </w:t>
      </w:r>
      <w:r>
        <w:rPr>
          <w:sz w:val="18"/>
        </w:rPr>
        <w:t>and</w:t>
      </w:r>
      <w:r>
        <w:rPr>
          <w:spacing w:val="-9"/>
          <w:sz w:val="18"/>
        </w:rPr>
        <w:t xml:space="preserve"> </w:t>
      </w:r>
      <w:r>
        <w:rPr>
          <w:sz w:val="18"/>
        </w:rPr>
        <w:t>Estimates</w:t>
      </w:r>
      <w:r>
        <w:rPr>
          <w:spacing w:val="-11"/>
          <w:sz w:val="18"/>
        </w:rPr>
        <w:t xml:space="preserve"> </w:t>
      </w:r>
      <w:r>
        <w:rPr>
          <w:sz w:val="18"/>
        </w:rPr>
        <w:t>Committee,</w:t>
      </w:r>
      <w:r>
        <w:rPr>
          <w:spacing w:val="-7"/>
          <w:sz w:val="18"/>
        </w:rPr>
        <w:t xml:space="preserve"> </w:t>
      </w:r>
      <w:r>
        <w:rPr>
          <w:i/>
          <w:sz w:val="18"/>
        </w:rPr>
        <w:t>Inquiry</w:t>
      </w:r>
      <w:r>
        <w:rPr>
          <w:i/>
          <w:spacing w:val="-11"/>
          <w:sz w:val="18"/>
        </w:rPr>
        <w:t xml:space="preserve"> </w:t>
      </w:r>
      <w:r>
        <w:rPr>
          <w:i/>
          <w:sz w:val="18"/>
        </w:rPr>
        <w:t>into</w:t>
      </w:r>
      <w:r>
        <w:rPr>
          <w:i/>
          <w:spacing w:val="-9"/>
          <w:sz w:val="18"/>
        </w:rPr>
        <w:t xml:space="preserve"> </w:t>
      </w:r>
      <w:r>
        <w:rPr>
          <w:i/>
          <w:sz w:val="18"/>
        </w:rPr>
        <w:t>the</w:t>
      </w:r>
      <w:r>
        <w:rPr>
          <w:i/>
          <w:spacing w:val="-11"/>
          <w:sz w:val="18"/>
        </w:rPr>
        <w:t xml:space="preserve"> </w:t>
      </w:r>
      <w:r>
        <w:rPr>
          <w:i/>
          <w:sz w:val="18"/>
        </w:rPr>
        <w:t>Victorian</w:t>
      </w:r>
      <w:r>
        <w:rPr>
          <w:i/>
          <w:spacing w:val="-9"/>
          <w:sz w:val="18"/>
        </w:rPr>
        <w:t xml:space="preserve"> </w:t>
      </w:r>
      <w:r>
        <w:rPr>
          <w:i/>
          <w:sz w:val="18"/>
        </w:rPr>
        <w:t>Government’s</w:t>
      </w:r>
      <w:r>
        <w:rPr>
          <w:i/>
          <w:spacing w:val="-11"/>
          <w:sz w:val="18"/>
        </w:rPr>
        <w:t xml:space="preserve"> </w:t>
      </w:r>
      <w:r>
        <w:rPr>
          <w:i/>
          <w:sz w:val="18"/>
        </w:rPr>
        <w:t>Response</w:t>
      </w:r>
      <w:r>
        <w:rPr>
          <w:i/>
          <w:spacing w:val="-12"/>
          <w:sz w:val="18"/>
        </w:rPr>
        <w:t xml:space="preserve"> </w:t>
      </w:r>
      <w:r>
        <w:rPr>
          <w:i/>
          <w:sz w:val="18"/>
        </w:rPr>
        <w:t>to</w:t>
      </w:r>
      <w:r>
        <w:rPr>
          <w:i/>
          <w:spacing w:val="-8"/>
          <w:sz w:val="18"/>
        </w:rPr>
        <w:t xml:space="preserve"> </w:t>
      </w:r>
      <w:r>
        <w:rPr>
          <w:i/>
          <w:sz w:val="18"/>
        </w:rPr>
        <w:t>the</w:t>
      </w:r>
      <w:r>
        <w:rPr>
          <w:i/>
          <w:spacing w:val="-13"/>
          <w:sz w:val="18"/>
        </w:rPr>
        <w:t xml:space="preserve"> </w:t>
      </w:r>
      <w:r>
        <w:rPr>
          <w:i/>
          <w:sz w:val="18"/>
        </w:rPr>
        <w:t>COVID-19</w:t>
      </w:r>
      <w:r>
        <w:rPr>
          <w:i/>
          <w:spacing w:val="-9"/>
          <w:sz w:val="18"/>
        </w:rPr>
        <w:t xml:space="preserve"> </w:t>
      </w:r>
      <w:r>
        <w:rPr>
          <w:i/>
          <w:sz w:val="18"/>
        </w:rPr>
        <w:t xml:space="preserve">Pandemic: Final Report </w:t>
      </w:r>
      <w:r>
        <w:rPr>
          <w:sz w:val="18"/>
        </w:rPr>
        <w:t>(Parliament of Victoria, 2021)</w:t>
      </w:r>
    </w:p>
    <w:p w14:paraId="7CB25EEE" w14:textId="77777777" w:rsidR="008A4099" w:rsidRDefault="006A6EE2">
      <w:pPr>
        <w:ind w:left="160" w:right="681"/>
        <w:rPr>
          <w:sz w:val="18"/>
        </w:rPr>
      </w:pPr>
      <w:r>
        <w:rPr>
          <w:spacing w:val="-2"/>
          <w:sz w:val="18"/>
        </w:rPr>
        <w:t>&lt;https://</w:t>
      </w:r>
      <w:hyperlink r:id="rId95">
        <w:r>
          <w:rPr>
            <w:spacing w:val="-2"/>
            <w:sz w:val="18"/>
          </w:rPr>
          <w:t>www.parliament.vic.gov.au/4b00fa/contentassets/9c4e489fe9834121826347ad523e87d2/paec_59-</w:t>
        </w:r>
      </w:hyperlink>
      <w:r>
        <w:rPr>
          <w:spacing w:val="-2"/>
          <w:sz w:val="18"/>
        </w:rPr>
        <w:t xml:space="preserve"> </w:t>
      </w:r>
      <w:r>
        <w:rPr>
          <w:sz w:val="18"/>
        </w:rPr>
        <w:t>08_vic_gov_response_to_covid-19_pandemic.pdf&gt;. The Ombudsman’s review of the lockdown of tower housing blocks at 33 Albert Street is discussed at [3.3.21]–[3.3.22] of this Research Paper.</w:t>
      </w:r>
    </w:p>
    <w:p w14:paraId="7CB25EEF" w14:textId="77777777" w:rsidR="008A4099" w:rsidRDefault="006A6EE2">
      <w:pPr>
        <w:spacing w:before="16" w:line="242" w:lineRule="auto"/>
        <w:ind w:left="160" w:right="676"/>
        <w:jc w:val="both"/>
        <w:rPr>
          <w:sz w:val="18"/>
        </w:rPr>
      </w:pPr>
      <w:r>
        <w:rPr>
          <w:sz w:val="18"/>
          <w:vertAlign w:val="superscript"/>
        </w:rPr>
        <w:t>195</w:t>
      </w:r>
      <w:r>
        <w:rPr>
          <w:sz w:val="18"/>
        </w:rPr>
        <w:t xml:space="preserve"> See, for example, Gabrielle Appleby et al, ‘Victoria’s Controversial Pandemic Bill: 6 Ways for the Government to Show</w:t>
      </w:r>
      <w:r>
        <w:rPr>
          <w:spacing w:val="40"/>
          <w:sz w:val="18"/>
        </w:rPr>
        <w:t xml:space="preserve"> </w:t>
      </w:r>
      <w:r>
        <w:rPr>
          <w:sz w:val="18"/>
        </w:rPr>
        <w:t>it is Serious about</w:t>
      </w:r>
      <w:r>
        <w:rPr>
          <w:spacing w:val="-3"/>
          <w:sz w:val="18"/>
        </w:rPr>
        <w:t xml:space="preserve"> </w:t>
      </w:r>
      <w:r>
        <w:rPr>
          <w:sz w:val="18"/>
        </w:rPr>
        <w:t>Scrutiny’ (</w:t>
      </w:r>
      <w:r>
        <w:rPr>
          <w:i/>
          <w:sz w:val="18"/>
        </w:rPr>
        <w:t>The Conversation</w:t>
      </w:r>
      <w:r>
        <w:rPr>
          <w:sz w:val="18"/>
        </w:rPr>
        <w:t xml:space="preserve">, 15 November 2021) &lt;https://theconversation.com/victorias-controversial- </w:t>
      </w:r>
      <w:r>
        <w:rPr>
          <w:spacing w:val="-2"/>
          <w:sz w:val="18"/>
        </w:rPr>
        <w:t>pandemic-bill-6-ways-for-the-government-to-show-it-is-serious-about-scrutiny-171600&gt;.</w:t>
      </w:r>
    </w:p>
    <w:p w14:paraId="7CB25EF0" w14:textId="77777777" w:rsidR="008A4099" w:rsidRDefault="006A6EE2">
      <w:pPr>
        <w:spacing w:before="16" w:line="244" w:lineRule="auto"/>
        <w:ind w:left="160" w:right="679"/>
        <w:jc w:val="both"/>
        <w:rPr>
          <w:sz w:val="18"/>
        </w:rPr>
      </w:pPr>
      <w:r>
        <w:rPr>
          <w:sz w:val="18"/>
          <w:vertAlign w:val="superscript"/>
        </w:rPr>
        <w:t>196</w:t>
      </w:r>
      <w:r>
        <w:rPr>
          <w:sz w:val="18"/>
        </w:rPr>
        <w:t xml:space="preserve"> The Committee is to be chaired by a non-government MP and to have a majority of members who are not from the government: </w:t>
      </w:r>
      <w:r>
        <w:rPr>
          <w:i/>
          <w:sz w:val="18"/>
        </w:rPr>
        <w:t xml:space="preserve">Parliamentary Committees Act 2003 </w:t>
      </w:r>
      <w:r>
        <w:rPr>
          <w:sz w:val="18"/>
        </w:rPr>
        <w:t>(Vic) s 21A.</w:t>
      </w:r>
    </w:p>
    <w:p w14:paraId="7CB25EF1" w14:textId="77777777" w:rsidR="008A4099" w:rsidRDefault="006A6EE2">
      <w:pPr>
        <w:spacing w:before="14" w:line="242" w:lineRule="auto"/>
        <w:ind w:left="160" w:right="683"/>
        <w:jc w:val="both"/>
        <w:rPr>
          <w:sz w:val="18"/>
        </w:rPr>
      </w:pPr>
      <w:r>
        <w:rPr>
          <w:sz w:val="18"/>
          <w:vertAlign w:val="superscript"/>
        </w:rPr>
        <w:t>197</w:t>
      </w:r>
      <w:r>
        <w:rPr>
          <w:spacing w:val="-8"/>
          <w:sz w:val="18"/>
        </w:rPr>
        <w:t xml:space="preserve"> </w:t>
      </w:r>
      <w:r>
        <w:rPr>
          <w:sz w:val="18"/>
        </w:rPr>
        <w:t>Any</w:t>
      </w:r>
      <w:r>
        <w:rPr>
          <w:spacing w:val="-9"/>
          <w:sz w:val="18"/>
        </w:rPr>
        <w:t xml:space="preserve"> </w:t>
      </w:r>
      <w:r>
        <w:rPr>
          <w:sz w:val="18"/>
        </w:rPr>
        <w:t>disallowance</w:t>
      </w:r>
      <w:r>
        <w:rPr>
          <w:spacing w:val="-9"/>
          <w:sz w:val="18"/>
        </w:rPr>
        <w:t xml:space="preserve"> </w:t>
      </w:r>
      <w:r>
        <w:rPr>
          <w:sz w:val="18"/>
        </w:rPr>
        <w:t>needs</w:t>
      </w:r>
      <w:r>
        <w:rPr>
          <w:spacing w:val="-9"/>
          <w:sz w:val="18"/>
        </w:rPr>
        <w:t xml:space="preserve"> </w:t>
      </w:r>
      <w:r>
        <w:rPr>
          <w:sz w:val="18"/>
        </w:rPr>
        <w:t>the</w:t>
      </w:r>
      <w:r>
        <w:rPr>
          <w:spacing w:val="-9"/>
          <w:sz w:val="18"/>
        </w:rPr>
        <w:t xml:space="preserve"> </w:t>
      </w:r>
      <w:r>
        <w:rPr>
          <w:sz w:val="18"/>
        </w:rPr>
        <w:t>support</w:t>
      </w:r>
      <w:r>
        <w:rPr>
          <w:spacing w:val="-8"/>
          <w:sz w:val="18"/>
        </w:rPr>
        <w:t xml:space="preserve"> </w:t>
      </w:r>
      <w:r>
        <w:rPr>
          <w:sz w:val="18"/>
        </w:rPr>
        <w:t>of</w:t>
      </w:r>
      <w:r>
        <w:rPr>
          <w:spacing w:val="-10"/>
          <w:sz w:val="18"/>
        </w:rPr>
        <w:t xml:space="preserve"> </w:t>
      </w:r>
      <w:r>
        <w:rPr>
          <w:sz w:val="18"/>
        </w:rPr>
        <w:t>an</w:t>
      </w:r>
      <w:r>
        <w:rPr>
          <w:spacing w:val="-7"/>
          <w:sz w:val="18"/>
        </w:rPr>
        <w:t xml:space="preserve"> </w:t>
      </w:r>
      <w:r>
        <w:rPr>
          <w:sz w:val="18"/>
        </w:rPr>
        <w:t>absolute</w:t>
      </w:r>
      <w:r>
        <w:rPr>
          <w:spacing w:val="-9"/>
          <w:sz w:val="18"/>
        </w:rPr>
        <w:t xml:space="preserve"> </w:t>
      </w:r>
      <w:r>
        <w:rPr>
          <w:sz w:val="18"/>
        </w:rPr>
        <w:t>majority</w:t>
      </w:r>
      <w:r>
        <w:rPr>
          <w:spacing w:val="-9"/>
          <w:sz w:val="18"/>
        </w:rPr>
        <w:t xml:space="preserve"> </w:t>
      </w:r>
      <w:r>
        <w:rPr>
          <w:sz w:val="18"/>
        </w:rPr>
        <w:t>of</w:t>
      </w:r>
      <w:r>
        <w:rPr>
          <w:spacing w:val="-8"/>
          <w:sz w:val="18"/>
        </w:rPr>
        <w:t xml:space="preserve"> </w:t>
      </w:r>
      <w:r>
        <w:rPr>
          <w:sz w:val="18"/>
        </w:rPr>
        <w:t>a</w:t>
      </w:r>
      <w:r>
        <w:rPr>
          <w:spacing w:val="-9"/>
          <w:sz w:val="18"/>
        </w:rPr>
        <w:t xml:space="preserve"> </w:t>
      </w:r>
      <w:r>
        <w:rPr>
          <w:sz w:val="18"/>
        </w:rPr>
        <w:t>joint</w:t>
      </w:r>
      <w:r>
        <w:rPr>
          <w:spacing w:val="-8"/>
          <w:sz w:val="18"/>
        </w:rPr>
        <w:t xml:space="preserve"> </w:t>
      </w:r>
      <w:r>
        <w:rPr>
          <w:sz w:val="18"/>
        </w:rPr>
        <w:t>sitting</w:t>
      </w:r>
      <w:r>
        <w:rPr>
          <w:spacing w:val="-9"/>
          <w:sz w:val="18"/>
        </w:rPr>
        <w:t xml:space="preserve"> </w:t>
      </w:r>
      <w:r>
        <w:rPr>
          <w:sz w:val="18"/>
        </w:rPr>
        <w:t>of</w:t>
      </w:r>
      <w:r>
        <w:rPr>
          <w:spacing w:val="-10"/>
          <w:sz w:val="18"/>
        </w:rPr>
        <w:t xml:space="preserve"> </w:t>
      </w:r>
      <w:r>
        <w:rPr>
          <w:sz w:val="18"/>
        </w:rPr>
        <w:t>Parliament,</w:t>
      </w:r>
      <w:r>
        <w:rPr>
          <w:spacing w:val="-7"/>
          <w:sz w:val="18"/>
        </w:rPr>
        <w:t xml:space="preserve"> </w:t>
      </w:r>
      <w:r>
        <w:rPr>
          <w:sz w:val="18"/>
        </w:rPr>
        <w:t>in</w:t>
      </w:r>
      <w:r>
        <w:rPr>
          <w:spacing w:val="-9"/>
          <w:sz w:val="18"/>
        </w:rPr>
        <w:t xml:space="preserve"> </w:t>
      </w:r>
      <w:r>
        <w:rPr>
          <w:sz w:val="18"/>
        </w:rPr>
        <w:t>which</w:t>
      </w:r>
      <w:r>
        <w:rPr>
          <w:spacing w:val="-10"/>
          <w:sz w:val="18"/>
        </w:rPr>
        <w:t xml:space="preserve"> </w:t>
      </w:r>
      <w:r>
        <w:rPr>
          <w:sz w:val="18"/>
        </w:rPr>
        <w:t>the</w:t>
      </w:r>
      <w:r>
        <w:rPr>
          <w:spacing w:val="-9"/>
          <w:sz w:val="18"/>
        </w:rPr>
        <w:t xml:space="preserve"> </w:t>
      </w:r>
      <w:r>
        <w:rPr>
          <w:sz w:val="18"/>
        </w:rPr>
        <w:t>government</w:t>
      </w:r>
      <w:r>
        <w:rPr>
          <w:spacing w:val="-8"/>
          <w:sz w:val="18"/>
        </w:rPr>
        <w:t xml:space="preserve"> </w:t>
      </w:r>
      <w:r>
        <w:rPr>
          <w:sz w:val="18"/>
        </w:rPr>
        <w:t>retains the majority of</w:t>
      </w:r>
      <w:r>
        <w:rPr>
          <w:spacing w:val="-1"/>
          <w:sz w:val="18"/>
        </w:rPr>
        <w:t xml:space="preserve"> </w:t>
      </w:r>
      <w:r>
        <w:rPr>
          <w:sz w:val="18"/>
        </w:rPr>
        <w:t>votes. This is a change from the previous position, in which an order could be disallowed with the support</w:t>
      </w:r>
      <w:r>
        <w:rPr>
          <w:spacing w:val="-1"/>
          <w:sz w:val="18"/>
        </w:rPr>
        <w:t xml:space="preserve"> </w:t>
      </w:r>
      <w:r>
        <w:rPr>
          <w:sz w:val="18"/>
        </w:rPr>
        <w:t>of either House.</w:t>
      </w:r>
    </w:p>
    <w:p w14:paraId="7CB25EF2" w14:textId="77777777" w:rsidR="008A4099" w:rsidRDefault="006A6EE2">
      <w:pPr>
        <w:ind w:left="160" w:right="677"/>
        <w:jc w:val="both"/>
        <w:rPr>
          <w:sz w:val="18"/>
        </w:rPr>
      </w:pPr>
      <w:r>
        <w:rPr>
          <w:position w:val="6"/>
          <w:sz w:val="12"/>
        </w:rPr>
        <w:t>59</w:t>
      </w:r>
      <w:r>
        <w:rPr>
          <w:spacing w:val="19"/>
          <w:position w:val="6"/>
          <w:sz w:val="12"/>
        </w:rPr>
        <w:t xml:space="preserve"> </w:t>
      </w:r>
      <w:r>
        <w:rPr>
          <w:sz w:val="18"/>
        </w:rPr>
        <w:t>Committee on COVID-19 Pandemic Response, Interim Report 2 (July 2020) 6. The Select Committee also recommended that ‘delegated legislation made in response to COVID-19 be in the form of disallowable instruments, rather than notifiable instruments to ensure appropriate and adequate oversight by the Legislative Assembly’. The government responded that, in some circumstances, notifiable instruments were more appropriate, but that many of the measures taken were in the form of disallowable instruments: Ibid 7.</w:t>
      </w:r>
    </w:p>
    <w:p w14:paraId="7CB25EF3" w14:textId="77777777" w:rsidR="008A4099" w:rsidRDefault="006A6EE2">
      <w:pPr>
        <w:spacing w:before="15"/>
        <w:ind w:left="160" w:right="681"/>
        <w:jc w:val="both"/>
        <w:rPr>
          <w:sz w:val="18"/>
        </w:rPr>
      </w:pPr>
      <w:r>
        <w:rPr>
          <w:sz w:val="18"/>
          <w:vertAlign w:val="superscript"/>
        </w:rPr>
        <w:t>199</w:t>
      </w:r>
      <w:r>
        <w:rPr>
          <w:sz w:val="18"/>
        </w:rPr>
        <w:t xml:space="preserve"> Ibid. The government stated that, ‘While the ACT Government welcomes public scrutiny of its legislative response to COVID-19, there are reasons in certain cases why delegated legislation should not be subject to parliamentary disallowance procedures. A notifiable instrument is often used for matters that might need to be changed regularly or quickly or are operational, technical or procedural in nature. As such, notifiable instruments may be more appropriate in some cases’. The government also noted that most instruments introduced had been disallowable.</w:t>
      </w:r>
    </w:p>
    <w:p w14:paraId="7CB25EF4" w14:textId="77777777" w:rsidR="008A4099" w:rsidRDefault="006A6EE2">
      <w:pPr>
        <w:spacing w:before="21"/>
        <w:ind w:left="160"/>
        <w:jc w:val="both"/>
        <w:rPr>
          <w:sz w:val="18"/>
        </w:rPr>
      </w:pPr>
      <w:r>
        <w:rPr>
          <w:sz w:val="18"/>
          <w:vertAlign w:val="superscript"/>
        </w:rPr>
        <w:t>200</w:t>
      </w:r>
      <w:r>
        <w:rPr>
          <w:sz w:val="18"/>
        </w:rPr>
        <w:t xml:space="preserve"> See</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2"/>
          <w:sz w:val="18"/>
        </w:rPr>
        <w:t xml:space="preserve"> </w:t>
      </w:r>
      <w:r>
        <w:rPr>
          <w:sz w:val="18"/>
        </w:rPr>
        <w:t>(Qld)</w:t>
      </w:r>
      <w:r>
        <w:rPr>
          <w:spacing w:val="1"/>
          <w:sz w:val="18"/>
        </w:rPr>
        <w:t xml:space="preserve"> </w:t>
      </w:r>
      <w:r>
        <w:rPr>
          <w:sz w:val="18"/>
        </w:rPr>
        <w:t>s</w:t>
      </w:r>
      <w:r>
        <w:rPr>
          <w:spacing w:val="1"/>
          <w:sz w:val="18"/>
        </w:rPr>
        <w:t xml:space="preserve"> </w:t>
      </w:r>
      <w:r>
        <w:rPr>
          <w:spacing w:val="-2"/>
          <w:sz w:val="18"/>
        </w:rPr>
        <w:t>48(4)(b).</w:t>
      </w:r>
    </w:p>
    <w:p w14:paraId="7CB25EF5" w14:textId="77777777" w:rsidR="008A4099" w:rsidRDefault="006A6EE2">
      <w:pPr>
        <w:spacing w:before="23"/>
        <w:ind w:left="160"/>
        <w:jc w:val="both"/>
        <w:rPr>
          <w:sz w:val="18"/>
        </w:rPr>
      </w:pPr>
      <w:r>
        <w:rPr>
          <w:sz w:val="18"/>
          <w:vertAlign w:val="superscript"/>
        </w:rPr>
        <w:t>201</w:t>
      </w:r>
      <w:r>
        <w:rPr>
          <w:spacing w:val="24"/>
          <w:sz w:val="18"/>
        </w:rPr>
        <w:t xml:space="preserve"> </w:t>
      </w:r>
      <w:r>
        <w:rPr>
          <w:sz w:val="18"/>
        </w:rPr>
        <w:t>For</w:t>
      </w:r>
      <w:r>
        <w:rPr>
          <w:spacing w:val="22"/>
          <w:sz w:val="18"/>
        </w:rPr>
        <w:t xml:space="preserve"> </w:t>
      </w:r>
      <w:r>
        <w:rPr>
          <w:sz w:val="18"/>
        </w:rPr>
        <w:t>details</w:t>
      </w:r>
      <w:r>
        <w:rPr>
          <w:spacing w:val="24"/>
          <w:sz w:val="18"/>
        </w:rPr>
        <w:t xml:space="preserve"> </w:t>
      </w:r>
      <w:r>
        <w:rPr>
          <w:sz w:val="18"/>
        </w:rPr>
        <w:t>of</w:t>
      </w:r>
      <w:r>
        <w:rPr>
          <w:spacing w:val="22"/>
          <w:sz w:val="18"/>
        </w:rPr>
        <w:t xml:space="preserve"> </w:t>
      </w:r>
      <w:r>
        <w:rPr>
          <w:sz w:val="18"/>
        </w:rPr>
        <w:t>the</w:t>
      </w:r>
      <w:r>
        <w:rPr>
          <w:spacing w:val="23"/>
          <w:sz w:val="18"/>
        </w:rPr>
        <w:t xml:space="preserve"> </w:t>
      </w:r>
      <w:r>
        <w:rPr>
          <w:sz w:val="18"/>
        </w:rPr>
        <w:t>requirements</w:t>
      </w:r>
      <w:r>
        <w:rPr>
          <w:spacing w:val="21"/>
          <w:sz w:val="18"/>
        </w:rPr>
        <w:t xml:space="preserve"> </w:t>
      </w:r>
      <w:r>
        <w:rPr>
          <w:sz w:val="18"/>
        </w:rPr>
        <w:t>for</w:t>
      </w:r>
      <w:r>
        <w:rPr>
          <w:spacing w:val="24"/>
          <w:sz w:val="18"/>
        </w:rPr>
        <w:t xml:space="preserve"> </w:t>
      </w:r>
      <w:r>
        <w:rPr>
          <w:sz w:val="18"/>
        </w:rPr>
        <w:t>human</w:t>
      </w:r>
      <w:r>
        <w:rPr>
          <w:spacing w:val="25"/>
          <w:sz w:val="18"/>
        </w:rPr>
        <w:t xml:space="preserve"> </w:t>
      </w:r>
      <w:r>
        <w:rPr>
          <w:sz w:val="18"/>
        </w:rPr>
        <w:t>rights</w:t>
      </w:r>
      <w:r>
        <w:rPr>
          <w:spacing w:val="24"/>
          <w:sz w:val="18"/>
        </w:rPr>
        <w:t xml:space="preserve"> </w:t>
      </w:r>
      <w:r>
        <w:rPr>
          <w:sz w:val="18"/>
        </w:rPr>
        <w:t>certificates</w:t>
      </w:r>
      <w:r>
        <w:rPr>
          <w:spacing w:val="23"/>
          <w:sz w:val="18"/>
        </w:rPr>
        <w:t xml:space="preserve"> </w:t>
      </w:r>
      <w:r>
        <w:rPr>
          <w:sz w:val="18"/>
        </w:rPr>
        <w:t>for</w:t>
      </w:r>
      <w:r>
        <w:rPr>
          <w:spacing w:val="19"/>
          <w:sz w:val="18"/>
        </w:rPr>
        <w:t xml:space="preserve"> </w:t>
      </w:r>
      <w:r>
        <w:rPr>
          <w:sz w:val="18"/>
        </w:rPr>
        <w:t>subordinate</w:t>
      </w:r>
      <w:r>
        <w:rPr>
          <w:spacing w:val="21"/>
          <w:sz w:val="18"/>
        </w:rPr>
        <w:t xml:space="preserve"> </w:t>
      </w:r>
      <w:r>
        <w:rPr>
          <w:sz w:val="18"/>
        </w:rPr>
        <w:t>legislation,</w:t>
      </w:r>
      <w:r>
        <w:rPr>
          <w:spacing w:val="24"/>
          <w:sz w:val="18"/>
        </w:rPr>
        <w:t xml:space="preserve"> </w:t>
      </w:r>
      <w:r>
        <w:rPr>
          <w:sz w:val="18"/>
        </w:rPr>
        <w:t>see</w:t>
      </w:r>
      <w:r>
        <w:rPr>
          <w:spacing w:val="23"/>
          <w:sz w:val="18"/>
        </w:rPr>
        <w:t xml:space="preserve"> </w:t>
      </w:r>
      <w:r>
        <w:rPr>
          <w:sz w:val="18"/>
        </w:rPr>
        <w:t>Queensland</w:t>
      </w:r>
      <w:r>
        <w:rPr>
          <w:spacing w:val="25"/>
          <w:sz w:val="18"/>
        </w:rPr>
        <w:t xml:space="preserve"> </w:t>
      </w:r>
      <w:r>
        <w:rPr>
          <w:spacing w:val="-2"/>
          <w:sz w:val="18"/>
        </w:rPr>
        <w:t>Government,</w:t>
      </w:r>
    </w:p>
    <w:p w14:paraId="7CB25EF6" w14:textId="77777777" w:rsidR="008A4099" w:rsidRDefault="006A6EE2">
      <w:pPr>
        <w:spacing w:before="4"/>
        <w:ind w:left="160"/>
        <w:jc w:val="both"/>
        <w:rPr>
          <w:i/>
          <w:sz w:val="18"/>
        </w:rPr>
      </w:pPr>
      <w:r>
        <w:rPr>
          <w:i/>
          <w:sz w:val="18"/>
        </w:rPr>
        <w:t>Queensland</w:t>
      </w:r>
      <w:r>
        <w:rPr>
          <w:i/>
          <w:spacing w:val="25"/>
          <w:sz w:val="18"/>
        </w:rPr>
        <w:t xml:space="preserve"> </w:t>
      </w:r>
      <w:r>
        <w:rPr>
          <w:i/>
          <w:sz w:val="18"/>
        </w:rPr>
        <w:t>Legislation</w:t>
      </w:r>
      <w:r>
        <w:rPr>
          <w:i/>
          <w:spacing w:val="28"/>
          <w:sz w:val="18"/>
        </w:rPr>
        <w:t xml:space="preserve"> </w:t>
      </w:r>
      <w:r>
        <w:rPr>
          <w:i/>
          <w:sz w:val="18"/>
        </w:rPr>
        <w:t>Handbook</w:t>
      </w:r>
      <w:r>
        <w:rPr>
          <w:i/>
          <w:spacing w:val="26"/>
          <w:sz w:val="18"/>
        </w:rPr>
        <w:t xml:space="preserve"> </w:t>
      </w:r>
      <w:r>
        <w:rPr>
          <w:i/>
          <w:sz w:val="18"/>
        </w:rPr>
        <w:t>2021</w:t>
      </w:r>
      <w:r>
        <w:rPr>
          <w:i/>
          <w:spacing w:val="32"/>
          <w:sz w:val="18"/>
        </w:rPr>
        <w:t xml:space="preserve"> </w:t>
      </w:r>
      <w:r>
        <w:rPr>
          <w:sz w:val="18"/>
        </w:rPr>
        <w:t>[6.12].</w:t>
      </w:r>
      <w:r>
        <w:rPr>
          <w:spacing w:val="26"/>
          <w:sz w:val="18"/>
        </w:rPr>
        <w:t xml:space="preserve"> </w:t>
      </w:r>
      <w:r>
        <w:rPr>
          <w:sz w:val="18"/>
        </w:rPr>
        <w:t>See</w:t>
      </w:r>
      <w:r>
        <w:rPr>
          <w:spacing w:val="26"/>
          <w:sz w:val="18"/>
        </w:rPr>
        <w:t xml:space="preserve"> </w:t>
      </w:r>
      <w:r>
        <w:rPr>
          <w:sz w:val="18"/>
        </w:rPr>
        <w:t>also</w:t>
      </w:r>
      <w:r>
        <w:rPr>
          <w:spacing w:val="28"/>
          <w:sz w:val="18"/>
        </w:rPr>
        <w:t xml:space="preserve"> </w:t>
      </w:r>
      <w:r>
        <w:rPr>
          <w:sz w:val="18"/>
        </w:rPr>
        <w:t>Queensland</w:t>
      </w:r>
      <w:r>
        <w:rPr>
          <w:spacing w:val="28"/>
          <w:sz w:val="18"/>
        </w:rPr>
        <w:t xml:space="preserve"> </w:t>
      </w:r>
      <w:r>
        <w:rPr>
          <w:sz w:val="18"/>
        </w:rPr>
        <w:t>Human</w:t>
      </w:r>
      <w:r>
        <w:rPr>
          <w:spacing w:val="27"/>
          <w:sz w:val="18"/>
        </w:rPr>
        <w:t xml:space="preserve"> </w:t>
      </w:r>
      <w:r>
        <w:rPr>
          <w:sz w:val="18"/>
        </w:rPr>
        <w:t>Rights</w:t>
      </w:r>
      <w:r>
        <w:rPr>
          <w:spacing w:val="27"/>
          <w:sz w:val="18"/>
        </w:rPr>
        <w:t xml:space="preserve"> </w:t>
      </w:r>
      <w:r>
        <w:rPr>
          <w:sz w:val="18"/>
        </w:rPr>
        <w:t>Commission,</w:t>
      </w:r>
      <w:r>
        <w:rPr>
          <w:spacing w:val="32"/>
          <w:sz w:val="18"/>
        </w:rPr>
        <w:t xml:space="preserve"> </w:t>
      </w:r>
      <w:r>
        <w:rPr>
          <w:i/>
          <w:sz w:val="18"/>
        </w:rPr>
        <w:t>Putting</w:t>
      </w:r>
      <w:r>
        <w:rPr>
          <w:i/>
          <w:spacing w:val="28"/>
          <w:sz w:val="18"/>
        </w:rPr>
        <w:t xml:space="preserve"> </w:t>
      </w:r>
      <w:r>
        <w:rPr>
          <w:i/>
          <w:sz w:val="18"/>
        </w:rPr>
        <w:t>People</w:t>
      </w:r>
      <w:r>
        <w:rPr>
          <w:i/>
          <w:spacing w:val="26"/>
          <w:sz w:val="18"/>
        </w:rPr>
        <w:t xml:space="preserve"> </w:t>
      </w:r>
      <w:r>
        <w:rPr>
          <w:i/>
          <w:spacing w:val="-2"/>
          <w:sz w:val="18"/>
        </w:rPr>
        <w:t>First:</w:t>
      </w:r>
    </w:p>
    <w:p w14:paraId="7CB25EF7"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EF8" w14:textId="77777777" w:rsidR="008A4099" w:rsidRDefault="008A4099">
      <w:pPr>
        <w:pStyle w:val="BodyText"/>
        <w:spacing w:before="194"/>
        <w:rPr>
          <w:i/>
        </w:rPr>
      </w:pPr>
    </w:p>
    <w:p w14:paraId="7CB25EF9" w14:textId="77777777" w:rsidR="008A4099" w:rsidRDefault="006A6EE2">
      <w:pPr>
        <w:pStyle w:val="BodyText"/>
        <w:ind w:left="160" w:right="673"/>
        <w:jc w:val="both"/>
      </w:pPr>
      <w:r>
        <w:t>which</w:t>
      </w:r>
      <w:r>
        <w:rPr>
          <w:spacing w:val="-9"/>
        </w:rPr>
        <w:t xml:space="preserve"> </w:t>
      </w:r>
      <w:r>
        <w:t>meant</w:t>
      </w:r>
      <w:r>
        <w:rPr>
          <w:spacing w:val="-6"/>
        </w:rPr>
        <w:t xml:space="preserve"> </w:t>
      </w:r>
      <w:r>
        <w:t>that</w:t>
      </w:r>
      <w:r>
        <w:rPr>
          <w:spacing w:val="-8"/>
        </w:rPr>
        <w:t xml:space="preserve"> </w:t>
      </w:r>
      <w:r>
        <w:t>steps</w:t>
      </w:r>
      <w:r>
        <w:rPr>
          <w:spacing w:val="-9"/>
        </w:rPr>
        <w:t xml:space="preserve"> </w:t>
      </w:r>
      <w:r>
        <w:t>in</w:t>
      </w:r>
      <w:r>
        <w:rPr>
          <w:spacing w:val="-7"/>
        </w:rPr>
        <w:t xml:space="preserve"> </w:t>
      </w:r>
      <w:r>
        <w:t>Queensland’s</w:t>
      </w:r>
      <w:r>
        <w:rPr>
          <w:spacing w:val="-9"/>
        </w:rPr>
        <w:t xml:space="preserve"> </w:t>
      </w:r>
      <w:r>
        <w:t>legislative</w:t>
      </w:r>
      <w:r>
        <w:rPr>
          <w:spacing w:val="-9"/>
        </w:rPr>
        <w:t xml:space="preserve"> </w:t>
      </w:r>
      <w:r>
        <w:t>response</w:t>
      </w:r>
      <w:r>
        <w:rPr>
          <w:spacing w:val="-6"/>
        </w:rPr>
        <w:t xml:space="preserve"> </w:t>
      </w:r>
      <w:r>
        <w:t>to</w:t>
      </w:r>
      <w:r>
        <w:rPr>
          <w:spacing w:val="-7"/>
        </w:rPr>
        <w:t xml:space="preserve"> </w:t>
      </w:r>
      <w:r>
        <w:t>the</w:t>
      </w:r>
      <w:r>
        <w:rPr>
          <w:spacing w:val="-7"/>
        </w:rPr>
        <w:t xml:space="preserve"> </w:t>
      </w:r>
      <w:r>
        <w:t>COVID-19</w:t>
      </w:r>
      <w:r>
        <w:rPr>
          <w:spacing w:val="-7"/>
        </w:rPr>
        <w:t xml:space="preserve"> </w:t>
      </w:r>
      <w:r>
        <w:t>public</w:t>
      </w:r>
      <w:r>
        <w:rPr>
          <w:spacing w:val="-7"/>
        </w:rPr>
        <w:t xml:space="preserve"> </w:t>
      </w:r>
      <w:r>
        <w:t>health</w:t>
      </w:r>
      <w:r>
        <w:rPr>
          <w:spacing w:val="-7"/>
        </w:rPr>
        <w:t xml:space="preserve"> </w:t>
      </w:r>
      <w:r>
        <w:t xml:space="preserve">emergency were generally accompanied by discussion of the rights affected. While acknowledging that many public health directions were not subject to the usual scrutiny applying to such measures, the Queensland Human Rights Commission concluded that the </w:t>
      </w:r>
      <w:r>
        <w:rPr>
          <w:i/>
        </w:rPr>
        <w:t xml:space="preserve">Human Rights Act 2019 </w:t>
      </w:r>
      <w:r>
        <w:t>(Qld) had proven to be an important safeguard of the rights of people in Queensland during the pandemic</w:t>
      </w:r>
      <w:r>
        <w:rPr>
          <w:spacing w:val="-10"/>
        </w:rPr>
        <w:t xml:space="preserve"> </w:t>
      </w:r>
      <w:r>
        <w:t>.</w:t>
      </w:r>
      <w:r>
        <w:rPr>
          <w:position w:val="7"/>
          <w:sz w:val="13"/>
        </w:rPr>
        <w:t>202</w:t>
      </w:r>
      <w:r>
        <w:rPr>
          <w:spacing w:val="27"/>
          <w:position w:val="7"/>
          <w:sz w:val="13"/>
        </w:rPr>
        <w:t xml:space="preserve"> </w:t>
      </w:r>
      <w:r>
        <w:t>Similarly, in</w:t>
      </w:r>
      <w:r>
        <w:rPr>
          <w:spacing w:val="-9"/>
        </w:rPr>
        <w:t xml:space="preserve"> </w:t>
      </w:r>
      <w:r>
        <w:t>Victoria,</w:t>
      </w:r>
      <w:r>
        <w:rPr>
          <w:spacing w:val="-9"/>
        </w:rPr>
        <w:t xml:space="preserve"> </w:t>
      </w:r>
      <w:r>
        <w:t>as</w:t>
      </w:r>
      <w:r>
        <w:rPr>
          <w:spacing w:val="-9"/>
        </w:rPr>
        <w:t xml:space="preserve"> </w:t>
      </w:r>
      <w:r>
        <w:t>noted</w:t>
      </w:r>
      <w:r>
        <w:rPr>
          <w:spacing w:val="-9"/>
        </w:rPr>
        <w:t xml:space="preserve"> </w:t>
      </w:r>
      <w:r>
        <w:t>at</w:t>
      </w:r>
      <w:r>
        <w:rPr>
          <w:spacing w:val="-8"/>
        </w:rPr>
        <w:t xml:space="preserve"> </w:t>
      </w:r>
      <w:r>
        <w:t>[3.2.24],</w:t>
      </w:r>
      <w:r>
        <w:rPr>
          <w:spacing w:val="-7"/>
        </w:rPr>
        <w:t xml:space="preserve"> </w:t>
      </w:r>
      <w:r>
        <w:t>there</w:t>
      </w:r>
      <w:r>
        <w:rPr>
          <w:spacing w:val="-9"/>
        </w:rPr>
        <w:t xml:space="preserve"> </w:t>
      </w:r>
      <w:r>
        <w:t>was</w:t>
      </w:r>
      <w:r>
        <w:rPr>
          <w:spacing w:val="-9"/>
        </w:rPr>
        <w:t xml:space="preserve"> </w:t>
      </w:r>
      <w:r>
        <w:t>amendment</w:t>
      </w:r>
      <w:r>
        <w:rPr>
          <w:spacing w:val="-9"/>
        </w:rPr>
        <w:t xml:space="preserve"> </w:t>
      </w:r>
      <w:r>
        <w:t>to</w:t>
      </w:r>
      <w:r>
        <w:rPr>
          <w:spacing w:val="-9"/>
        </w:rPr>
        <w:t xml:space="preserve"> </w:t>
      </w:r>
      <w:r>
        <w:t>the</w:t>
      </w:r>
      <w:r>
        <w:rPr>
          <w:spacing w:val="-9"/>
        </w:rPr>
        <w:t xml:space="preserve"> </w:t>
      </w:r>
      <w:r>
        <w:t>COVID-19</w:t>
      </w:r>
      <w:r>
        <w:rPr>
          <w:spacing w:val="-9"/>
        </w:rPr>
        <w:t xml:space="preserve"> </w:t>
      </w:r>
      <w:r>
        <w:t>response</w:t>
      </w:r>
      <w:r>
        <w:rPr>
          <w:spacing w:val="-9"/>
        </w:rPr>
        <w:t xml:space="preserve"> </w:t>
      </w:r>
      <w:r>
        <w:t>framework</w:t>
      </w:r>
      <w:r>
        <w:rPr>
          <w:spacing w:val="-11"/>
        </w:rPr>
        <w:t xml:space="preserve"> </w:t>
      </w:r>
      <w:r>
        <w:t>to</w:t>
      </w:r>
      <w:r>
        <w:rPr>
          <w:spacing w:val="-9"/>
        </w:rPr>
        <w:t xml:space="preserve"> </w:t>
      </w:r>
      <w:r>
        <w:t>require a parliamentary committee to review all orders and instruments made under the pandemic declaration with the power to recommend that the instrument be disallowed.</w:t>
      </w:r>
    </w:p>
    <w:p w14:paraId="7CB25EFA" w14:textId="77777777" w:rsidR="008A4099" w:rsidRDefault="006A6EE2">
      <w:pPr>
        <w:pStyle w:val="ListParagraph"/>
        <w:numPr>
          <w:ilvl w:val="2"/>
          <w:numId w:val="6"/>
        </w:numPr>
        <w:tabs>
          <w:tab w:val="left" w:pos="935"/>
        </w:tabs>
        <w:spacing w:before="221"/>
        <w:ind w:right="677" w:firstLine="0"/>
        <w:jc w:val="both"/>
        <w:rPr>
          <w:sz w:val="12"/>
        </w:rPr>
      </w:pPr>
      <w:r>
        <w:t>In the ACT, Victoria, and Queensland, as in Tasmania, much of the pandemic response was regulated by directives issued under public health and emergency laws.</w:t>
      </w:r>
      <w:r>
        <w:rPr>
          <w:position w:val="7"/>
          <w:sz w:val="13"/>
        </w:rPr>
        <w:t>203</w:t>
      </w:r>
      <w:r>
        <w:rPr>
          <w:spacing w:val="29"/>
          <w:position w:val="7"/>
          <w:sz w:val="13"/>
        </w:rPr>
        <w:t xml:space="preserve"> </w:t>
      </w:r>
      <w:r>
        <w:t>The human rights concerns attaching</w:t>
      </w:r>
      <w:r>
        <w:rPr>
          <w:spacing w:val="-12"/>
        </w:rPr>
        <w:t xml:space="preserve"> </w:t>
      </w:r>
      <w:r>
        <w:t>to</w:t>
      </w:r>
      <w:r>
        <w:rPr>
          <w:spacing w:val="-12"/>
        </w:rPr>
        <w:t xml:space="preserve"> </w:t>
      </w:r>
      <w:r>
        <w:t>public</w:t>
      </w:r>
      <w:r>
        <w:rPr>
          <w:spacing w:val="-9"/>
        </w:rPr>
        <w:t xml:space="preserve"> </w:t>
      </w:r>
      <w:r>
        <w:t>health</w:t>
      </w:r>
      <w:r>
        <w:rPr>
          <w:spacing w:val="-12"/>
        </w:rPr>
        <w:t xml:space="preserve"> </w:t>
      </w:r>
      <w:r>
        <w:t>directives</w:t>
      </w:r>
      <w:r>
        <w:rPr>
          <w:spacing w:val="-11"/>
        </w:rPr>
        <w:t xml:space="preserve"> </w:t>
      </w:r>
      <w:r>
        <w:t>are</w:t>
      </w:r>
      <w:r>
        <w:rPr>
          <w:spacing w:val="-9"/>
        </w:rPr>
        <w:t xml:space="preserve"> </w:t>
      </w:r>
      <w:r>
        <w:t>encapsulated</w:t>
      </w:r>
      <w:r>
        <w:rPr>
          <w:spacing w:val="-12"/>
        </w:rPr>
        <w:t xml:space="preserve"> </w:t>
      </w:r>
      <w:r>
        <w:t>in</w:t>
      </w:r>
      <w:r>
        <w:rPr>
          <w:spacing w:val="-14"/>
        </w:rPr>
        <w:t xml:space="preserve"> </w:t>
      </w:r>
      <w:r>
        <w:t>the</w:t>
      </w:r>
      <w:r>
        <w:rPr>
          <w:spacing w:val="-12"/>
        </w:rPr>
        <w:t xml:space="preserve"> </w:t>
      </w:r>
      <w:r>
        <w:t>ACT</w:t>
      </w:r>
      <w:r>
        <w:rPr>
          <w:spacing w:val="-10"/>
        </w:rPr>
        <w:t xml:space="preserve"> </w:t>
      </w:r>
      <w:r>
        <w:t>Human</w:t>
      </w:r>
      <w:r>
        <w:rPr>
          <w:spacing w:val="-9"/>
        </w:rPr>
        <w:t xml:space="preserve"> </w:t>
      </w:r>
      <w:r>
        <w:t>Rights</w:t>
      </w:r>
      <w:r>
        <w:rPr>
          <w:spacing w:val="-12"/>
        </w:rPr>
        <w:t xml:space="preserve"> </w:t>
      </w:r>
      <w:r>
        <w:t>Commission’s</w:t>
      </w:r>
      <w:r>
        <w:rPr>
          <w:spacing w:val="-12"/>
        </w:rPr>
        <w:t xml:space="preserve"> </w:t>
      </w:r>
      <w:r>
        <w:t>warning to</w:t>
      </w:r>
      <w:r>
        <w:rPr>
          <w:spacing w:val="-10"/>
        </w:rPr>
        <w:t xml:space="preserve"> </w:t>
      </w:r>
      <w:r>
        <w:t>the</w:t>
      </w:r>
      <w:r>
        <w:rPr>
          <w:spacing w:val="-9"/>
        </w:rPr>
        <w:t xml:space="preserve"> </w:t>
      </w:r>
      <w:r>
        <w:t>ACT</w:t>
      </w:r>
      <w:r>
        <w:rPr>
          <w:spacing w:val="-10"/>
        </w:rPr>
        <w:t xml:space="preserve"> </w:t>
      </w:r>
      <w:r>
        <w:t>Select</w:t>
      </w:r>
      <w:r>
        <w:rPr>
          <w:spacing w:val="-9"/>
        </w:rPr>
        <w:t xml:space="preserve"> </w:t>
      </w:r>
      <w:r>
        <w:t>Committee</w:t>
      </w:r>
      <w:r>
        <w:rPr>
          <w:spacing w:val="-9"/>
        </w:rPr>
        <w:t xml:space="preserve"> </w:t>
      </w:r>
      <w:r>
        <w:t>on</w:t>
      </w:r>
      <w:r>
        <w:rPr>
          <w:spacing w:val="-10"/>
        </w:rPr>
        <w:t xml:space="preserve"> </w:t>
      </w:r>
      <w:r>
        <w:t>the</w:t>
      </w:r>
      <w:r>
        <w:rPr>
          <w:spacing w:val="-9"/>
        </w:rPr>
        <w:t xml:space="preserve"> </w:t>
      </w:r>
      <w:r>
        <w:t>COVID-19</w:t>
      </w:r>
      <w:r>
        <w:rPr>
          <w:spacing w:val="-10"/>
        </w:rPr>
        <w:t xml:space="preserve"> </w:t>
      </w:r>
      <w:r>
        <w:t>Pandemic</w:t>
      </w:r>
      <w:r>
        <w:rPr>
          <w:spacing w:val="-9"/>
        </w:rPr>
        <w:t xml:space="preserve"> </w:t>
      </w:r>
      <w:r>
        <w:t>Response</w:t>
      </w:r>
      <w:r>
        <w:rPr>
          <w:spacing w:val="-9"/>
        </w:rPr>
        <w:t xml:space="preserve"> </w:t>
      </w:r>
      <w:r>
        <w:t>that</w:t>
      </w:r>
      <w:r>
        <w:rPr>
          <w:spacing w:val="-8"/>
        </w:rPr>
        <w:t xml:space="preserve"> </w:t>
      </w:r>
      <w:r>
        <w:t>close</w:t>
      </w:r>
      <w:r>
        <w:rPr>
          <w:spacing w:val="-9"/>
        </w:rPr>
        <w:t xml:space="preserve"> </w:t>
      </w:r>
      <w:r>
        <w:t>oversight</w:t>
      </w:r>
      <w:r>
        <w:rPr>
          <w:spacing w:val="-9"/>
        </w:rPr>
        <w:t xml:space="preserve"> </w:t>
      </w:r>
      <w:r>
        <w:t>of</w:t>
      </w:r>
      <w:r>
        <w:rPr>
          <w:spacing w:val="-9"/>
        </w:rPr>
        <w:t xml:space="preserve"> </w:t>
      </w:r>
      <w:r>
        <w:t>restrictions imposed</w:t>
      </w:r>
      <w:r>
        <w:rPr>
          <w:spacing w:val="-12"/>
        </w:rPr>
        <w:t xml:space="preserve"> </w:t>
      </w:r>
      <w:r>
        <w:t>by</w:t>
      </w:r>
      <w:r>
        <w:rPr>
          <w:spacing w:val="-10"/>
        </w:rPr>
        <w:t xml:space="preserve"> </w:t>
      </w:r>
      <w:r>
        <w:t>the</w:t>
      </w:r>
      <w:r>
        <w:rPr>
          <w:spacing w:val="-9"/>
        </w:rPr>
        <w:t xml:space="preserve"> </w:t>
      </w:r>
      <w:r>
        <w:t>Chief</w:t>
      </w:r>
      <w:r>
        <w:rPr>
          <w:spacing w:val="-9"/>
        </w:rPr>
        <w:t xml:space="preserve"> </w:t>
      </w:r>
      <w:r>
        <w:t>Health</w:t>
      </w:r>
      <w:r>
        <w:rPr>
          <w:spacing w:val="-10"/>
        </w:rPr>
        <w:t xml:space="preserve"> </w:t>
      </w:r>
      <w:r>
        <w:t>Officer</w:t>
      </w:r>
      <w:r>
        <w:rPr>
          <w:spacing w:val="-9"/>
        </w:rPr>
        <w:t xml:space="preserve"> </w:t>
      </w:r>
      <w:r>
        <w:t>was</w:t>
      </w:r>
      <w:r>
        <w:rPr>
          <w:spacing w:val="-10"/>
        </w:rPr>
        <w:t xml:space="preserve"> </w:t>
      </w:r>
      <w:r>
        <w:t>needed</w:t>
      </w:r>
      <w:r>
        <w:rPr>
          <w:spacing w:val="-9"/>
        </w:rPr>
        <w:t xml:space="preserve"> </w:t>
      </w:r>
      <w:r>
        <w:t>(where</w:t>
      </w:r>
      <w:r>
        <w:rPr>
          <w:spacing w:val="-10"/>
        </w:rPr>
        <w:t xml:space="preserve"> </w:t>
      </w:r>
      <w:r>
        <w:t>non-compliance</w:t>
      </w:r>
      <w:r>
        <w:rPr>
          <w:spacing w:val="-9"/>
        </w:rPr>
        <w:t xml:space="preserve"> </w:t>
      </w:r>
      <w:r>
        <w:t>could</w:t>
      </w:r>
      <w:r>
        <w:rPr>
          <w:spacing w:val="-12"/>
        </w:rPr>
        <w:t xml:space="preserve"> </w:t>
      </w:r>
      <w:r>
        <w:t>attract</w:t>
      </w:r>
      <w:r>
        <w:rPr>
          <w:spacing w:val="-11"/>
        </w:rPr>
        <w:t xml:space="preserve"> </w:t>
      </w:r>
      <w:r>
        <w:t>significant</w:t>
      </w:r>
      <w:r>
        <w:rPr>
          <w:spacing w:val="-11"/>
        </w:rPr>
        <w:t xml:space="preserve"> </w:t>
      </w:r>
      <w:r>
        <w:t>fines) to ensure those restrictions were limited to their purpose, featured suitable safeguards, and mitigated unforeseen consequences.</w:t>
      </w:r>
      <w:r>
        <w:rPr>
          <w:position w:val="7"/>
          <w:sz w:val="13"/>
        </w:rPr>
        <w:t>204</w:t>
      </w:r>
      <w:r>
        <w:rPr>
          <w:spacing w:val="40"/>
          <w:position w:val="7"/>
          <w:sz w:val="13"/>
        </w:rPr>
        <w:t xml:space="preserve"> </w:t>
      </w:r>
      <w:r>
        <w:t>The report also included recommendations in relation to greater transparency, with the Committee recommending that the ACT Government make publicly available all human rights compatibility statements with every public health directions made.</w:t>
      </w:r>
      <w:r>
        <w:rPr>
          <w:position w:val="6"/>
          <w:sz w:val="12"/>
        </w:rPr>
        <w:t>205</w:t>
      </w:r>
    </w:p>
    <w:p w14:paraId="7CB25EFB" w14:textId="77777777" w:rsidR="008A4099" w:rsidRDefault="006A6EE2">
      <w:pPr>
        <w:pStyle w:val="Heading4"/>
        <w:spacing w:before="235"/>
        <w:jc w:val="both"/>
      </w:pPr>
      <w:bookmarkStart w:id="19" w:name="_TOC_250041"/>
      <w:r>
        <w:t>Protection</w:t>
      </w:r>
      <w:r>
        <w:rPr>
          <w:spacing w:val="-3"/>
        </w:rPr>
        <w:t xml:space="preserve"> </w:t>
      </w:r>
      <w:r>
        <w:t xml:space="preserve">of </w:t>
      </w:r>
      <w:bookmarkEnd w:id="19"/>
      <w:r>
        <w:rPr>
          <w:spacing w:val="-2"/>
        </w:rPr>
        <w:t>privacy</w:t>
      </w:r>
    </w:p>
    <w:p w14:paraId="7CB25EFC" w14:textId="77777777" w:rsidR="008A4099" w:rsidRDefault="006A6EE2">
      <w:pPr>
        <w:pStyle w:val="ListParagraph"/>
        <w:numPr>
          <w:ilvl w:val="2"/>
          <w:numId w:val="6"/>
        </w:numPr>
        <w:tabs>
          <w:tab w:val="left" w:pos="879"/>
        </w:tabs>
        <w:spacing w:before="262" w:line="242" w:lineRule="auto"/>
        <w:ind w:right="674" w:firstLine="0"/>
        <w:jc w:val="both"/>
      </w:pPr>
      <w:r>
        <w:t>The right to privacy is one of the most well-traversed rights available under common law, specific legislation, and human rights frameworks. In the Review Period, concern has been generated by the allegedly unauthorised transfer of Tasmanian drivers’ licence photos to the National Driver Licence Facial Recognition Solution (‘NDLFRS’).</w:t>
      </w:r>
      <w:r>
        <w:rPr>
          <w:vertAlign w:val="superscript"/>
        </w:rPr>
        <w:t>206</w:t>
      </w:r>
      <w:r>
        <w:t xml:space="preserve"> Additional concerns arose in relation to the potential misuse of personal data submitted through the COVID-19 Check-In application for the purposes</w:t>
      </w:r>
      <w:r>
        <w:rPr>
          <w:spacing w:val="-1"/>
        </w:rPr>
        <w:t xml:space="preserve"> </w:t>
      </w:r>
      <w:r>
        <w:t>of</w:t>
      </w:r>
      <w:r>
        <w:rPr>
          <w:spacing w:val="-1"/>
        </w:rPr>
        <w:t xml:space="preserve"> </w:t>
      </w:r>
      <w:r>
        <w:t>contact</w:t>
      </w:r>
      <w:r>
        <w:rPr>
          <w:spacing w:val="-3"/>
        </w:rPr>
        <w:t xml:space="preserve"> </w:t>
      </w:r>
      <w:r>
        <w:t>tracing.</w:t>
      </w:r>
      <w:r>
        <w:rPr>
          <w:spacing w:val="-4"/>
        </w:rPr>
        <w:t xml:space="preserve"> </w:t>
      </w:r>
      <w:r>
        <w:t>Both</w:t>
      </w:r>
      <w:r>
        <w:rPr>
          <w:spacing w:val="-1"/>
        </w:rPr>
        <w:t xml:space="preserve"> </w:t>
      </w:r>
      <w:r>
        <w:t>issues</w:t>
      </w:r>
      <w:r>
        <w:rPr>
          <w:spacing w:val="-1"/>
        </w:rPr>
        <w:t xml:space="preserve"> </w:t>
      </w:r>
      <w:r>
        <w:t>have</w:t>
      </w:r>
      <w:r>
        <w:rPr>
          <w:spacing w:val="-1"/>
        </w:rPr>
        <w:t xml:space="preserve"> </w:t>
      </w:r>
      <w:r>
        <w:t>also</w:t>
      </w:r>
      <w:r>
        <w:rPr>
          <w:spacing w:val="-3"/>
        </w:rPr>
        <w:t xml:space="preserve"> </w:t>
      </w:r>
      <w:r>
        <w:t>arisen</w:t>
      </w:r>
      <w:r>
        <w:rPr>
          <w:spacing w:val="-1"/>
        </w:rPr>
        <w:t xml:space="preserve"> </w:t>
      </w:r>
      <w:r>
        <w:t>in</w:t>
      </w:r>
      <w:r>
        <w:rPr>
          <w:spacing w:val="-4"/>
        </w:rPr>
        <w:t xml:space="preserve"> </w:t>
      </w:r>
      <w:r>
        <w:t>jurisdictions</w:t>
      </w:r>
      <w:r>
        <w:rPr>
          <w:spacing w:val="-1"/>
        </w:rPr>
        <w:t xml:space="preserve"> </w:t>
      </w:r>
      <w:r>
        <w:t>with</w:t>
      </w:r>
      <w:r>
        <w:rPr>
          <w:spacing w:val="-1"/>
        </w:rPr>
        <w:t xml:space="preserve"> </w:t>
      </w:r>
      <w:r>
        <w:t>human</w:t>
      </w:r>
      <w:r>
        <w:rPr>
          <w:spacing w:val="-1"/>
        </w:rPr>
        <w:t xml:space="preserve"> </w:t>
      </w:r>
      <w:r>
        <w:t>rights</w:t>
      </w:r>
      <w:r>
        <w:rPr>
          <w:spacing w:val="-1"/>
        </w:rPr>
        <w:t xml:space="preserve"> </w:t>
      </w:r>
      <w:r>
        <w:t>legislation.</w:t>
      </w:r>
    </w:p>
    <w:p w14:paraId="7CB25EFD" w14:textId="77777777" w:rsidR="008A4099" w:rsidRDefault="006A6EE2">
      <w:pPr>
        <w:pStyle w:val="ListParagraph"/>
        <w:numPr>
          <w:ilvl w:val="2"/>
          <w:numId w:val="6"/>
        </w:numPr>
        <w:tabs>
          <w:tab w:val="left" w:pos="879"/>
        </w:tabs>
        <w:spacing w:before="219"/>
        <w:ind w:right="672" w:firstLine="0"/>
        <w:jc w:val="both"/>
      </w:pPr>
      <w:r>
        <w:t>In</w:t>
      </w:r>
      <w:r>
        <w:rPr>
          <w:spacing w:val="-7"/>
        </w:rPr>
        <w:t xml:space="preserve"> </w:t>
      </w:r>
      <w:r>
        <w:t>2017,</w:t>
      </w:r>
      <w:r>
        <w:rPr>
          <w:spacing w:val="-7"/>
        </w:rPr>
        <w:t xml:space="preserve"> </w:t>
      </w:r>
      <w:r>
        <w:t>the</w:t>
      </w:r>
      <w:r>
        <w:rPr>
          <w:spacing w:val="-7"/>
        </w:rPr>
        <w:t xml:space="preserve"> </w:t>
      </w:r>
      <w:r>
        <w:t>Tasmanian</w:t>
      </w:r>
      <w:r>
        <w:rPr>
          <w:spacing w:val="-7"/>
        </w:rPr>
        <w:t xml:space="preserve"> </w:t>
      </w:r>
      <w:r>
        <w:t>Government,</w:t>
      </w:r>
      <w:r>
        <w:rPr>
          <w:spacing w:val="-7"/>
        </w:rPr>
        <w:t xml:space="preserve"> </w:t>
      </w:r>
      <w:r>
        <w:t>along</w:t>
      </w:r>
      <w:r>
        <w:rPr>
          <w:spacing w:val="-7"/>
        </w:rPr>
        <w:t xml:space="preserve"> </w:t>
      </w:r>
      <w:r>
        <w:t>with</w:t>
      </w:r>
      <w:r>
        <w:rPr>
          <w:spacing w:val="-10"/>
        </w:rPr>
        <w:t xml:space="preserve"> </w:t>
      </w:r>
      <w:r>
        <w:t>the</w:t>
      </w:r>
      <w:r>
        <w:rPr>
          <w:spacing w:val="-7"/>
        </w:rPr>
        <w:t xml:space="preserve"> </w:t>
      </w:r>
      <w:r>
        <w:t>governments</w:t>
      </w:r>
      <w:r>
        <w:rPr>
          <w:spacing w:val="-6"/>
        </w:rPr>
        <w:t xml:space="preserve"> </w:t>
      </w:r>
      <w:r>
        <w:t>of</w:t>
      </w:r>
      <w:r>
        <w:rPr>
          <w:spacing w:val="-6"/>
        </w:rPr>
        <w:t xml:space="preserve"> </w:t>
      </w:r>
      <w:r>
        <w:t>all</w:t>
      </w:r>
      <w:r>
        <w:rPr>
          <w:spacing w:val="-6"/>
        </w:rPr>
        <w:t xml:space="preserve"> </w:t>
      </w:r>
      <w:r>
        <w:t>other</w:t>
      </w:r>
      <w:r>
        <w:rPr>
          <w:spacing w:val="-6"/>
        </w:rPr>
        <w:t xml:space="preserve"> </w:t>
      </w:r>
      <w:r>
        <w:t>Australian</w:t>
      </w:r>
      <w:r>
        <w:rPr>
          <w:spacing w:val="-7"/>
        </w:rPr>
        <w:t xml:space="preserve"> </w:t>
      </w:r>
      <w:r>
        <w:t xml:space="preserve">States and Territories and the federal government, entered into the Intergovernmental Agreement on Identity Matching Services. Commonwealth legislation proposed to administer the scheme, the </w:t>
      </w:r>
      <w:r>
        <w:rPr>
          <w:i/>
        </w:rPr>
        <w:t>Identity- matching</w:t>
      </w:r>
      <w:r>
        <w:rPr>
          <w:i/>
          <w:spacing w:val="-7"/>
        </w:rPr>
        <w:t xml:space="preserve"> </w:t>
      </w:r>
      <w:r>
        <w:rPr>
          <w:i/>
        </w:rPr>
        <w:t>Services</w:t>
      </w:r>
      <w:r>
        <w:rPr>
          <w:i/>
          <w:spacing w:val="-6"/>
        </w:rPr>
        <w:t xml:space="preserve"> </w:t>
      </w:r>
      <w:r>
        <w:rPr>
          <w:i/>
        </w:rPr>
        <w:t>Bill</w:t>
      </w:r>
      <w:r>
        <w:rPr>
          <w:i/>
          <w:spacing w:val="-6"/>
        </w:rPr>
        <w:t xml:space="preserve"> </w:t>
      </w:r>
      <w:r>
        <w:rPr>
          <w:i/>
        </w:rPr>
        <w:t>2019</w:t>
      </w:r>
      <w:r>
        <w:rPr>
          <w:i/>
          <w:spacing w:val="-5"/>
        </w:rPr>
        <w:t xml:space="preserve"> </w:t>
      </w:r>
      <w:r>
        <w:t>(Cth),</w:t>
      </w:r>
      <w:r>
        <w:rPr>
          <w:spacing w:val="-7"/>
        </w:rPr>
        <w:t xml:space="preserve"> </w:t>
      </w:r>
      <w:r>
        <w:t>was</w:t>
      </w:r>
      <w:r>
        <w:rPr>
          <w:spacing w:val="-9"/>
        </w:rPr>
        <w:t xml:space="preserve"> </w:t>
      </w:r>
      <w:r>
        <w:t>introduced</w:t>
      </w:r>
      <w:r>
        <w:rPr>
          <w:spacing w:val="-9"/>
        </w:rPr>
        <w:t xml:space="preserve"> </w:t>
      </w:r>
      <w:r>
        <w:t>in</w:t>
      </w:r>
      <w:r>
        <w:rPr>
          <w:spacing w:val="-10"/>
        </w:rPr>
        <w:t xml:space="preserve"> </w:t>
      </w:r>
      <w:r>
        <w:t>July</w:t>
      </w:r>
      <w:r>
        <w:rPr>
          <w:spacing w:val="-7"/>
        </w:rPr>
        <w:t xml:space="preserve"> </w:t>
      </w:r>
      <w:r>
        <w:t>2019,</w:t>
      </w:r>
      <w:r>
        <w:rPr>
          <w:spacing w:val="-7"/>
        </w:rPr>
        <w:t xml:space="preserve"> </w:t>
      </w:r>
      <w:r>
        <w:t>but</w:t>
      </w:r>
      <w:r>
        <w:rPr>
          <w:spacing w:val="-6"/>
        </w:rPr>
        <w:t xml:space="preserve"> </w:t>
      </w:r>
      <w:r>
        <w:t>has</w:t>
      </w:r>
      <w:r>
        <w:rPr>
          <w:spacing w:val="-6"/>
        </w:rPr>
        <w:t xml:space="preserve"> </w:t>
      </w:r>
      <w:r>
        <w:t>not</w:t>
      </w:r>
      <w:r>
        <w:rPr>
          <w:spacing w:val="-9"/>
        </w:rPr>
        <w:t xml:space="preserve"> </w:t>
      </w:r>
      <w:r>
        <w:t>been</w:t>
      </w:r>
      <w:r>
        <w:rPr>
          <w:spacing w:val="-10"/>
        </w:rPr>
        <w:t xml:space="preserve"> </w:t>
      </w:r>
      <w:r>
        <w:t>passed</w:t>
      </w:r>
      <w:r>
        <w:rPr>
          <w:spacing w:val="-10"/>
        </w:rPr>
        <w:t xml:space="preserve"> </w:t>
      </w:r>
      <w:r>
        <w:t>by</w:t>
      </w:r>
      <w:r>
        <w:rPr>
          <w:spacing w:val="-7"/>
        </w:rPr>
        <w:t xml:space="preserve"> </w:t>
      </w:r>
      <w:r>
        <w:t>Parliament. In Tasmania, regulations allowing the Registrar of Motor Vehicles to divulge information required by the</w:t>
      </w:r>
      <w:r>
        <w:rPr>
          <w:spacing w:val="-7"/>
        </w:rPr>
        <w:t xml:space="preserve"> </w:t>
      </w:r>
      <w:r>
        <w:t>Intergovernmental</w:t>
      </w:r>
      <w:r>
        <w:rPr>
          <w:spacing w:val="-5"/>
        </w:rPr>
        <w:t xml:space="preserve"> </w:t>
      </w:r>
      <w:r>
        <w:t>Agreement</w:t>
      </w:r>
      <w:r>
        <w:rPr>
          <w:spacing w:val="-6"/>
        </w:rPr>
        <w:t xml:space="preserve"> </w:t>
      </w:r>
      <w:r>
        <w:t>were</w:t>
      </w:r>
      <w:r>
        <w:rPr>
          <w:spacing w:val="-6"/>
        </w:rPr>
        <w:t xml:space="preserve"> </w:t>
      </w:r>
      <w:r>
        <w:t>made</w:t>
      </w:r>
      <w:r>
        <w:rPr>
          <w:spacing w:val="-9"/>
        </w:rPr>
        <w:t xml:space="preserve"> </w:t>
      </w:r>
      <w:r>
        <w:t>in</w:t>
      </w:r>
      <w:r>
        <w:rPr>
          <w:spacing w:val="-7"/>
        </w:rPr>
        <w:t xml:space="preserve"> </w:t>
      </w:r>
      <w:r>
        <w:t>December</w:t>
      </w:r>
      <w:r>
        <w:rPr>
          <w:spacing w:val="-6"/>
        </w:rPr>
        <w:t xml:space="preserve"> </w:t>
      </w:r>
      <w:r>
        <w:t>2017.</w:t>
      </w:r>
      <w:r>
        <w:rPr>
          <w:vertAlign w:val="superscript"/>
        </w:rPr>
        <w:t>207</w:t>
      </w:r>
      <w:r>
        <w:rPr>
          <w:spacing w:val="-7"/>
        </w:rPr>
        <w:t xml:space="preserve"> </w:t>
      </w:r>
      <w:r>
        <w:t>These</w:t>
      </w:r>
      <w:r>
        <w:rPr>
          <w:spacing w:val="-6"/>
        </w:rPr>
        <w:t xml:space="preserve"> </w:t>
      </w:r>
      <w:r>
        <w:t>regulations</w:t>
      </w:r>
      <w:r>
        <w:rPr>
          <w:spacing w:val="-9"/>
        </w:rPr>
        <w:t xml:space="preserve"> </w:t>
      </w:r>
      <w:r>
        <w:t>were</w:t>
      </w:r>
      <w:r>
        <w:rPr>
          <w:spacing w:val="-6"/>
        </w:rPr>
        <w:t xml:space="preserve"> </w:t>
      </w:r>
      <w:r>
        <w:t>not</w:t>
      </w:r>
      <w:r>
        <w:rPr>
          <w:spacing w:val="-6"/>
        </w:rPr>
        <w:t xml:space="preserve"> </w:t>
      </w:r>
      <w:r>
        <w:rPr>
          <w:spacing w:val="-2"/>
        </w:rPr>
        <w:t>subject</w:t>
      </w:r>
    </w:p>
    <w:p w14:paraId="7CB25EFE" w14:textId="77777777" w:rsidR="008A4099" w:rsidRDefault="006A6EE2">
      <w:pPr>
        <w:pStyle w:val="BodyText"/>
        <w:spacing w:before="78"/>
        <w:rPr>
          <w:sz w:val="20"/>
        </w:rPr>
      </w:pPr>
      <w:r>
        <w:rPr>
          <w:noProof/>
        </w:rPr>
        <mc:AlternateContent>
          <mc:Choice Requires="wps">
            <w:drawing>
              <wp:anchor distT="0" distB="0" distL="0" distR="0" simplePos="0" relativeHeight="487604224" behindDoc="1" locked="0" layoutInCell="1" allowOverlap="1" wp14:anchorId="7CB26619" wp14:editId="7CB2661A">
                <wp:simplePos x="0" y="0"/>
                <wp:positionH relativeFrom="page">
                  <wp:posOffset>914704</wp:posOffset>
                </wp:positionH>
                <wp:positionV relativeFrom="paragraph">
                  <wp:posOffset>211431</wp:posOffset>
                </wp:positionV>
                <wp:extent cx="1829435" cy="762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E7A56E" id="Graphic 74" o:spid="_x0000_s1026" style="position:absolute;margin-left:1in;margin-top:16.65pt;width:144.05pt;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" path="m1829054,l,,,7620r1829054,l1829054,xe" fillcolor="black" stroked="f">
                <v:path arrowok="t"/>
                <w10:wrap type="topAndBottom" anchorx="page"/>
              </v:shape>
            </w:pict>
          </mc:Fallback>
        </mc:AlternateContent>
      </w:r>
    </w:p>
    <w:p w14:paraId="7CB25EFF" w14:textId="77777777" w:rsidR="008A4099" w:rsidRDefault="006A6EE2">
      <w:pPr>
        <w:spacing w:before="96" w:line="207" w:lineRule="exact"/>
        <w:ind w:left="160"/>
        <w:rPr>
          <w:sz w:val="18"/>
        </w:rPr>
      </w:pPr>
      <w:r>
        <w:rPr>
          <w:i/>
          <w:sz w:val="18"/>
        </w:rPr>
        <w:t>Annual</w:t>
      </w:r>
      <w:r>
        <w:rPr>
          <w:i/>
          <w:spacing w:val="18"/>
          <w:sz w:val="18"/>
        </w:rPr>
        <w:t xml:space="preserve"> </w:t>
      </w:r>
      <w:r>
        <w:rPr>
          <w:i/>
          <w:sz w:val="18"/>
        </w:rPr>
        <w:t>Report</w:t>
      </w:r>
      <w:r>
        <w:rPr>
          <w:i/>
          <w:spacing w:val="18"/>
          <w:sz w:val="18"/>
        </w:rPr>
        <w:t xml:space="preserve"> </w:t>
      </w:r>
      <w:r>
        <w:rPr>
          <w:i/>
          <w:sz w:val="18"/>
        </w:rPr>
        <w:t>on</w:t>
      </w:r>
      <w:r>
        <w:rPr>
          <w:i/>
          <w:spacing w:val="19"/>
          <w:sz w:val="18"/>
        </w:rPr>
        <w:t xml:space="preserve"> </w:t>
      </w:r>
      <w:r>
        <w:rPr>
          <w:i/>
          <w:sz w:val="18"/>
        </w:rPr>
        <w:t>the</w:t>
      </w:r>
      <w:r>
        <w:rPr>
          <w:i/>
          <w:spacing w:val="17"/>
          <w:sz w:val="18"/>
        </w:rPr>
        <w:t xml:space="preserve"> </w:t>
      </w:r>
      <w:r>
        <w:rPr>
          <w:i/>
          <w:sz w:val="18"/>
        </w:rPr>
        <w:t>Operation</w:t>
      </w:r>
      <w:r>
        <w:rPr>
          <w:i/>
          <w:spacing w:val="17"/>
          <w:sz w:val="18"/>
        </w:rPr>
        <w:t xml:space="preserve"> </w:t>
      </w:r>
      <w:r>
        <w:rPr>
          <w:i/>
          <w:sz w:val="18"/>
        </w:rPr>
        <w:t>of</w:t>
      </w:r>
      <w:r>
        <w:rPr>
          <w:i/>
          <w:spacing w:val="18"/>
          <w:sz w:val="18"/>
        </w:rPr>
        <w:t xml:space="preserve"> </w:t>
      </w:r>
      <w:r>
        <w:rPr>
          <w:i/>
          <w:sz w:val="18"/>
        </w:rPr>
        <w:t>the</w:t>
      </w:r>
      <w:r>
        <w:rPr>
          <w:i/>
          <w:spacing w:val="17"/>
          <w:sz w:val="18"/>
        </w:rPr>
        <w:t xml:space="preserve"> </w:t>
      </w:r>
      <w:r>
        <w:rPr>
          <w:i/>
          <w:sz w:val="18"/>
        </w:rPr>
        <w:t>Human</w:t>
      </w:r>
      <w:r>
        <w:rPr>
          <w:i/>
          <w:spacing w:val="19"/>
          <w:sz w:val="18"/>
        </w:rPr>
        <w:t xml:space="preserve"> </w:t>
      </w:r>
      <w:r>
        <w:rPr>
          <w:i/>
          <w:sz w:val="18"/>
        </w:rPr>
        <w:t>Rights</w:t>
      </w:r>
      <w:r>
        <w:rPr>
          <w:i/>
          <w:spacing w:val="18"/>
          <w:sz w:val="18"/>
        </w:rPr>
        <w:t xml:space="preserve"> </w:t>
      </w:r>
      <w:r>
        <w:rPr>
          <w:i/>
          <w:sz w:val="18"/>
        </w:rPr>
        <w:t>Act</w:t>
      </w:r>
      <w:r>
        <w:rPr>
          <w:i/>
          <w:spacing w:val="18"/>
          <w:sz w:val="18"/>
        </w:rPr>
        <w:t xml:space="preserve"> </w:t>
      </w:r>
      <w:r>
        <w:rPr>
          <w:i/>
          <w:sz w:val="18"/>
        </w:rPr>
        <w:t>2019-2020</w:t>
      </w:r>
      <w:r>
        <w:rPr>
          <w:i/>
          <w:spacing w:val="20"/>
          <w:sz w:val="18"/>
        </w:rPr>
        <w:t xml:space="preserve"> </w:t>
      </w:r>
      <w:r>
        <w:rPr>
          <w:sz w:val="18"/>
        </w:rPr>
        <w:t>(Queensland</w:t>
      </w:r>
      <w:r>
        <w:rPr>
          <w:spacing w:val="19"/>
          <w:sz w:val="18"/>
        </w:rPr>
        <w:t xml:space="preserve"> </w:t>
      </w:r>
      <w:r>
        <w:rPr>
          <w:sz w:val="18"/>
        </w:rPr>
        <w:t>Human</w:t>
      </w:r>
      <w:r>
        <w:rPr>
          <w:spacing w:val="19"/>
          <w:sz w:val="18"/>
        </w:rPr>
        <w:t xml:space="preserve"> </w:t>
      </w:r>
      <w:r>
        <w:rPr>
          <w:sz w:val="18"/>
        </w:rPr>
        <w:t>Rights</w:t>
      </w:r>
      <w:r>
        <w:rPr>
          <w:spacing w:val="18"/>
          <w:sz w:val="18"/>
        </w:rPr>
        <w:t xml:space="preserve"> </w:t>
      </w:r>
      <w:r>
        <w:rPr>
          <w:sz w:val="18"/>
        </w:rPr>
        <w:t>Commission,</w:t>
      </w:r>
      <w:r>
        <w:rPr>
          <w:spacing w:val="19"/>
          <w:sz w:val="18"/>
        </w:rPr>
        <w:t xml:space="preserve"> </w:t>
      </w:r>
      <w:r>
        <w:rPr>
          <w:sz w:val="18"/>
        </w:rPr>
        <w:t>2020)</w:t>
      </w:r>
      <w:r>
        <w:rPr>
          <w:spacing w:val="19"/>
          <w:sz w:val="18"/>
        </w:rPr>
        <w:t xml:space="preserve"> </w:t>
      </w:r>
      <w:r>
        <w:rPr>
          <w:spacing w:val="-5"/>
          <w:sz w:val="18"/>
        </w:rPr>
        <w:t>11</w:t>
      </w:r>
    </w:p>
    <w:p w14:paraId="7CB25F00" w14:textId="77777777" w:rsidR="008A4099" w:rsidRDefault="006A6EE2">
      <w:pPr>
        <w:spacing w:line="207" w:lineRule="exact"/>
        <w:ind w:left="160"/>
        <w:rPr>
          <w:sz w:val="18"/>
        </w:rPr>
      </w:pPr>
      <w:r>
        <w:rPr>
          <w:sz w:val="18"/>
        </w:rPr>
        <w:t>&lt;https://</w:t>
      </w:r>
      <w:hyperlink r:id="rId96">
        <w:r>
          <w:rPr>
            <w:sz w:val="18"/>
          </w:rPr>
          <w:t>www.qhrc.qld.gov.au/</w:t>
        </w:r>
      </w:hyperlink>
      <w:r>
        <w:rPr>
          <w:spacing w:val="34"/>
          <w:sz w:val="18"/>
          <w:u w:val="single"/>
        </w:rPr>
        <w:t xml:space="preserve">  </w:t>
      </w:r>
      <w:r>
        <w:rPr>
          <w:sz w:val="18"/>
        </w:rPr>
        <w:t>data/assets/pdf_file/0005/29534/Human-Rights-Act-Annual-Report-2019-</w:t>
      </w:r>
      <w:r>
        <w:rPr>
          <w:spacing w:val="-2"/>
          <w:sz w:val="18"/>
        </w:rPr>
        <w:t>20.pdf&gt;.</w:t>
      </w:r>
    </w:p>
    <w:p w14:paraId="7CB25F01" w14:textId="77777777" w:rsidR="008A4099" w:rsidRDefault="006A6EE2">
      <w:pPr>
        <w:spacing w:before="18" w:line="242" w:lineRule="auto"/>
        <w:ind w:left="160" w:right="676"/>
        <w:jc w:val="both"/>
        <w:rPr>
          <w:sz w:val="18"/>
        </w:rPr>
      </w:pPr>
      <w:r>
        <w:rPr>
          <w:sz w:val="18"/>
          <w:vertAlign w:val="superscript"/>
        </w:rPr>
        <w:t>202</w:t>
      </w:r>
      <w:r>
        <w:rPr>
          <w:spacing w:val="-9"/>
          <w:sz w:val="18"/>
        </w:rPr>
        <w:t xml:space="preserve"> </w:t>
      </w:r>
      <w:r>
        <w:rPr>
          <w:sz w:val="18"/>
        </w:rPr>
        <w:t>Queensland</w:t>
      </w:r>
      <w:r>
        <w:rPr>
          <w:spacing w:val="-10"/>
          <w:sz w:val="18"/>
        </w:rPr>
        <w:t xml:space="preserve"> </w:t>
      </w:r>
      <w:r>
        <w:rPr>
          <w:sz w:val="18"/>
        </w:rPr>
        <w:t>Human</w:t>
      </w:r>
      <w:r>
        <w:rPr>
          <w:spacing w:val="-8"/>
          <w:sz w:val="18"/>
        </w:rPr>
        <w:t xml:space="preserve"> </w:t>
      </w:r>
      <w:r>
        <w:rPr>
          <w:sz w:val="18"/>
        </w:rPr>
        <w:t>Rights</w:t>
      </w:r>
      <w:r>
        <w:rPr>
          <w:spacing w:val="-9"/>
          <w:sz w:val="18"/>
        </w:rPr>
        <w:t xml:space="preserve"> </w:t>
      </w:r>
      <w:r>
        <w:rPr>
          <w:sz w:val="18"/>
        </w:rPr>
        <w:t>Commission,</w:t>
      </w:r>
      <w:r>
        <w:rPr>
          <w:spacing w:val="-9"/>
          <w:sz w:val="18"/>
        </w:rPr>
        <w:t xml:space="preserve"> </w:t>
      </w:r>
      <w:r>
        <w:rPr>
          <w:sz w:val="18"/>
        </w:rPr>
        <w:t>‘Submission</w:t>
      </w:r>
      <w:r>
        <w:rPr>
          <w:spacing w:val="-10"/>
          <w:sz w:val="18"/>
        </w:rPr>
        <w:t xml:space="preserve"> </w:t>
      </w:r>
      <w:r>
        <w:rPr>
          <w:sz w:val="18"/>
        </w:rPr>
        <w:t>to</w:t>
      </w:r>
      <w:r>
        <w:rPr>
          <w:spacing w:val="-8"/>
          <w:sz w:val="18"/>
        </w:rPr>
        <w:t xml:space="preserve"> </w:t>
      </w:r>
      <w:r>
        <w:rPr>
          <w:sz w:val="18"/>
        </w:rPr>
        <w:t>Queensland</w:t>
      </w:r>
      <w:r>
        <w:rPr>
          <w:spacing w:val="-10"/>
          <w:sz w:val="18"/>
        </w:rPr>
        <w:t xml:space="preserve"> </w:t>
      </w:r>
      <w:r>
        <w:rPr>
          <w:sz w:val="18"/>
        </w:rPr>
        <w:t>Parliament,</w:t>
      </w:r>
      <w:r>
        <w:rPr>
          <w:spacing w:val="-8"/>
          <w:sz w:val="18"/>
        </w:rPr>
        <w:t xml:space="preserve"> </w:t>
      </w:r>
      <w:r>
        <w:rPr>
          <w:sz w:val="18"/>
        </w:rPr>
        <w:t>Health,</w:t>
      </w:r>
      <w:r>
        <w:rPr>
          <w:spacing w:val="-11"/>
          <w:sz w:val="18"/>
        </w:rPr>
        <w:t xml:space="preserve"> </w:t>
      </w:r>
      <w:r>
        <w:rPr>
          <w:sz w:val="18"/>
        </w:rPr>
        <w:t>Communities,</w:t>
      </w:r>
      <w:r>
        <w:rPr>
          <w:spacing w:val="-9"/>
          <w:sz w:val="18"/>
        </w:rPr>
        <w:t xml:space="preserve"> </w:t>
      </w:r>
      <w:r>
        <w:rPr>
          <w:sz w:val="18"/>
        </w:rPr>
        <w:t>Disability</w:t>
      </w:r>
      <w:r>
        <w:rPr>
          <w:spacing w:val="-10"/>
          <w:sz w:val="18"/>
        </w:rPr>
        <w:t xml:space="preserve"> </w:t>
      </w:r>
      <w:r>
        <w:rPr>
          <w:sz w:val="18"/>
        </w:rPr>
        <w:t>Services and Domestic and Family Violence Prevention Committee, Inquiry into the Queensland Government’s Health Response to COVID-19’ (6 July 2020) 2, 3–4 &lt;https://</w:t>
      </w:r>
      <w:hyperlink r:id="rId97">
        <w:r>
          <w:rPr>
            <w:sz w:val="18"/>
          </w:rPr>
          <w:t>www.qhrc.qld.gov.au/resources/submissions&gt;</w:t>
        </w:r>
      </w:hyperlink>
      <w:r>
        <w:rPr>
          <w:sz w:val="18"/>
        </w:rPr>
        <w:t>. For a detailed discussion of the impact</w:t>
      </w:r>
      <w:r>
        <w:rPr>
          <w:spacing w:val="22"/>
          <w:sz w:val="18"/>
        </w:rPr>
        <w:t xml:space="preserve"> </w:t>
      </w:r>
      <w:r>
        <w:rPr>
          <w:sz w:val="18"/>
        </w:rPr>
        <w:t>of</w:t>
      </w:r>
      <w:r>
        <w:rPr>
          <w:spacing w:val="22"/>
          <w:sz w:val="18"/>
        </w:rPr>
        <w:t xml:space="preserve"> </w:t>
      </w:r>
      <w:r>
        <w:rPr>
          <w:sz w:val="18"/>
        </w:rPr>
        <w:t>reduced</w:t>
      </w:r>
      <w:r>
        <w:rPr>
          <w:spacing w:val="21"/>
          <w:sz w:val="18"/>
        </w:rPr>
        <w:t xml:space="preserve"> </w:t>
      </w:r>
      <w:r>
        <w:rPr>
          <w:sz w:val="18"/>
        </w:rPr>
        <w:t>scrutiny,</w:t>
      </w:r>
      <w:r>
        <w:rPr>
          <w:spacing w:val="22"/>
          <w:sz w:val="18"/>
        </w:rPr>
        <w:t xml:space="preserve"> </w:t>
      </w:r>
      <w:r>
        <w:rPr>
          <w:sz w:val="18"/>
        </w:rPr>
        <w:t>see</w:t>
      </w:r>
      <w:r>
        <w:rPr>
          <w:spacing w:val="19"/>
          <w:sz w:val="18"/>
        </w:rPr>
        <w:t xml:space="preserve"> </w:t>
      </w:r>
      <w:r>
        <w:rPr>
          <w:sz w:val="18"/>
        </w:rPr>
        <w:t>Peta</w:t>
      </w:r>
      <w:r>
        <w:rPr>
          <w:spacing w:val="22"/>
          <w:sz w:val="18"/>
        </w:rPr>
        <w:t xml:space="preserve"> </w:t>
      </w:r>
      <w:r>
        <w:rPr>
          <w:sz w:val="18"/>
        </w:rPr>
        <w:t>Stephenson</w:t>
      </w:r>
      <w:r>
        <w:rPr>
          <w:spacing w:val="23"/>
          <w:sz w:val="18"/>
        </w:rPr>
        <w:t xml:space="preserve"> </w:t>
      </w:r>
      <w:r>
        <w:rPr>
          <w:sz w:val="18"/>
        </w:rPr>
        <w:t>and</w:t>
      </w:r>
      <w:r>
        <w:rPr>
          <w:spacing w:val="23"/>
          <w:sz w:val="18"/>
        </w:rPr>
        <w:t xml:space="preserve"> </w:t>
      </w:r>
      <w:r>
        <w:rPr>
          <w:sz w:val="18"/>
        </w:rPr>
        <w:t>Jonathan</w:t>
      </w:r>
      <w:r>
        <w:rPr>
          <w:spacing w:val="23"/>
          <w:sz w:val="18"/>
        </w:rPr>
        <w:t xml:space="preserve"> </w:t>
      </w:r>
      <w:r>
        <w:rPr>
          <w:sz w:val="18"/>
        </w:rPr>
        <w:t>Crowe,</w:t>
      </w:r>
      <w:r>
        <w:rPr>
          <w:spacing w:val="22"/>
          <w:sz w:val="18"/>
        </w:rPr>
        <w:t xml:space="preserve"> </w:t>
      </w:r>
      <w:r>
        <w:rPr>
          <w:sz w:val="18"/>
        </w:rPr>
        <w:t>‘Queensland</w:t>
      </w:r>
      <w:r>
        <w:rPr>
          <w:spacing w:val="21"/>
          <w:sz w:val="18"/>
        </w:rPr>
        <w:t xml:space="preserve"> </w:t>
      </w:r>
      <w:r>
        <w:rPr>
          <w:sz w:val="18"/>
        </w:rPr>
        <w:t>Public</w:t>
      </w:r>
      <w:r>
        <w:rPr>
          <w:spacing w:val="21"/>
          <w:sz w:val="18"/>
        </w:rPr>
        <w:t xml:space="preserve"> </w:t>
      </w:r>
      <w:r>
        <w:rPr>
          <w:sz w:val="18"/>
        </w:rPr>
        <w:t>Health</w:t>
      </w:r>
      <w:r>
        <w:rPr>
          <w:spacing w:val="23"/>
          <w:sz w:val="18"/>
        </w:rPr>
        <w:t xml:space="preserve"> </w:t>
      </w:r>
      <w:r>
        <w:rPr>
          <w:sz w:val="18"/>
        </w:rPr>
        <w:t>Laws</w:t>
      </w:r>
      <w:r>
        <w:rPr>
          <w:spacing w:val="21"/>
          <w:sz w:val="18"/>
        </w:rPr>
        <w:t xml:space="preserve"> </w:t>
      </w:r>
      <w:r>
        <w:rPr>
          <w:sz w:val="18"/>
        </w:rPr>
        <w:t>and</w:t>
      </w:r>
      <w:r>
        <w:rPr>
          <w:spacing w:val="23"/>
          <w:sz w:val="18"/>
        </w:rPr>
        <w:t xml:space="preserve"> </w:t>
      </w:r>
      <w:r>
        <w:rPr>
          <w:sz w:val="18"/>
        </w:rPr>
        <w:t xml:space="preserve">COVID-19: A Challenge to the Rule of Law?’ </w:t>
      </w:r>
      <w:r>
        <w:rPr>
          <w:i/>
          <w:sz w:val="18"/>
        </w:rPr>
        <w:t xml:space="preserve">Australian Public Law </w:t>
      </w:r>
      <w:r>
        <w:rPr>
          <w:sz w:val="18"/>
        </w:rPr>
        <w:t>(Blog Post, 21 August 2020)</w:t>
      </w:r>
    </w:p>
    <w:p w14:paraId="7CB25F02" w14:textId="77777777" w:rsidR="008A4099" w:rsidRDefault="006A6EE2">
      <w:pPr>
        <w:spacing w:line="201" w:lineRule="exact"/>
        <w:ind w:left="160"/>
        <w:rPr>
          <w:sz w:val="18"/>
        </w:rPr>
      </w:pPr>
      <w:r>
        <w:rPr>
          <w:spacing w:val="-2"/>
          <w:sz w:val="18"/>
        </w:rPr>
        <w:t>&lt;https://auspublaw.org/2020/08/queensland-public-health-laws-and-covid-19-a-challenge-to-the-rule-of-law/&gt;.</w:t>
      </w:r>
    </w:p>
    <w:p w14:paraId="7CB25F03" w14:textId="77777777" w:rsidR="008A4099" w:rsidRDefault="006A6EE2">
      <w:pPr>
        <w:spacing w:before="19" w:line="242" w:lineRule="auto"/>
        <w:ind w:left="160" w:right="675"/>
        <w:jc w:val="both"/>
        <w:rPr>
          <w:sz w:val="18"/>
        </w:rPr>
      </w:pPr>
      <w:r>
        <w:rPr>
          <w:sz w:val="18"/>
          <w:vertAlign w:val="superscript"/>
        </w:rPr>
        <w:t>203</w:t>
      </w:r>
      <w:r>
        <w:rPr>
          <w:sz w:val="18"/>
        </w:rPr>
        <w:t xml:space="preserve"> In Victoria,</w:t>
      </w:r>
      <w:r>
        <w:rPr>
          <w:spacing w:val="-1"/>
          <w:sz w:val="18"/>
        </w:rPr>
        <w:t xml:space="preserve"> </w:t>
      </w:r>
      <w:r>
        <w:rPr>
          <w:sz w:val="18"/>
        </w:rPr>
        <w:t>for</w:t>
      </w:r>
      <w:r>
        <w:rPr>
          <w:spacing w:val="-1"/>
          <w:sz w:val="18"/>
        </w:rPr>
        <w:t xml:space="preserve"> </w:t>
      </w:r>
      <w:r>
        <w:rPr>
          <w:sz w:val="18"/>
        </w:rPr>
        <w:t>example,</w:t>
      </w:r>
      <w:r>
        <w:rPr>
          <w:spacing w:val="-1"/>
          <w:sz w:val="18"/>
        </w:rPr>
        <w:t xml:space="preserve"> </w:t>
      </w:r>
      <w:r>
        <w:rPr>
          <w:sz w:val="18"/>
        </w:rPr>
        <w:t>directions were made under</w:t>
      </w:r>
      <w:r>
        <w:rPr>
          <w:spacing w:val="-1"/>
          <w:sz w:val="18"/>
        </w:rPr>
        <w:t xml:space="preserve"> </w:t>
      </w:r>
      <w:r>
        <w:rPr>
          <w:sz w:val="18"/>
        </w:rPr>
        <w:t xml:space="preserve">the </w:t>
      </w:r>
      <w:r>
        <w:rPr>
          <w:i/>
          <w:sz w:val="18"/>
        </w:rPr>
        <w:t>Public Health and Wellbeing Act</w:t>
      </w:r>
      <w:r>
        <w:rPr>
          <w:i/>
          <w:spacing w:val="-1"/>
          <w:sz w:val="18"/>
        </w:rPr>
        <w:t xml:space="preserve"> </w:t>
      </w:r>
      <w:r>
        <w:rPr>
          <w:i/>
          <w:sz w:val="18"/>
        </w:rPr>
        <w:t xml:space="preserve">2008 </w:t>
      </w:r>
      <w:r>
        <w:rPr>
          <w:sz w:val="18"/>
        </w:rPr>
        <w:t>(Vic). The</w:t>
      </w:r>
      <w:r>
        <w:rPr>
          <w:spacing w:val="-2"/>
          <w:sz w:val="18"/>
        </w:rPr>
        <w:t xml:space="preserve"> </w:t>
      </w:r>
      <w:r>
        <w:rPr>
          <w:sz w:val="18"/>
        </w:rPr>
        <w:t>declaration of a public health emergency</w:t>
      </w:r>
      <w:r>
        <w:rPr>
          <w:spacing w:val="-1"/>
          <w:sz w:val="18"/>
        </w:rPr>
        <w:t xml:space="preserve"> </w:t>
      </w:r>
      <w:r>
        <w:rPr>
          <w:sz w:val="18"/>
        </w:rPr>
        <w:t>under</w:t>
      </w:r>
      <w:r>
        <w:rPr>
          <w:spacing w:val="-2"/>
          <w:sz w:val="18"/>
        </w:rPr>
        <w:t xml:space="preserve"> </w:t>
      </w:r>
      <w:r>
        <w:rPr>
          <w:sz w:val="18"/>
        </w:rPr>
        <w:t>s 23</w:t>
      </w:r>
      <w:r>
        <w:rPr>
          <w:spacing w:val="-1"/>
          <w:sz w:val="18"/>
        </w:rPr>
        <w:t xml:space="preserve"> </w:t>
      </w:r>
      <w:r>
        <w:rPr>
          <w:sz w:val="18"/>
        </w:rPr>
        <w:t xml:space="preserve">of the </w:t>
      </w:r>
      <w:r>
        <w:rPr>
          <w:i/>
          <w:sz w:val="18"/>
        </w:rPr>
        <w:t xml:space="preserve">Emergency Management Act 1986 </w:t>
      </w:r>
      <w:r>
        <w:rPr>
          <w:sz w:val="18"/>
        </w:rPr>
        <w:t>(Vic) is</w:t>
      </w:r>
      <w:r>
        <w:rPr>
          <w:spacing w:val="-2"/>
          <w:sz w:val="18"/>
        </w:rPr>
        <w:t xml:space="preserve"> </w:t>
      </w:r>
      <w:r>
        <w:rPr>
          <w:sz w:val="18"/>
        </w:rPr>
        <w:t>expressly</w:t>
      </w:r>
      <w:r>
        <w:rPr>
          <w:spacing w:val="-1"/>
          <w:sz w:val="18"/>
        </w:rPr>
        <w:t xml:space="preserve"> </w:t>
      </w:r>
      <w:r>
        <w:rPr>
          <w:sz w:val="18"/>
        </w:rPr>
        <w:t>exempted from</w:t>
      </w:r>
      <w:r>
        <w:rPr>
          <w:spacing w:val="-1"/>
          <w:sz w:val="18"/>
        </w:rPr>
        <w:t xml:space="preserve"> </w:t>
      </w:r>
      <w:r>
        <w:rPr>
          <w:sz w:val="18"/>
        </w:rPr>
        <w:t>scrutiny</w:t>
      </w:r>
      <w:r>
        <w:rPr>
          <w:spacing w:val="-1"/>
          <w:sz w:val="18"/>
        </w:rPr>
        <w:t xml:space="preserve"> </w:t>
      </w:r>
      <w:r>
        <w:rPr>
          <w:sz w:val="18"/>
        </w:rPr>
        <w:t>by the</w:t>
      </w:r>
      <w:r>
        <w:rPr>
          <w:spacing w:val="-10"/>
          <w:sz w:val="18"/>
        </w:rPr>
        <w:t xml:space="preserve"> </w:t>
      </w:r>
      <w:r>
        <w:rPr>
          <w:sz w:val="18"/>
        </w:rPr>
        <w:t>Scrutiny</w:t>
      </w:r>
      <w:r>
        <w:rPr>
          <w:spacing w:val="-10"/>
          <w:sz w:val="18"/>
        </w:rPr>
        <w:t xml:space="preserve"> </w:t>
      </w:r>
      <w:r>
        <w:rPr>
          <w:sz w:val="18"/>
        </w:rPr>
        <w:t>of</w:t>
      </w:r>
      <w:r>
        <w:rPr>
          <w:spacing w:val="-9"/>
          <w:sz w:val="18"/>
        </w:rPr>
        <w:t xml:space="preserve"> </w:t>
      </w:r>
      <w:r>
        <w:rPr>
          <w:sz w:val="18"/>
        </w:rPr>
        <w:t>Acts</w:t>
      </w:r>
      <w:r>
        <w:rPr>
          <w:spacing w:val="-9"/>
          <w:sz w:val="18"/>
        </w:rPr>
        <w:t xml:space="preserve"> </w:t>
      </w:r>
      <w:r>
        <w:rPr>
          <w:sz w:val="18"/>
        </w:rPr>
        <w:t>and</w:t>
      </w:r>
      <w:r>
        <w:rPr>
          <w:spacing w:val="-8"/>
          <w:sz w:val="18"/>
        </w:rPr>
        <w:t xml:space="preserve"> </w:t>
      </w:r>
      <w:r>
        <w:rPr>
          <w:sz w:val="18"/>
        </w:rPr>
        <w:t>Regulations</w:t>
      </w:r>
      <w:r>
        <w:rPr>
          <w:spacing w:val="-10"/>
          <w:sz w:val="18"/>
        </w:rPr>
        <w:t xml:space="preserve"> </w:t>
      </w:r>
      <w:r>
        <w:rPr>
          <w:sz w:val="18"/>
        </w:rPr>
        <w:t>Committee</w:t>
      </w:r>
      <w:r>
        <w:rPr>
          <w:spacing w:val="-7"/>
          <w:sz w:val="18"/>
        </w:rPr>
        <w:t xml:space="preserve"> </w:t>
      </w:r>
      <w:r>
        <w:rPr>
          <w:sz w:val="18"/>
        </w:rPr>
        <w:t>(r</w:t>
      </w:r>
      <w:r>
        <w:rPr>
          <w:spacing w:val="-9"/>
          <w:sz w:val="18"/>
        </w:rPr>
        <w:t xml:space="preserve"> </w:t>
      </w:r>
      <w:r>
        <w:rPr>
          <w:sz w:val="18"/>
        </w:rPr>
        <w:t>9</w:t>
      </w:r>
      <w:r>
        <w:rPr>
          <w:spacing w:val="-8"/>
          <w:sz w:val="18"/>
        </w:rPr>
        <w:t xml:space="preserve"> </w:t>
      </w:r>
      <w:r>
        <w:rPr>
          <w:sz w:val="18"/>
        </w:rPr>
        <w:t>of</w:t>
      </w:r>
      <w:r>
        <w:rPr>
          <w:spacing w:val="-9"/>
          <w:sz w:val="18"/>
        </w:rPr>
        <w:t xml:space="preserve"> </w:t>
      </w:r>
      <w:r>
        <w:rPr>
          <w:sz w:val="18"/>
        </w:rPr>
        <w:t>the</w:t>
      </w:r>
      <w:r>
        <w:rPr>
          <w:spacing w:val="-9"/>
          <w:sz w:val="18"/>
        </w:rPr>
        <w:t xml:space="preserve"> </w:t>
      </w:r>
      <w:r>
        <w:rPr>
          <w:sz w:val="18"/>
        </w:rPr>
        <w:t>Subordinate</w:t>
      </w:r>
      <w:r>
        <w:rPr>
          <w:spacing w:val="-10"/>
          <w:sz w:val="18"/>
        </w:rPr>
        <w:t xml:space="preserve"> </w:t>
      </w:r>
      <w:r>
        <w:rPr>
          <w:sz w:val="18"/>
        </w:rPr>
        <w:t>Legislation</w:t>
      </w:r>
      <w:r>
        <w:rPr>
          <w:spacing w:val="-8"/>
          <w:sz w:val="18"/>
        </w:rPr>
        <w:t xml:space="preserve"> </w:t>
      </w:r>
      <w:r>
        <w:rPr>
          <w:sz w:val="18"/>
        </w:rPr>
        <w:t>(Legislative</w:t>
      </w:r>
      <w:r>
        <w:rPr>
          <w:spacing w:val="-10"/>
          <w:sz w:val="18"/>
        </w:rPr>
        <w:t xml:space="preserve"> </w:t>
      </w:r>
      <w:r>
        <w:rPr>
          <w:sz w:val="18"/>
        </w:rPr>
        <w:t>Instruments)</w:t>
      </w:r>
      <w:r>
        <w:rPr>
          <w:spacing w:val="-6"/>
          <w:sz w:val="18"/>
        </w:rPr>
        <w:t xml:space="preserve"> </w:t>
      </w:r>
      <w:r>
        <w:rPr>
          <w:sz w:val="18"/>
        </w:rPr>
        <w:t>Regulation</w:t>
      </w:r>
      <w:r>
        <w:rPr>
          <w:spacing w:val="-10"/>
          <w:sz w:val="18"/>
        </w:rPr>
        <w:t xml:space="preserve"> </w:t>
      </w:r>
      <w:r>
        <w:rPr>
          <w:sz w:val="18"/>
        </w:rPr>
        <w:t xml:space="preserve">2011 (Vic); s 4A(1)(c)) of the </w:t>
      </w:r>
      <w:r>
        <w:rPr>
          <w:i/>
          <w:sz w:val="18"/>
        </w:rPr>
        <w:t xml:space="preserve">Subordinate Legislation Act 1994 </w:t>
      </w:r>
      <w:r>
        <w:rPr>
          <w:sz w:val="18"/>
        </w:rPr>
        <w:t xml:space="preserve">(Vic) allows regulations to exempt a legislative instrument, or a class of legislative instruments, from the scrutiny provisions of the </w:t>
      </w:r>
      <w:r>
        <w:rPr>
          <w:i/>
          <w:sz w:val="18"/>
        </w:rPr>
        <w:t xml:space="preserve">Subordinate Legislation Act 1994 </w:t>
      </w:r>
      <w:r>
        <w:rPr>
          <w:sz w:val="18"/>
        </w:rPr>
        <w:t>(Vic).</w:t>
      </w:r>
    </w:p>
    <w:p w14:paraId="7CB25F04" w14:textId="77777777" w:rsidR="008A4099" w:rsidRDefault="006A6EE2">
      <w:pPr>
        <w:spacing w:before="14" w:line="244" w:lineRule="auto"/>
        <w:ind w:left="160" w:right="676"/>
        <w:jc w:val="both"/>
        <w:rPr>
          <w:sz w:val="18"/>
        </w:rPr>
      </w:pPr>
      <w:r>
        <w:rPr>
          <w:sz w:val="18"/>
          <w:vertAlign w:val="superscript"/>
        </w:rPr>
        <w:t>204</w:t>
      </w:r>
      <w:r>
        <w:rPr>
          <w:sz w:val="18"/>
        </w:rPr>
        <w:t xml:space="preserve"> Human Rights Commission (ACT), Submission No 10 to Select Committee on the COVID-19 Pandemic, </w:t>
      </w:r>
      <w:r>
        <w:rPr>
          <w:i/>
          <w:sz w:val="18"/>
        </w:rPr>
        <w:t xml:space="preserve">COVID-19 Pandemic Response </w:t>
      </w:r>
      <w:r>
        <w:rPr>
          <w:sz w:val="18"/>
        </w:rPr>
        <w:t>(19 May 2020) [9]–[10].</w:t>
      </w:r>
    </w:p>
    <w:p w14:paraId="7CB25F05" w14:textId="77777777" w:rsidR="008A4099" w:rsidRDefault="006A6EE2">
      <w:pPr>
        <w:spacing w:before="14" w:line="244" w:lineRule="auto"/>
        <w:ind w:left="160" w:right="676"/>
        <w:jc w:val="both"/>
        <w:rPr>
          <w:sz w:val="18"/>
        </w:rPr>
      </w:pPr>
      <w:r>
        <w:rPr>
          <w:sz w:val="18"/>
          <w:vertAlign w:val="superscript"/>
        </w:rPr>
        <w:t>205</w:t>
      </w:r>
      <w:r>
        <w:rPr>
          <w:sz w:val="18"/>
        </w:rPr>
        <w:t xml:space="preserve"> Legislative Assembly for the Australian Capital Territory, Select Committee on the COVID-19 Pandemic, </w:t>
      </w:r>
      <w:r>
        <w:rPr>
          <w:i/>
          <w:sz w:val="18"/>
        </w:rPr>
        <w:t xml:space="preserve">COVID-19 Pandemic Response </w:t>
      </w:r>
      <w:r>
        <w:rPr>
          <w:sz w:val="18"/>
        </w:rPr>
        <w:t>(2021) Recommendation 1</w:t>
      </w:r>
    </w:p>
    <w:p w14:paraId="7CB25F06" w14:textId="77777777" w:rsidR="008A4099" w:rsidRDefault="006A6EE2">
      <w:pPr>
        <w:ind w:left="160" w:right="1300"/>
        <w:rPr>
          <w:sz w:val="18"/>
        </w:rPr>
      </w:pPr>
      <w:r>
        <w:rPr>
          <w:sz w:val="18"/>
        </w:rPr>
        <w:t>&lt;https://</w:t>
      </w:r>
      <w:hyperlink r:id="rId98">
        <w:r>
          <w:rPr>
            <w:sz w:val="18"/>
          </w:rPr>
          <w:t>www.parliament.act.gov.au/</w:t>
        </w:r>
      </w:hyperlink>
      <w:r>
        <w:rPr>
          <w:spacing w:val="80"/>
          <w:sz w:val="18"/>
          <w:u w:val="single"/>
        </w:rPr>
        <w:t xml:space="preserve"> </w:t>
      </w:r>
      <w:r>
        <w:rPr>
          <w:sz w:val="18"/>
        </w:rPr>
        <w:t xml:space="preserve">data/assets/pdf_file/0017/1910132/Report-Inquiry-into-the-COVID-19-2021- </w:t>
      </w:r>
      <w:r>
        <w:rPr>
          <w:spacing w:val="-2"/>
          <w:sz w:val="18"/>
        </w:rPr>
        <w:t>pandemic-response-.pdf&gt;.</w:t>
      </w:r>
    </w:p>
    <w:p w14:paraId="7CB25F07" w14:textId="77777777" w:rsidR="008A4099" w:rsidRDefault="006A6EE2">
      <w:pPr>
        <w:spacing w:before="16" w:line="242" w:lineRule="auto"/>
        <w:ind w:left="160" w:right="673"/>
        <w:jc w:val="both"/>
        <w:rPr>
          <w:sz w:val="18"/>
        </w:rPr>
      </w:pPr>
      <w:r>
        <w:rPr>
          <w:sz w:val="18"/>
          <w:vertAlign w:val="superscript"/>
        </w:rPr>
        <w:t>206</w:t>
      </w:r>
      <w:r>
        <w:rPr>
          <w:sz w:val="18"/>
        </w:rPr>
        <w:t xml:space="preserve"> The Tasmanian Human Rights Act Campaign Committee (‘THRACC’) and Civil Liberties provided advice to the effect. (Appendix C</w:t>
      </w:r>
      <w:r>
        <w:rPr>
          <w:spacing w:val="-1"/>
          <w:sz w:val="18"/>
        </w:rPr>
        <w:t xml:space="preserve"> </w:t>
      </w:r>
      <w:r>
        <w:rPr>
          <w:sz w:val="18"/>
        </w:rPr>
        <w:t>contains</w:t>
      </w:r>
      <w:r>
        <w:rPr>
          <w:spacing w:val="-1"/>
          <w:sz w:val="18"/>
        </w:rPr>
        <w:t xml:space="preserve"> </w:t>
      </w:r>
      <w:r>
        <w:rPr>
          <w:sz w:val="18"/>
        </w:rPr>
        <w:t>a</w:t>
      </w:r>
      <w:r>
        <w:rPr>
          <w:spacing w:val="-2"/>
          <w:sz w:val="18"/>
        </w:rPr>
        <w:t xml:space="preserve"> </w:t>
      </w:r>
      <w:r>
        <w:rPr>
          <w:sz w:val="18"/>
        </w:rPr>
        <w:t>list</w:t>
      </w:r>
      <w:r>
        <w:rPr>
          <w:spacing w:val="-3"/>
          <w:sz w:val="18"/>
        </w:rPr>
        <w:t xml:space="preserve"> </w:t>
      </w:r>
      <w:r>
        <w:rPr>
          <w:sz w:val="18"/>
        </w:rPr>
        <w:t>of</w:t>
      </w:r>
      <w:r>
        <w:rPr>
          <w:spacing w:val="-1"/>
          <w:sz w:val="18"/>
        </w:rPr>
        <w:t xml:space="preserve"> </w:t>
      </w:r>
      <w:r>
        <w:rPr>
          <w:sz w:val="18"/>
        </w:rPr>
        <w:t>all</w:t>
      </w:r>
      <w:r>
        <w:rPr>
          <w:spacing w:val="-3"/>
          <w:sz w:val="18"/>
        </w:rPr>
        <w:t xml:space="preserve"> </w:t>
      </w:r>
      <w:r>
        <w:rPr>
          <w:sz w:val="18"/>
        </w:rPr>
        <w:t>those</w:t>
      </w:r>
      <w:r>
        <w:rPr>
          <w:spacing w:val="-2"/>
          <w:sz w:val="18"/>
        </w:rPr>
        <w:t xml:space="preserve"> </w:t>
      </w:r>
      <w:r>
        <w:rPr>
          <w:sz w:val="18"/>
        </w:rPr>
        <w:t>who</w:t>
      </w:r>
      <w:r>
        <w:rPr>
          <w:spacing w:val="-2"/>
          <w:sz w:val="18"/>
        </w:rPr>
        <w:t xml:space="preserve"> </w:t>
      </w:r>
      <w:r>
        <w:rPr>
          <w:sz w:val="18"/>
        </w:rPr>
        <w:t>provided advice</w:t>
      </w:r>
      <w:r>
        <w:rPr>
          <w:spacing w:val="-2"/>
          <w:sz w:val="18"/>
        </w:rPr>
        <w:t xml:space="preserve"> </w:t>
      </w:r>
      <w:r>
        <w:rPr>
          <w:sz w:val="18"/>
        </w:rPr>
        <w:t>to the</w:t>
      </w:r>
      <w:r>
        <w:rPr>
          <w:spacing w:val="-4"/>
          <w:sz w:val="18"/>
        </w:rPr>
        <w:t xml:space="preserve"> </w:t>
      </w:r>
      <w:r>
        <w:rPr>
          <w:sz w:val="18"/>
        </w:rPr>
        <w:t>TLRI</w:t>
      </w:r>
      <w:r>
        <w:rPr>
          <w:spacing w:val="-1"/>
          <w:sz w:val="18"/>
        </w:rPr>
        <w:t xml:space="preserve"> </w:t>
      </w:r>
      <w:r>
        <w:rPr>
          <w:sz w:val="18"/>
        </w:rPr>
        <w:t>pursuant</w:t>
      </w:r>
      <w:r>
        <w:rPr>
          <w:spacing w:val="-1"/>
          <w:sz w:val="18"/>
        </w:rPr>
        <w:t xml:space="preserve"> </w:t>
      </w:r>
      <w:r>
        <w:rPr>
          <w:sz w:val="18"/>
        </w:rPr>
        <w:t>to requesting that</w:t>
      </w:r>
      <w:r>
        <w:rPr>
          <w:spacing w:val="-3"/>
          <w:sz w:val="18"/>
        </w:rPr>
        <w:t xml:space="preserve"> </w:t>
      </w:r>
      <w:r>
        <w:rPr>
          <w:sz w:val="18"/>
        </w:rPr>
        <w:t>the</w:t>
      </w:r>
      <w:r>
        <w:rPr>
          <w:spacing w:val="-2"/>
          <w:sz w:val="18"/>
        </w:rPr>
        <w:t xml:space="preserve"> </w:t>
      </w:r>
      <w:r>
        <w:rPr>
          <w:sz w:val="18"/>
        </w:rPr>
        <w:t>Institute</w:t>
      </w:r>
      <w:r>
        <w:rPr>
          <w:spacing w:val="-1"/>
          <w:sz w:val="18"/>
        </w:rPr>
        <w:t xml:space="preserve"> </w:t>
      </w:r>
      <w:r>
        <w:rPr>
          <w:sz w:val="18"/>
        </w:rPr>
        <w:t>prepare</w:t>
      </w:r>
      <w:r>
        <w:rPr>
          <w:spacing w:val="-2"/>
          <w:sz w:val="18"/>
        </w:rPr>
        <w:t xml:space="preserve"> </w:t>
      </w:r>
      <w:r>
        <w:rPr>
          <w:sz w:val="18"/>
        </w:rPr>
        <w:t xml:space="preserve">this </w:t>
      </w:r>
      <w:r>
        <w:rPr>
          <w:spacing w:val="-2"/>
          <w:sz w:val="18"/>
        </w:rPr>
        <w:t>Report).</w:t>
      </w:r>
    </w:p>
    <w:p w14:paraId="7CB25F08" w14:textId="77777777" w:rsidR="008A4099" w:rsidRDefault="006A6EE2">
      <w:pPr>
        <w:spacing w:before="16"/>
        <w:ind w:left="160"/>
        <w:jc w:val="both"/>
        <w:rPr>
          <w:sz w:val="18"/>
        </w:rPr>
      </w:pPr>
      <w:r>
        <w:rPr>
          <w:sz w:val="18"/>
          <w:vertAlign w:val="superscript"/>
        </w:rPr>
        <w:t>207</w:t>
      </w:r>
      <w:r>
        <w:rPr>
          <w:spacing w:val="-1"/>
          <w:sz w:val="18"/>
        </w:rPr>
        <w:t xml:space="preserve"> </w:t>
      </w:r>
      <w:r>
        <w:rPr>
          <w:i/>
          <w:sz w:val="18"/>
        </w:rPr>
        <w:t>Vehicle</w:t>
      </w:r>
      <w:r>
        <w:rPr>
          <w:i/>
          <w:spacing w:val="-2"/>
          <w:sz w:val="18"/>
        </w:rPr>
        <w:t xml:space="preserve"> </w:t>
      </w:r>
      <w:r>
        <w:rPr>
          <w:i/>
          <w:sz w:val="18"/>
        </w:rPr>
        <w:t>and</w:t>
      </w:r>
      <w:r>
        <w:rPr>
          <w:i/>
          <w:spacing w:val="-1"/>
          <w:sz w:val="18"/>
        </w:rPr>
        <w:t xml:space="preserve"> </w:t>
      </w:r>
      <w:r>
        <w:rPr>
          <w:i/>
          <w:sz w:val="18"/>
        </w:rPr>
        <w:t>Traffic</w:t>
      </w:r>
      <w:r>
        <w:rPr>
          <w:i/>
          <w:spacing w:val="-1"/>
          <w:sz w:val="18"/>
        </w:rPr>
        <w:t xml:space="preserve"> </w:t>
      </w:r>
      <w:r>
        <w:rPr>
          <w:i/>
          <w:sz w:val="18"/>
        </w:rPr>
        <w:t>(Driver</w:t>
      </w:r>
      <w:r>
        <w:rPr>
          <w:i/>
          <w:spacing w:val="-1"/>
          <w:sz w:val="18"/>
        </w:rPr>
        <w:t xml:space="preserve"> </w:t>
      </w:r>
      <w:r>
        <w:rPr>
          <w:i/>
          <w:sz w:val="18"/>
        </w:rPr>
        <w:t>Licensing</w:t>
      </w:r>
      <w:r>
        <w:rPr>
          <w:i/>
          <w:spacing w:val="-1"/>
          <w:sz w:val="18"/>
        </w:rPr>
        <w:t xml:space="preserve"> </w:t>
      </w:r>
      <w:r>
        <w:rPr>
          <w:i/>
          <w:sz w:val="18"/>
        </w:rPr>
        <w:t>and</w:t>
      </w:r>
      <w:r>
        <w:rPr>
          <w:i/>
          <w:spacing w:val="-2"/>
          <w:sz w:val="18"/>
        </w:rPr>
        <w:t xml:space="preserve"> </w:t>
      </w:r>
      <w:r>
        <w:rPr>
          <w:i/>
          <w:sz w:val="18"/>
        </w:rPr>
        <w:t>Vehicle</w:t>
      </w:r>
      <w:r>
        <w:rPr>
          <w:i/>
          <w:spacing w:val="-1"/>
          <w:sz w:val="18"/>
        </w:rPr>
        <w:t xml:space="preserve"> </w:t>
      </w:r>
      <w:r>
        <w:rPr>
          <w:i/>
          <w:sz w:val="18"/>
        </w:rPr>
        <w:t>Registration)</w:t>
      </w:r>
      <w:r>
        <w:rPr>
          <w:i/>
          <w:spacing w:val="-1"/>
          <w:sz w:val="18"/>
        </w:rPr>
        <w:t xml:space="preserve"> </w:t>
      </w:r>
      <w:r>
        <w:rPr>
          <w:i/>
          <w:sz w:val="18"/>
        </w:rPr>
        <w:t>Regulations</w:t>
      </w:r>
      <w:r>
        <w:rPr>
          <w:i/>
          <w:spacing w:val="-1"/>
          <w:sz w:val="18"/>
        </w:rPr>
        <w:t xml:space="preserve"> </w:t>
      </w:r>
      <w:r>
        <w:rPr>
          <w:i/>
          <w:sz w:val="18"/>
        </w:rPr>
        <w:t>2010</w:t>
      </w:r>
      <w:r>
        <w:rPr>
          <w:i/>
          <w:spacing w:val="7"/>
          <w:sz w:val="18"/>
        </w:rPr>
        <w:t xml:space="preserve"> </w:t>
      </w:r>
      <w:r>
        <w:rPr>
          <w:sz w:val="18"/>
        </w:rPr>
        <w:t>(Tas),</w:t>
      </w:r>
      <w:r>
        <w:rPr>
          <w:spacing w:val="-1"/>
          <w:sz w:val="18"/>
        </w:rPr>
        <w:t xml:space="preserve"> </w:t>
      </w:r>
      <w:r>
        <w:rPr>
          <w:sz w:val="18"/>
        </w:rPr>
        <w:t>reg</w:t>
      </w:r>
      <w:r>
        <w:rPr>
          <w:spacing w:val="-2"/>
          <w:sz w:val="18"/>
        </w:rPr>
        <w:t xml:space="preserve"> </w:t>
      </w:r>
      <w:r>
        <w:rPr>
          <w:sz w:val="18"/>
        </w:rPr>
        <w:t>125(2)(d) &amp;</w:t>
      </w:r>
      <w:r>
        <w:rPr>
          <w:spacing w:val="-2"/>
          <w:sz w:val="18"/>
        </w:rPr>
        <w:t xml:space="preserve"> </w:t>
      </w:r>
      <w:r>
        <w:rPr>
          <w:spacing w:val="-4"/>
          <w:sz w:val="18"/>
        </w:rPr>
        <w:t>(3).</w:t>
      </w:r>
    </w:p>
    <w:p w14:paraId="7CB25F09"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F0A" w14:textId="77777777" w:rsidR="008A4099" w:rsidRDefault="008A4099">
      <w:pPr>
        <w:pStyle w:val="BodyText"/>
        <w:spacing w:before="194"/>
      </w:pPr>
    </w:p>
    <w:p w14:paraId="7CB25F0B" w14:textId="77777777" w:rsidR="008A4099" w:rsidRDefault="006A6EE2">
      <w:pPr>
        <w:pStyle w:val="BodyText"/>
        <w:ind w:left="160" w:right="674"/>
        <w:jc w:val="both"/>
      </w:pPr>
      <w:r>
        <w:t>to</w:t>
      </w:r>
      <w:r>
        <w:rPr>
          <w:spacing w:val="-5"/>
        </w:rPr>
        <w:t xml:space="preserve"> </w:t>
      </w:r>
      <w:r>
        <w:t>a</w:t>
      </w:r>
      <w:r>
        <w:rPr>
          <w:spacing w:val="-4"/>
        </w:rPr>
        <w:t xml:space="preserve"> </w:t>
      </w:r>
      <w:r>
        <w:t>regulatory</w:t>
      </w:r>
      <w:r>
        <w:rPr>
          <w:spacing w:val="-5"/>
        </w:rPr>
        <w:t xml:space="preserve"> </w:t>
      </w:r>
      <w:r>
        <w:t>impact</w:t>
      </w:r>
      <w:r>
        <w:rPr>
          <w:spacing w:val="-4"/>
        </w:rPr>
        <w:t xml:space="preserve"> </w:t>
      </w:r>
      <w:r>
        <w:t>statement,</w:t>
      </w:r>
      <w:r>
        <w:rPr>
          <w:spacing w:val="-5"/>
        </w:rPr>
        <w:t xml:space="preserve"> </w:t>
      </w:r>
      <w:r>
        <w:t>nor</w:t>
      </w:r>
      <w:r>
        <w:rPr>
          <w:spacing w:val="-4"/>
        </w:rPr>
        <w:t xml:space="preserve"> </w:t>
      </w:r>
      <w:r>
        <w:t>were</w:t>
      </w:r>
      <w:r>
        <w:rPr>
          <w:spacing w:val="-4"/>
        </w:rPr>
        <w:t xml:space="preserve"> </w:t>
      </w:r>
      <w:r>
        <w:t>public</w:t>
      </w:r>
      <w:r>
        <w:rPr>
          <w:spacing w:val="-4"/>
        </w:rPr>
        <w:t xml:space="preserve"> </w:t>
      </w:r>
      <w:r>
        <w:t>submissions</w:t>
      </w:r>
      <w:r>
        <w:rPr>
          <w:spacing w:val="-4"/>
        </w:rPr>
        <w:t xml:space="preserve"> </w:t>
      </w:r>
      <w:r>
        <w:t>sought</w:t>
      </w:r>
      <w:r>
        <w:rPr>
          <w:spacing w:val="-4"/>
        </w:rPr>
        <w:t xml:space="preserve"> </w:t>
      </w:r>
      <w:r>
        <w:t>by</w:t>
      </w:r>
      <w:r>
        <w:rPr>
          <w:spacing w:val="-5"/>
        </w:rPr>
        <w:t xml:space="preserve"> </w:t>
      </w:r>
      <w:r>
        <w:t>the</w:t>
      </w:r>
      <w:r>
        <w:rPr>
          <w:spacing w:val="-4"/>
        </w:rPr>
        <w:t xml:space="preserve"> </w:t>
      </w:r>
      <w:r>
        <w:t>Joint</w:t>
      </w:r>
      <w:r>
        <w:rPr>
          <w:spacing w:val="-6"/>
        </w:rPr>
        <w:t xml:space="preserve"> </w:t>
      </w:r>
      <w:r>
        <w:t>Standing</w:t>
      </w:r>
      <w:r>
        <w:rPr>
          <w:spacing w:val="-5"/>
        </w:rPr>
        <w:t xml:space="preserve"> </w:t>
      </w:r>
      <w:r>
        <w:t>Committee on</w:t>
      </w:r>
      <w:r>
        <w:rPr>
          <w:spacing w:val="-7"/>
        </w:rPr>
        <w:t xml:space="preserve"> </w:t>
      </w:r>
      <w:r>
        <w:t>Subordinate</w:t>
      </w:r>
      <w:r>
        <w:rPr>
          <w:spacing w:val="-7"/>
        </w:rPr>
        <w:t xml:space="preserve"> </w:t>
      </w:r>
      <w:r>
        <w:t>Legislation,</w:t>
      </w:r>
      <w:r>
        <w:rPr>
          <w:spacing w:val="-10"/>
        </w:rPr>
        <w:t xml:space="preserve"> </w:t>
      </w:r>
      <w:r>
        <w:t>despite</w:t>
      </w:r>
      <w:r>
        <w:rPr>
          <w:spacing w:val="-7"/>
        </w:rPr>
        <w:t xml:space="preserve"> </w:t>
      </w:r>
      <w:r>
        <w:t>potential</w:t>
      </w:r>
      <w:r>
        <w:rPr>
          <w:spacing w:val="-6"/>
        </w:rPr>
        <w:t xml:space="preserve"> </w:t>
      </w:r>
      <w:r>
        <w:t>privacy</w:t>
      </w:r>
      <w:r>
        <w:rPr>
          <w:spacing w:val="-7"/>
        </w:rPr>
        <w:t xml:space="preserve"> </w:t>
      </w:r>
      <w:r>
        <w:t>concerns.</w:t>
      </w:r>
      <w:r>
        <w:rPr>
          <w:vertAlign w:val="superscript"/>
        </w:rPr>
        <w:t>208</w:t>
      </w:r>
      <w:r>
        <w:rPr>
          <w:spacing w:val="-7"/>
        </w:rPr>
        <w:t xml:space="preserve"> </w:t>
      </w:r>
      <w:r>
        <w:t>This</w:t>
      </w:r>
      <w:r>
        <w:rPr>
          <w:spacing w:val="-6"/>
        </w:rPr>
        <w:t xml:space="preserve"> </w:t>
      </w:r>
      <w:r>
        <w:t>is</w:t>
      </w:r>
      <w:r>
        <w:rPr>
          <w:spacing w:val="-6"/>
        </w:rPr>
        <w:t xml:space="preserve"> </w:t>
      </w:r>
      <w:r>
        <w:t>a</w:t>
      </w:r>
      <w:r>
        <w:rPr>
          <w:spacing w:val="-7"/>
        </w:rPr>
        <w:t xml:space="preserve"> </w:t>
      </w:r>
      <w:r>
        <w:t>product</w:t>
      </w:r>
      <w:r>
        <w:rPr>
          <w:spacing w:val="-6"/>
        </w:rPr>
        <w:t xml:space="preserve"> </w:t>
      </w:r>
      <w:r>
        <w:t>of</w:t>
      </w:r>
      <w:r>
        <w:rPr>
          <w:spacing w:val="-5"/>
        </w:rPr>
        <w:t xml:space="preserve"> </w:t>
      </w:r>
      <w:r>
        <w:t>the</w:t>
      </w:r>
      <w:r>
        <w:rPr>
          <w:spacing w:val="-7"/>
        </w:rPr>
        <w:t xml:space="preserve"> </w:t>
      </w:r>
      <w:r>
        <w:t>ad</w:t>
      </w:r>
      <w:r>
        <w:rPr>
          <w:spacing w:val="-7"/>
        </w:rPr>
        <w:t xml:space="preserve"> </w:t>
      </w:r>
      <w:r>
        <w:t>hoc</w:t>
      </w:r>
      <w:r>
        <w:rPr>
          <w:spacing w:val="-7"/>
        </w:rPr>
        <w:t xml:space="preserve"> </w:t>
      </w:r>
      <w:r>
        <w:t>nature of parliamentary arrangements in Tasmania, where there is no routine scrutiny of proposed laws for human</w:t>
      </w:r>
      <w:r>
        <w:rPr>
          <w:spacing w:val="-13"/>
        </w:rPr>
        <w:t xml:space="preserve"> </w:t>
      </w:r>
      <w:r>
        <w:t>rights</w:t>
      </w:r>
      <w:r>
        <w:rPr>
          <w:spacing w:val="-13"/>
        </w:rPr>
        <w:t xml:space="preserve"> </w:t>
      </w:r>
      <w:r>
        <w:t>compatibility,</w:t>
      </w:r>
      <w:r>
        <w:rPr>
          <w:spacing w:val="-13"/>
        </w:rPr>
        <w:t xml:space="preserve"> </w:t>
      </w:r>
      <w:r>
        <w:t>and</w:t>
      </w:r>
      <w:r>
        <w:rPr>
          <w:spacing w:val="-13"/>
        </w:rPr>
        <w:t xml:space="preserve"> </w:t>
      </w:r>
      <w:r>
        <w:t>a</w:t>
      </w:r>
      <w:r>
        <w:rPr>
          <w:spacing w:val="-13"/>
        </w:rPr>
        <w:t xml:space="preserve"> </w:t>
      </w:r>
      <w:r>
        <w:t>lack</w:t>
      </w:r>
      <w:r>
        <w:rPr>
          <w:spacing w:val="-13"/>
        </w:rPr>
        <w:t xml:space="preserve"> </w:t>
      </w:r>
      <w:r>
        <w:t>of</w:t>
      </w:r>
      <w:r>
        <w:rPr>
          <w:spacing w:val="-12"/>
        </w:rPr>
        <w:t xml:space="preserve"> </w:t>
      </w:r>
      <w:r>
        <w:t>transparency</w:t>
      </w:r>
      <w:r>
        <w:rPr>
          <w:spacing w:val="-13"/>
        </w:rPr>
        <w:t xml:space="preserve"> </w:t>
      </w:r>
      <w:r>
        <w:t>about</w:t>
      </w:r>
      <w:r>
        <w:rPr>
          <w:spacing w:val="-12"/>
        </w:rPr>
        <w:t xml:space="preserve"> </w:t>
      </w:r>
      <w:r>
        <w:t>how</w:t>
      </w:r>
      <w:r>
        <w:rPr>
          <w:spacing w:val="-12"/>
        </w:rPr>
        <w:t xml:space="preserve"> </w:t>
      </w:r>
      <w:r>
        <w:t>human</w:t>
      </w:r>
      <w:r>
        <w:rPr>
          <w:spacing w:val="-13"/>
        </w:rPr>
        <w:t xml:space="preserve"> </w:t>
      </w:r>
      <w:r>
        <w:t>rights</w:t>
      </w:r>
      <w:r>
        <w:rPr>
          <w:spacing w:val="-13"/>
        </w:rPr>
        <w:t xml:space="preserve"> </w:t>
      </w:r>
      <w:r>
        <w:t>considerations</w:t>
      </w:r>
      <w:r>
        <w:rPr>
          <w:spacing w:val="-13"/>
        </w:rPr>
        <w:t xml:space="preserve"> </w:t>
      </w:r>
      <w:r>
        <w:t>are</w:t>
      </w:r>
      <w:r>
        <w:rPr>
          <w:spacing w:val="-13"/>
        </w:rPr>
        <w:t xml:space="preserve"> </w:t>
      </w:r>
      <w:r>
        <w:t>taken into account.</w:t>
      </w:r>
      <w:r>
        <w:rPr>
          <w:vertAlign w:val="superscript"/>
        </w:rPr>
        <w:t>209</w:t>
      </w:r>
    </w:p>
    <w:p w14:paraId="7CB25F0C" w14:textId="77777777" w:rsidR="008A4099" w:rsidRDefault="006A6EE2">
      <w:pPr>
        <w:pStyle w:val="ListParagraph"/>
        <w:numPr>
          <w:ilvl w:val="2"/>
          <w:numId w:val="6"/>
        </w:numPr>
        <w:tabs>
          <w:tab w:val="left" w:pos="879"/>
        </w:tabs>
        <w:spacing w:before="222" w:line="247" w:lineRule="auto"/>
        <w:ind w:right="675" w:firstLine="0"/>
        <w:jc w:val="both"/>
      </w:pPr>
      <w:r>
        <w:t>In Victoria, as with Tasmania,</w:t>
      </w:r>
      <w:r>
        <w:rPr>
          <w:vertAlign w:val="superscript"/>
        </w:rPr>
        <w:t>210</w:t>
      </w:r>
      <w:r>
        <w:t xml:space="preserve"> data has been uploaded to the NDLFRS. The Victorian Government committed to ensuring that uploaded data would not be accessible by agencies from the Commonwealth or other jurisdictions unless and until Commonwealth legislation is enacted, and that data management under the </w:t>
      </w:r>
      <w:r>
        <w:rPr>
          <w:i/>
        </w:rPr>
        <w:t xml:space="preserve">Road Safety Act 1986 </w:t>
      </w:r>
      <w:r>
        <w:t>(Vic) would comply with the Vic Human Rights Charter.</w:t>
      </w:r>
      <w:r>
        <w:rPr>
          <w:vertAlign w:val="superscript"/>
        </w:rPr>
        <w:t>211</w:t>
      </w:r>
      <w:r>
        <w:t xml:space="preserve"> Queensland passed the </w:t>
      </w:r>
      <w:r>
        <w:rPr>
          <w:i/>
        </w:rPr>
        <w:t xml:space="preserve">Police and Other Legislation (Identity and Biometric Capability) Amendment Act 2018 </w:t>
      </w:r>
      <w:r>
        <w:t>(Qld) to facilitate participation in the scheme but is yet to upload data.</w:t>
      </w:r>
      <w:r>
        <w:rPr>
          <w:vertAlign w:val="superscript"/>
        </w:rPr>
        <w:t>212</w:t>
      </w:r>
      <w:r>
        <w:t xml:space="preserve"> This predated</w:t>
      </w:r>
      <w:r>
        <w:rPr>
          <w:spacing w:val="-3"/>
        </w:rPr>
        <w:t xml:space="preserve"> </w:t>
      </w:r>
      <w:r>
        <w:t xml:space="preserve">the </w:t>
      </w:r>
      <w:r>
        <w:rPr>
          <w:i/>
        </w:rPr>
        <w:t>Human</w:t>
      </w:r>
      <w:r>
        <w:rPr>
          <w:i/>
          <w:spacing w:val="-1"/>
        </w:rPr>
        <w:t xml:space="preserve"> </w:t>
      </w:r>
      <w:r>
        <w:rPr>
          <w:i/>
        </w:rPr>
        <w:t>Rights</w:t>
      </w:r>
      <w:r>
        <w:rPr>
          <w:i/>
          <w:spacing w:val="-3"/>
        </w:rPr>
        <w:t xml:space="preserve"> </w:t>
      </w:r>
      <w:r>
        <w:rPr>
          <w:i/>
        </w:rPr>
        <w:t>Act</w:t>
      </w:r>
      <w:r>
        <w:rPr>
          <w:i/>
          <w:spacing w:val="-1"/>
        </w:rPr>
        <w:t xml:space="preserve"> </w:t>
      </w:r>
      <w:r>
        <w:rPr>
          <w:i/>
        </w:rPr>
        <w:t xml:space="preserve">2019 </w:t>
      </w:r>
      <w:r>
        <w:t>(Qld).</w:t>
      </w:r>
      <w:r>
        <w:rPr>
          <w:spacing w:val="-1"/>
        </w:rPr>
        <w:t xml:space="preserve"> </w:t>
      </w:r>
      <w:r>
        <w:t>The</w:t>
      </w:r>
      <w:r>
        <w:rPr>
          <w:spacing w:val="-1"/>
        </w:rPr>
        <w:t xml:space="preserve"> </w:t>
      </w:r>
      <w:r>
        <w:t>ACT,</w:t>
      </w:r>
      <w:r>
        <w:rPr>
          <w:spacing w:val="-1"/>
        </w:rPr>
        <w:t xml:space="preserve"> </w:t>
      </w:r>
      <w:r>
        <w:t>while</w:t>
      </w:r>
      <w:r>
        <w:rPr>
          <w:spacing w:val="-1"/>
        </w:rPr>
        <w:t xml:space="preserve"> </w:t>
      </w:r>
      <w:r>
        <w:t>agreeing</w:t>
      </w:r>
      <w:r>
        <w:rPr>
          <w:spacing w:val="-4"/>
        </w:rPr>
        <w:t xml:space="preserve"> </w:t>
      </w:r>
      <w:r>
        <w:t>to</w:t>
      </w:r>
      <w:r>
        <w:rPr>
          <w:spacing w:val="-1"/>
        </w:rPr>
        <w:t xml:space="preserve"> </w:t>
      </w:r>
      <w:r>
        <w:t>participate</w:t>
      </w:r>
      <w:r>
        <w:rPr>
          <w:spacing w:val="-1"/>
        </w:rPr>
        <w:t xml:space="preserve"> </w:t>
      </w:r>
      <w:r>
        <w:t>in</w:t>
      </w:r>
      <w:r>
        <w:rPr>
          <w:spacing w:val="-1"/>
        </w:rPr>
        <w:t xml:space="preserve"> </w:t>
      </w:r>
      <w:r>
        <w:t>the</w:t>
      </w:r>
      <w:r>
        <w:rPr>
          <w:spacing w:val="-1"/>
        </w:rPr>
        <w:t xml:space="preserve"> </w:t>
      </w:r>
      <w:r>
        <w:t>scheme,</w:t>
      </w:r>
      <w:r>
        <w:rPr>
          <w:spacing w:val="-1"/>
        </w:rPr>
        <w:t xml:space="preserve"> </w:t>
      </w:r>
      <w:r>
        <w:t>has refused to upload data to the NDLFRS until the authorising federal legislation has been enacted.</w:t>
      </w:r>
      <w:r>
        <w:rPr>
          <w:vertAlign w:val="superscript"/>
        </w:rPr>
        <w:t>213</w:t>
      </w:r>
      <w:r>
        <w:t xml:space="preserve"> Further, the ACT Government is concerned about the compatibility of any such legislation with the ACT</w:t>
      </w:r>
      <w:r>
        <w:rPr>
          <w:spacing w:val="-7"/>
        </w:rPr>
        <w:t xml:space="preserve"> </w:t>
      </w:r>
      <w:r>
        <w:rPr>
          <w:i/>
        </w:rPr>
        <w:t>Human</w:t>
      </w:r>
      <w:r>
        <w:rPr>
          <w:i/>
          <w:spacing w:val="-7"/>
        </w:rPr>
        <w:t xml:space="preserve"> </w:t>
      </w:r>
      <w:r>
        <w:rPr>
          <w:i/>
        </w:rPr>
        <w:t>Rights</w:t>
      </w:r>
      <w:r>
        <w:rPr>
          <w:i/>
          <w:spacing w:val="-9"/>
        </w:rPr>
        <w:t xml:space="preserve"> </w:t>
      </w:r>
      <w:r>
        <w:rPr>
          <w:i/>
        </w:rPr>
        <w:t>Act</w:t>
      </w:r>
      <w:r>
        <w:t>,</w:t>
      </w:r>
      <w:r>
        <w:rPr>
          <w:spacing w:val="-7"/>
        </w:rPr>
        <w:t xml:space="preserve"> </w:t>
      </w:r>
      <w:r>
        <w:t>with</w:t>
      </w:r>
      <w:r>
        <w:rPr>
          <w:spacing w:val="-7"/>
        </w:rPr>
        <w:t xml:space="preserve"> </w:t>
      </w:r>
      <w:r>
        <w:t>Chief</w:t>
      </w:r>
      <w:r>
        <w:rPr>
          <w:spacing w:val="-8"/>
        </w:rPr>
        <w:t xml:space="preserve"> </w:t>
      </w:r>
      <w:r>
        <w:t>Minister</w:t>
      </w:r>
      <w:r>
        <w:rPr>
          <w:spacing w:val="-8"/>
        </w:rPr>
        <w:t xml:space="preserve"> </w:t>
      </w:r>
      <w:r>
        <w:t>Andrew</w:t>
      </w:r>
      <w:r>
        <w:rPr>
          <w:spacing w:val="-10"/>
        </w:rPr>
        <w:t xml:space="preserve"> </w:t>
      </w:r>
      <w:r>
        <w:t>Barr</w:t>
      </w:r>
      <w:r>
        <w:rPr>
          <w:spacing w:val="-9"/>
        </w:rPr>
        <w:t xml:space="preserve"> </w:t>
      </w:r>
      <w:r>
        <w:t>stating</w:t>
      </w:r>
      <w:r>
        <w:rPr>
          <w:spacing w:val="-7"/>
        </w:rPr>
        <w:t xml:space="preserve"> </w:t>
      </w:r>
      <w:r>
        <w:t>that,</w:t>
      </w:r>
      <w:r>
        <w:rPr>
          <w:spacing w:val="-10"/>
        </w:rPr>
        <w:t xml:space="preserve"> </w:t>
      </w:r>
      <w:r>
        <w:t>‘The</w:t>
      </w:r>
      <w:r>
        <w:rPr>
          <w:spacing w:val="-7"/>
        </w:rPr>
        <w:t xml:space="preserve"> </w:t>
      </w:r>
      <w:r>
        <w:t>only</w:t>
      </w:r>
      <w:r>
        <w:rPr>
          <w:spacing w:val="-10"/>
        </w:rPr>
        <w:t xml:space="preserve"> </w:t>
      </w:r>
      <w:r>
        <w:t>grounds</w:t>
      </w:r>
      <w:r>
        <w:rPr>
          <w:spacing w:val="-6"/>
        </w:rPr>
        <w:t xml:space="preserve"> </w:t>
      </w:r>
      <w:r>
        <w:t>on</w:t>
      </w:r>
      <w:r>
        <w:rPr>
          <w:spacing w:val="-10"/>
        </w:rPr>
        <w:t xml:space="preserve"> </w:t>
      </w:r>
      <w:r>
        <w:t>which</w:t>
      </w:r>
      <w:r>
        <w:rPr>
          <w:spacing w:val="-9"/>
        </w:rPr>
        <w:t xml:space="preserve"> </w:t>
      </w:r>
      <w:r>
        <w:t>the ACT</w:t>
      </w:r>
      <w:r>
        <w:rPr>
          <w:spacing w:val="-5"/>
        </w:rPr>
        <w:t xml:space="preserve"> </w:t>
      </w:r>
      <w:r>
        <w:t>signed</w:t>
      </w:r>
      <w:r>
        <w:rPr>
          <w:spacing w:val="-4"/>
        </w:rPr>
        <w:t xml:space="preserve"> </w:t>
      </w:r>
      <w:r>
        <w:t>up</w:t>
      </w:r>
      <w:r>
        <w:rPr>
          <w:spacing w:val="-7"/>
        </w:rPr>
        <w:t xml:space="preserve"> </w:t>
      </w:r>
      <w:r>
        <w:t>to</w:t>
      </w:r>
      <w:r>
        <w:rPr>
          <w:spacing w:val="-7"/>
        </w:rPr>
        <w:t xml:space="preserve"> </w:t>
      </w:r>
      <w:r>
        <w:t>that</w:t>
      </w:r>
      <w:r>
        <w:rPr>
          <w:spacing w:val="-6"/>
        </w:rPr>
        <w:t xml:space="preserve"> </w:t>
      </w:r>
      <w:r>
        <w:t>intergovernmental</w:t>
      </w:r>
      <w:r>
        <w:rPr>
          <w:spacing w:val="-6"/>
        </w:rPr>
        <w:t xml:space="preserve"> </w:t>
      </w:r>
      <w:r>
        <w:t>agreement</w:t>
      </w:r>
      <w:r>
        <w:rPr>
          <w:spacing w:val="-4"/>
        </w:rPr>
        <w:t xml:space="preserve"> </w:t>
      </w:r>
      <w:r>
        <w:t>were</w:t>
      </w:r>
      <w:r>
        <w:rPr>
          <w:spacing w:val="-7"/>
        </w:rPr>
        <w:t xml:space="preserve"> </w:t>
      </w:r>
      <w:r>
        <w:t>on</w:t>
      </w:r>
      <w:r>
        <w:rPr>
          <w:spacing w:val="-7"/>
        </w:rPr>
        <w:t xml:space="preserve"> </w:t>
      </w:r>
      <w:r>
        <w:t>the</w:t>
      </w:r>
      <w:r>
        <w:rPr>
          <w:spacing w:val="-7"/>
        </w:rPr>
        <w:t xml:space="preserve"> </w:t>
      </w:r>
      <w:r>
        <w:t>basis</w:t>
      </w:r>
      <w:r>
        <w:rPr>
          <w:spacing w:val="-7"/>
        </w:rPr>
        <w:t xml:space="preserve"> </w:t>
      </w:r>
      <w:r>
        <w:t>that</w:t>
      </w:r>
      <w:r>
        <w:rPr>
          <w:spacing w:val="-6"/>
        </w:rPr>
        <w:t xml:space="preserve"> </w:t>
      </w:r>
      <w:r>
        <w:t>it</w:t>
      </w:r>
      <w:r>
        <w:rPr>
          <w:spacing w:val="-4"/>
        </w:rPr>
        <w:t xml:space="preserve"> </w:t>
      </w:r>
      <w:r>
        <w:t>would</w:t>
      </w:r>
      <w:r>
        <w:rPr>
          <w:spacing w:val="-5"/>
        </w:rPr>
        <w:t xml:space="preserve"> </w:t>
      </w:r>
      <w:r>
        <w:t>be</w:t>
      </w:r>
      <w:r>
        <w:rPr>
          <w:spacing w:val="-7"/>
        </w:rPr>
        <w:t xml:space="preserve"> </w:t>
      </w:r>
      <w:r>
        <w:t>compatible</w:t>
      </w:r>
      <w:r>
        <w:rPr>
          <w:spacing w:val="-7"/>
        </w:rPr>
        <w:t xml:space="preserve"> </w:t>
      </w:r>
      <w:r>
        <w:t>with our Human Rights Act’.</w:t>
      </w:r>
      <w:r>
        <w:rPr>
          <w:vertAlign w:val="superscript"/>
        </w:rPr>
        <w:t>214</w:t>
      </w:r>
    </w:p>
    <w:p w14:paraId="7CB25F0D" w14:textId="77777777" w:rsidR="008A4099" w:rsidRDefault="006A6EE2">
      <w:pPr>
        <w:pStyle w:val="ListParagraph"/>
        <w:numPr>
          <w:ilvl w:val="2"/>
          <w:numId w:val="6"/>
        </w:numPr>
        <w:tabs>
          <w:tab w:val="left" w:pos="879"/>
        </w:tabs>
        <w:spacing w:before="205"/>
        <w:ind w:right="674" w:firstLine="0"/>
        <w:jc w:val="both"/>
      </w:pPr>
      <w:r>
        <w:t>The approach adopted in the ACT, with explicit reference to Human Rights Act obligations, has provided stronger protection of privacy by deferring data sharing until robust privacy protections are implemented.</w:t>
      </w:r>
    </w:p>
    <w:p w14:paraId="7CB25F0E" w14:textId="77777777" w:rsidR="008A4099" w:rsidRDefault="006A6EE2">
      <w:pPr>
        <w:pStyle w:val="ListParagraph"/>
        <w:numPr>
          <w:ilvl w:val="2"/>
          <w:numId w:val="6"/>
        </w:numPr>
        <w:tabs>
          <w:tab w:val="left" w:pos="879"/>
        </w:tabs>
        <w:spacing w:before="217" w:line="242" w:lineRule="auto"/>
        <w:ind w:right="674" w:firstLine="0"/>
        <w:jc w:val="both"/>
      </w:pPr>
      <w:r>
        <w:t>The COVID-19 check-in applications (‘apps’) also raised concerns in relation to privacy. All States and Territories introduced check-in apps as part of their COVID-19 data collection and contact tracing programs, raising privacy concerns about the data collected. Concerns arose in 2021 regarding the</w:t>
      </w:r>
      <w:r>
        <w:rPr>
          <w:spacing w:val="-9"/>
        </w:rPr>
        <w:t xml:space="preserve"> </w:t>
      </w:r>
      <w:r>
        <w:t>privacy</w:t>
      </w:r>
      <w:r>
        <w:rPr>
          <w:spacing w:val="-12"/>
        </w:rPr>
        <w:t xml:space="preserve"> </w:t>
      </w:r>
      <w:r>
        <w:t>of</w:t>
      </w:r>
      <w:r>
        <w:rPr>
          <w:spacing w:val="-11"/>
        </w:rPr>
        <w:t xml:space="preserve"> </w:t>
      </w:r>
      <w:r>
        <w:t>data</w:t>
      </w:r>
      <w:r>
        <w:rPr>
          <w:spacing w:val="-9"/>
        </w:rPr>
        <w:t xml:space="preserve"> </w:t>
      </w:r>
      <w:r>
        <w:t>collected</w:t>
      </w:r>
      <w:r>
        <w:rPr>
          <w:spacing w:val="-10"/>
        </w:rPr>
        <w:t xml:space="preserve"> </w:t>
      </w:r>
      <w:r>
        <w:t>through</w:t>
      </w:r>
      <w:r>
        <w:rPr>
          <w:spacing w:val="-10"/>
        </w:rPr>
        <w:t xml:space="preserve"> </w:t>
      </w:r>
      <w:r>
        <w:t>State-based</w:t>
      </w:r>
      <w:r>
        <w:rPr>
          <w:spacing w:val="-9"/>
        </w:rPr>
        <w:t xml:space="preserve"> </w:t>
      </w:r>
      <w:r>
        <w:t>check-in</w:t>
      </w:r>
      <w:r>
        <w:rPr>
          <w:spacing w:val="-9"/>
        </w:rPr>
        <w:t xml:space="preserve"> </w:t>
      </w:r>
      <w:r>
        <w:t>apps</w:t>
      </w:r>
      <w:r>
        <w:rPr>
          <w:spacing w:val="-9"/>
        </w:rPr>
        <w:t xml:space="preserve"> </w:t>
      </w:r>
      <w:r>
        <w:t>for</w:t>
      </w:r>
      <w:r>
        <w:rPr>
          <w:spacing w:val="-11"/>
        </w:rPr>
        <w:t xml:space="preserve"> </w:t>
      </w:r>
      <w:r>
        <w:t>the</w:t>
      </w:r>
      <w:r>
        <w:rPr>
          <w:spacing w:val="-9"/>
        </w:rPr>
        <w:t xml:space="preserve"> </w:t>
      </w:r>
      <w:r>
        <w:t>purposes</w:t>
      </w:r>
      <w:r>
        <w:rPr>
          <w:spacing w:val="-12"/>
        </w:rPr>
        <w:t xml:space="preserve"> </w:t>
      </w:r>
      <w:r>
        <w:t>of</w:t>
      </w:r>
      <w:r>
        <w:rPr>
          <w:spacing w:val="-9"/>
        </w:rPr>
        <w:t xml:space="preserve"> </w:t>
      </w:r>
      <w:r>
        <w:t>contact</w:t>
      </w:r>
      <w:r>
        <w:rPr>
          <w:spacing w:val="-11"/>
        </w:rPr>
        <w:t xml:space="preserve"> </w:t>
      </w:r>
      <w:r>
        <w:t>tracing,</w:t>
      </w:r>
      <w:r>
        <w:rPr>
          <w:spacing w:val="-10"/>
        </w:rPr>
        <w:t xml:space="preserve"> </w:t>
      </w:r>
      <w:r>
        <w:t>with calls for a national approach to the protection of data. Following admissions that Western Australian Police accessed check-in data for the purposes of a criminal investigation unrelated to contact tracing, legislative amendments were passed to restrict future use in Western Australia.</w:t>
      </w:r>
      <w:r>
        <w:rPr>
          <w:vertAlign w:val="superscript"/>
        </w:rPr>
        <w:t>215</w:t>
      </w:r>
      <w:r>
        <w:t xml:space="preserve"> In Tasmania, Meg Webb</w:t>
      </w:r>
      <w:r>
        <w:rPr>
          <w:spacing w:val="28"/>
        </w:rPr>
        <w:t xml:space="preserve"> </w:t>
      </w:r>
      <w:r>
        <w:t>MLC</w:t>
      </w:r>
      <w:r>
        <w:rPr>
          <w:spacing w:val="33"/>
        </w:rPr>
        <w:t xml:space="preserve"> </w:t>
      </w:r>
      <w:r>
        <w:t>called</w:t>
      </w:r>
      <w:r>
        <w:rPr>
          <w:spacing w:val="31"/>
        </w:rPr>
        <w:t xml:space="preserve"> </w:t>
      </w:r>
      <w:r>
        <w:t>on</w:t>
      </w:r>
      <w:r>
        <w:rPr>
          <w:spacing w:val="31"/>
        </w:rPr>
        <w:t xml:space="preserve"> </w:t>
      </w:r>
      <w:r>
        <w:t>the</w:t>
      </w:r>
      <w:r>
        <w:rPr>
          <w:spacing w:val="34"/>
        </w:rPr>
        <w:t xml:space="preserve"> </w:t>
      </w:r>
      <w:r>
        <w:t>government</w:t>
      </w:r>
      <w:r>
        <w:rPr>
          <w:spacing w:val="32"/>
        </w:rPr>
        <w:t xml:space="preserve"> </w:t>
      </w:r>
      <w:r>
        <w:t>to</w:t>
      </w:r>
      <w:r>
        <w:rPr>
          <w:spacing w:val="31"/>
        </w:rPr>
        <w:t xml:space="preserve"> </w:t>
      </w:r>
      <w:r>
        <w:t>adopt</w:t>
      </w:r>
      <w:r>
        <w:rPr>
          <w:spacing w:val="31"/>
        </w:rPr>
        <w:t xml:space="preserve"> </w:t>
      </w:r>
      <w:r>
        <w:t>the</w:t>
      </w:r>
      <w:r>
        <w:rPr>
          <w:spacing w:val="31"/>
        </w:rPr>
        <w:t xml:space="preserve"> </w:t>
      </w:r>
      <w:r>
        <w:t>same</w:t>
      </w:r>
      <w:r>
        <w:rPr>
          <w:spacing w:val="34"/>
        </w:rPr>
        <w:t xml:space="preserve"> </w:t>
      </w:r>
      <w:r>
        <w:t>approach</w:t>
      </w:r>
      <w:r>
        <w:rPr>
          <w:spacing w:val="31"/>
        </w:rPr>
        <w:t xml:space="preserve"> </w:t>
      </w:r>
      <w:r>
        <w:t>and</w:t>
      </w:r>
      <w:r>
        <w:rPr>
          <w:spacing w:val="34"/>
        </w:rPr>
        <w:t xml:space="preserve"> </w:t>
      </w:r>
      <w:r>
        <w:t>proactively</w:t>
      </w:r>
      <w:r>
        <w:rPr>
          <w:spacing w:val="33"/>
        </w:rPr>
        <w:t xml:space="preserve"> </w:t>
      </w:r>
      <w:r>
        <w:t>prevent</w:t>
      </w:r>
      <w:r>
        <w:rPr>
          <w:spacing w:val="34"/>
        </w:rPr>
        <w:t xml:space="preserve"> </w:t>
      </w:r>
      <w:r>
        <w:rPr>
          <w:spacing w:val="-2"/>
        </w:rPr>
        <w:t>police</w:t>
      </w:r>
    </w:p>
    <w:p w14:paraId="7CB25F0F" w14:textId="77777777" w:rsidR="008A4099" w:rsidRDefault="006A6EE2">
      <w:pPr>
        <w:pStyle w:val="BodyText"/>
        <w:spacing w:before="11"/>
        <w:rPr>
          <w:sz w:val="12"/>
        </w:rPr>
      </w:pPr>
      <w:r>
        <w:rPr>
          <w:noProof/>
        </w:rPr>
        <mc:AlternateContent>
          <mc:Choice Requires="wps">
            <w:drawing>
              <wp:anchor distT="0" distB="0" distL="0" distR="0" simplePos="0" relativeHeight="487604736" behindDoc="1" locked="0" layoutInCell="1" allowOverlap="1" wp14:anchorId="7CB2661B" wp14:editId="7CB2661C">
                <wp:simplePos x="0" y="0"/>
                <wp:positionH relativeFrom="page">
                  <wp:posOffset>914704</wp:posOffset>
                </wp:positionH>
                <wp:positionV relativeFrom="paragraph">
                  <wp:posOffset>109853</wp:posOffset>
                </wp:positionV>
                <wp:extent cx="1829435" cy="762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23F2B7" id="Graphic 75" o:spid="_x0000_s1026" style="position:absolute;margin-left:1in;margin-top:8.65pt;width:144.05pt;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" path="m1829054,l,,,7620r1829054,l1829054,xe" fillcolor="black" stroked="f">
                <v:path arrowok="t"/>
                <w10:wrap type="topAndBottom" anchorx="page"/>
              </v:shape>
            </w:pict>
          </mc:Fallback>
        </mc:AlternateContent>
      </w:r>
    </w:p>
    <w:p w14:paraId="7CB25F10" w14:textId="77777777" w:rsidR="008A4099" w:rsidRDefault="006A6EE2">
      <w:pPr>
        <w:spacing w:before="112"/>
        <w:ind w:left="160" w:right="679"/>
        <w:jc w:val="both"/>
        <w:rPr>
          <w:sz w:val="18"/>
        </w:rPr>
      </w:pPr>
      <w:r>
        <w:rPr>
          <w:sz w:val="18"/>
          <w:vertAlign w:val="superscript"/>
        </w:rPr>
        <w:t>208</w:t>
      </w:r>
      <w:r>
        <w:rPr>
          <w:sz w:val="18"/>
        </w:rPr>
        <w:t xml:space="preserve"> Appendix C contains a list of all those who provided advice to the TLRI pursuant to requesting that the Institute prepare this</w:t>
      </w:r>
      <w:r>
        <w:rPr>
          <w:spacing w:val="-4"/>
          <w:sz w:val="18"/>
        </w:rPr>
        <w:t xml:space="preserve"> </w:t>
      </w:r>
      <w:r>
        <w:rPr>
          <w:sz w:val="18"/>
        </w:rPr>
        <w:t>Report.</w:t>
      </w:r>
      <w:r>
        <w:rPr>
          <w:spacing w:val="-6"/>
          <w:sz w:val="18"/>
        </w:rPr>
        <w:t xml:space="preserve"> </w:t>
      </w:r>
      <w:r>
        <w:rPr>
          <w:sz w:val="18"/>
        </w:rPr>
        <w:t>In</w:t>
      </w:r>
      <w:r>
        <w:rPr>
          <w:spacing w:val="-5"/>
          <w:sz w:val="18"/>
        </w:rPr>
        <w:t xml:space="preserve"> </w:t>
      </w:r>
      <w:r>
        <w:rPr>
          <w:sz w:val="18"/>
        </w:rPr>
        <w:t>response</w:t>
      </w:r>
      <w:r>
        <w:rPr>
          <w:spacing w:val="-5"/>
          <w:sz w:val="18"/>
        </w:rPr>
        <w:t xml:space="preserve"> </w:t>
      </w:r>
      <w:r>
        <w:rPr>
          <w:sz w:val="18"/>
        </w:rPr>
        <w:t>to</w:t>
      </w:r>
      <w:r>
        <w:rPr>
          <w:spacing w:val="-5"/>
          <w:sz w:val="18"/>
        </w:rPr>
        <w:t xml:space="preserve"> </w:t>
      </w:r>
      <w:r>
        <w:rPr>
          <w:sz w:val="18"/>
        </w:rPr>
        <w:t>questions</w:t>
      </w:r>
      <w:r>
        <w:rPr>
          <w:spacing w:val="-5"/>
          <w:sz w:val="18"/>
        </w:rPr>
        <w:t xml:space="preserve"> </w:t>
      </w:r>
      <w:r>
        <w:rPr>
          <w:sz w:val="18"/>
        </w:rPr>
        <w:t>concerning</w:t>
      </w:r>
      <w:r>
        <w:rPr>
          <w:spacing w:val="-3"/>
          <w:sz w:val="18"/>
        </w:rPr>
        <w:t xml:space="preserve"> </w:t>
      </w:r>
      <w:r>
        <w:rPr>
          <w:sz w:val="18"/>
        </w:rPr>
        <w:t>the</w:t>
      </w:r>
      <w:r>
        <w:rPr>
          <w:spacing w:val="-5"/>
          <w:sz w:val="18"/>
        </w:rPr>
        <w:t xml:space="preserve"> </w:t>
      </w:r>
      <w:r>
        <w:rPr>
          <w:sz w:val="18"/>
        </w:rPr>
        <w:t>public</w:t>
      </w:r>
      <w:r>
        <w:rPr>
          <w:spacing w:val="-5"/>
          <w:sz w:val="18"/>
        </w:rPr>
        <w:t xml:space="preserve"> </w:t>
      </w:r>
      <w:r>
        <w:rPr>
          <w:sz w:val="18"/>
        </w:rPr>
        <w:t>visibility</w:t>
      </w:r>
      <w:r>
        <w:rPr>
          <w:spacing w:val="-5"/>
          <w:sz w:val="18"/>
        </w:rPr>
        <w:t xml:space="preserve"> </w:t>
      </w:r>
      <w:r>
        <w:rPr>
          <w:sz w:val="18"/>
        </w:rPr>
        <w:t>of</w:t>
      </w:r>
      <w:r>
        <w:rPr>
          <w:spacing w:val="-7"/>
          <w:sz w:val="18"/>
        </w:rPr>
        <w:t xml:space="preserve"> </w:t>
      </w:r>
      <w:r>
        <w:rPr>
          <w:sz w:val="18"/>
        </w:rPr>
        <w:t>the</w:t>
      </w:r>
      <w:r>
        <w:rPr>
          <w:spacing w:val="-5"/>
          <w:sz w:val="18"/>
        </w:rPr>
        <w:t xml:space="preserve"> </w:t>
      </w:r>
      <w:r>
        <w:rPr>
          <w:sz w:val="18"/>
        </w:rPr>
        <w:t>changes</w:t>
      </w:r>
      <w:r>
        <w:rPr>
          <w:spacing w:val="-5"/>
          <w:sz w:val="18"/>
        </w:rPr>
        <w:t xml:space="preserve"> </w:t>
      </w:r>
      <w:r>
        <w:rPr>
          <w:sz w:val="18"/>
        </w:rPr>
        <w:t>made</w:t>
      </w:r>
      <w:r>
        <w:rPr>
          <w:spacing w:val="-7"/>
          <w:sz w:val="18"/>
        </w:rPr>
        <w:t xml:space="preserve"> </w:t>
      </w:r>
      <w:r>
        <w:rPr>
          <w:sz w:val="18"/>
        </w:rPr>
        <w:t>by</w:t>
      </w:r>
      <w:r>
        <w:rPr>
          <w:spacing w:val="-6"/>
          <w:sz w:val="18"/>
        </w:rPr>
        <w:t xml:space="preserve"> </w:t>
      </w:r>
      <w:r>
        <w:rPr>
          <w:sz w:val="18"/>
        </w:rPr>
        <w:t>the</w:t>
      </w:r>
      <w:r>
        <w:rPr>
          <w:spacing w:val="-5"/>
          <w:sz w:val="18"/>
        </w:rPr>
        <w:t xml:space="preserve"> </w:t>
      </w:r>
      <w:r>
        <w:rPr>
          <w:sz w:val="18"/>
        </w:rPr>
        <w:t>Regulations,</w:t>
      </w:r>
      <w:r>
        <w:rPr>
          <w:spacing w:val="-6"/>
          <w:sz w:val="18"/>
        </w:rPr>
        <w:t xml:space="preserve"> </w:t>
      </w:r>
      <w:r>
        <w:rPr>
          <w:sz w:val="18"/>
        </w:rPr>
        <w:t>the</w:t>
      </w:r>
      <w:r>
        <w:rPr>
          <w:spacing w:val="-7"/>
          <w:sz w:val="18"/>
        </w:rPr>
        <w:t xml:space="preserve"> </w:t>
      </w:r>
      <w:r>
        <w:rPr>
          <w:sz w:val="18"/>
        </w:rPr>
        <w:t>Government stated that a regulatory impact statement was not required ‘as the regulation did not impose a significant burden, cost or disadvantage</w:t>
      </w:r>
      <w:r>
        <w:rPr>
          <w:spacing w:val="-7"/>
          <w:sz w:val="18"/>
        </w:rPr>
        <w:t xml:space="preserve"> </w:t>
      </w:r>
      <w:r>
        <w:rPr>
          <w:sz w:val="18"/>
        </w:rPr>
        <w:t>on</w:t>
      </w:r>
      <w:r>
        <w:rPr>
          <w:spacing w:val="-6"/>
          <w:sz w:val="18"/>
        </w:rPr>
        <w:t xml:space="preserve"> </w:t>
      </w:r>
      <w:r>
        <w:rPr>
          <w:sz w:val="18"/>
        </w:rPr>
        <w:t>any</w:t>
      </w:r>
      <w:r>
        <w:rPr>
          <w:spacing w:val="-6"/>
          <w:sz w:val="18"/>
        </w:rPr>
        <w:t xml:space="preserve"> </w:t>
      </w:r>
      <w:r>
        <w:rPr>
          <w:sz w:val="18"/>
        </w:rPr>
        <w:t>sector</w:t>
      </w:r>
      <w:r>
        <w:rPr>
          <w:spacing w:val="-9"/>
          <w:sz w:val="18"/>
        </w:rPr>
        <w:t xml:space="preserve"> </w:t>
      </w:r>
      <w:r>
        <w:rPr>
          <w:sz w:val="18"/>
        </w:rPr>
        <w:t>of</w:t>
      </w:r>
      <w:r>
        <w:rPr>
          <w:spacing w:val="-7"/>
          <w:sz w:val="18"/>
        </w:rPr>
        <w:t xml:space="preserve"> </w:t>
      </w:r>
      <w:r>
        <w:rPr>
          <w:sz w:val="18"/>
        </w:rPr>
        <w:t>the</w:t>
      </w:r>
      <w:r>
        <w:rPr>
          <w:spacing w:val="-10"/>
          <w:sz w:val="18"/>
        </w:rPr>
        <w:t xml:space="preserve"> </w:t>
      </w:r>
      <w:r>
        <w:rPr>
          <w:sz w:val="18"/>
        </w:rPr>
        <w:t>public’:</w:t>
      </w:r>
      <w:r>
        <w:rPr>
          <w:spacing w:val="-6"/>
          <w:sz w:val="18"/>
        </w:rPr>
        <w:t xml:space="preserve"> </w:t>
      </w:r>
      <w:r>
        <w:rPr>
          <w:sz w:val="18"/>
        </w:rPr>
        <w:t>Tasmania,</w:t>
      </w:r>
      <w:r>
        <w:rPr>
          <w:spacing w:val="-4"/>
          <w:sz w:val="18"/>
        </w:rPr>
        <w:t xml:space="preserve"> </w:t>
      </w:r>
      <w:r>
        <w:rPr>
          <w:i/>
          <w:sz w:val="18"/>
        </w:rPr>
        <w:t>Parliamentary</w:t>
      </w:r>
      <w:r>
        <w:rPr>
          <w:i/>
          <w:spacing w:val="-8"/>
          <w:sz w:val="18"/>
        </w:rPr>
        <w:t xml:space="preserve"> </w:t>
      </w:r>
      <w:r>
        <w:rPr>
          <w:i/>
          <w:sz w:val="18"/>
        </w:rPr>
        <w:t>Debates</w:t>
      </w:r>
      <w:r>
        <w:rPr>
          <w:sz w:val="18"/>
        </w:rPr>
        <w:t>,</w:t>
      </w:r>
      <w:r>
        <w:rPr>
          <w:spacing w:val="-6"/>
          <w:sz w:val="18"/>
        </w:rPr>
        <w:t xml:space="preserve"> </w:t>
      </w:r>
      <w:r>
        <w:rPr>
          <w:sz w:val="18"/>
        </w:rPr>
        <w:t>Legislative</w:t>
      </w:r>
      <w:r>
        <w:rPr>
          <w:spacing w:val="-7"/>
          <w:sz w:val="18"/>
        </w:rPr>
        <w:t xml:space="preserve"> </w:t>
      </w:r>
      <w:r>
        <w:rPr>
          <w:sz w:val="18"/>
        </w:rPr>
        <w:t>Council,</w:t>
      </w:r>
      <w:r>
        <w:rPr>
          <w:spacing w:val="-9"/>
          <w:sz w:val="18"/>
        </w:rPr>
        <w:t xml:space="preserve"> </w:t>
      </w:r>
      <w:r>
        <w:rPr>
          <w:sz w:val="18"/>
        </w:rPr>
        <w:t>17</w:t>
      </w:r>
      <w:r>
        <w:rPr>
          <w:spacing w:val="-10"/>
          <w:sz w:val="18"/>
        </w:rPr>
        <w:t xml:space="preserve"> </w:t>
      </w:r>
      <w:r>
        <w:rPr>
          <w:sz w:val="18"/>
        </w:rPr>
        <w:t>March</w:t>
      </w:r>
      <w:r>
        <w:rPr>
          <w:spacing w:val="-6"/>
          <w:sz w:val="18"/>
        </w:rPr>
        <w:t xml:space="preserve"> </w:t>
      </w:r>
      <w:r>
        <w:rPr>
          <w:sz w:val="18"/>
        </w:rPr>
        <w:t>2020,</w:t>
      </w:r>
      <w:r>
        <w:rPr>
          <w:spacing w:val="-6"/>
          <w:sz w:val="18"/>
        </w:rPr>
        <w:t xml:space="preserve"> </w:t>
      </w:r>
      <w:r>
        <w:rPr>
          <w:sz w:val="18"/>
        </w:rPr>
        <w:t>16</w:t>
      </w:r>
      <w:r>
        <w:rPr>
          <w:spacing w:val="-6"/>
          <w:sz w:val="18"/>
        </w:rPr>
        <w:t xml:space="preserve"> </w:t>
      </w:r>
      <w:r>
        <w:rPr>
          <w:sz w:val="18"/>
        </w:rPr>
        <w:t xml:space="preserve">(Leonie Hiscuitt). The Government also pointed out that the Regulations were tabled in both Houses of Parliament: Tasmania, </w:t>
      </w:r>
      <w:r>
        <w:rPr>
          <w:i/>
          <w:sz w:val="18"/>
        </w:rPr>
        <w:t>Parliamentary Debates</w:t>
      </w:r>
      <w:r>
        <w:rPr>
          <w:sz w:val="18"/>
        </w:rPr>
        <w:t>, Legislative Council, 21 November 2019, 35 (Leonie Hiscuitt).</w:t>
      </w:r>
    </w:p>
    <w:p w14:paraId="7CB25F11" w14:textId="77777777" w:rsidR="008A4099" w:rsidRDefault="006A6EE2">
      <w:pPr>
        <w:spacing w:before="23"/>
        <w:ind w:left="160"/>
        <w:jc w:val="both"/>
        <w:rPr>
          <w:sz w:val="18"/>
        </w:rPr>
      </w:pPr>
      <w:r>
        <w:rPr>
          <w:sz w:val="18"/>
          <w:vertAlign w:val="superscript"/>
        </w:rPr>
        <w:t>209</w:t>
      </w:r>
      <w:r>
        <w:rPr>
          <w:spacing w:val="-2"/>
          <w:sz w:val="18"/>
        </w:rPr>
        <w:t xml:space="preserve"> </w:t>
      </w:r>
      <w:r>
        <w:rPr>
          <w:sz w:val="18"/>
        </w:rPr>
        <w:t>See</w:t>
      </w:r>
      <w:r>
        <w:rPr>
          <w:spacing w:val="-3"/>
          <w:sz w:val="18"/>
        </w:rPr>
        <w:t xml:space="preserve"> </w:t>
      </w:r>
      <w:r>
        <w:rPr>
          <w:sz w:val="18"/>
        </w:rPr>
        <w:t>Mackie</w:t>
      </w:r>
      <w:r>
        <w:rPr>
          <w:spacing w:val="-1"/>
          <w:sz w:val="18"/>
        </w:rPr>
        <w:t xml:space="preserve"> </w:t>
      </w:r>
      <w:r>
        <w:rPr>
          <w:sz w:val="18"/>
        </w:rPr>
        <w:t>and</w:t>
      </w:r>
      <w:r>
        <w:rPr>
          <w:spacing w:val="-1"/>
          <w:sz w:val="18"/>
        </w:rPr>
        <w:t xml:space="preserve"> </w:t>
      </w:r>
      <w:r>
        <w:rPr>
          <w:sz w:val="18"/>
        </w:rPr>
        <w:t>Hilkemeijer,</w:t>
      </w:r>
      <w:r>
        <w:rPr>
          <w:spacing w:val="2"/>
          <w:sz w:val="18"/>
        </w:rPr>
        <w:t xml:space="preserve"> </w:t>
      </w:r>
      <w:r>
        <w:rPr>
          <w:color w:val="242424"/>
          <w:sz w:val="18"/>
        </w:rPr>
        <w:t>‘Human</w:t>
      </w:r>
      <w:r>
        <w:rPr>
          <w:color w:val="242424"/>
          <w:spacing w:val="-1"/>
          <w:sz w:val="18"/>
        </w:rPr>
        <w:t xml:space="preserve"> </w:t>
      </w:r>
      <w:r>
        <w:rPr>
          <w:color w:val="242424"/>
          <w:sz w:val="18"/>
        </w:rPr>
        <w:t>Rights</w:t>
      </w:r>
      <w:r>
        <w:rPr>
          <w:color w:val="242424"/>
          <w:spacing w:val="-2"/>
          <w:sz w:val="18"/>
        </w:rPr>
        <w:t xml:space="preserve"> </w:t>
      </w:r>
      <w:r>
        <w:rPr>
          <w:color w:val="242424"/>
          <w:sz w:val="18"/>
        </w:rPr>
        <w:t>Scrutiny</w:t>
      </w:r>
      <w:r>
        <w:rPr>
          <w:color w:val="242424"/>
          <w:spacing w:val="-1"/>
          <w:sz w:val="18"/>
        </w:rPr>
        <w:t xml:space="preserve"> </w:t>
      </w:r>
      <w:r>
        <w:rPr>
          <w:color w:val="242424"/>
          <w:sz w:val="18"/>
        </w:rPr>
        <w:t>in Tasmania’s</w:t>
      </w:r>
      <w:r>
        <w:rPr>
          <w:color w:val="242424"/>
          <w:spacing w:val="-3"/>
          <w:sz w:val="18"/>
        </w:rPr>
        <w:t xml:space="preserve"> </w:t>
      </w:r>
      <w:r>
        <w:rPr>
          <w:color w:val="242424"/>
          <w:sz w:val="18"/>
        </w:rPr>
        <w:t>Parliament’</w:t>
      </w:r>
      <w:r>
        <w:rPr>
          <w:color w:val="242424"/>
          <w:spacing w:val="-1"/>
          <w:sz w:val="18"/>
        </w:rPr>
        <w:t xml:space="preserve"> </w:t>
      </w:r>
      <w:r>
        <w:rPr>
          <w:sz w:val="18"/>
        </w:rPr>
        <w:t>[17.40],</w:t>
      </w:r>
      <w:r>
        <w:rPr>
          <w:spacing w:val="-2"/>
          <w:sz w:val="18"/>
        </w:rPr>
        <w:t xml:space="preserve"> </w:t>
      </w:r>
      <w:r>
        <w:rPr>
          <w:sz w:val="18"/>
        </w:rPr>
        <w:t>[17.50],</w:t>
      </w:r>
      <w:r>
        <w:rPr>
          <w:spacing w:val="-3"/>
          <w:sz w:val="18"/>
        </w:rPr>
        <w:t xml:space="preserve"> </w:t>
      </w:r>
      <w:r>
        <w:rPr>
          <w:sz w:val="18"/>
        </w:rPr>
        <w:t>[17.80],</w:t>
      </w:r>
      <w:r>
        <w:rPr>
          <w:spacing w:val="-2"/>
          <w:sz w:val="18"/>
        </w:rPr>
        <w:t xml:space="preserve"> [17.90].</w:t>
      </w:r>
    </w:p>
    <w:p w14:paraId="7CB25F12" w14:textId="77777777" w:rsidR="008A4099" w:rsidRDefault="006A6EE2">
      <w:pPr>
        <w:spacing w:before="24"/>
        <w:ind w:left="160"/>
        <w:jc w:val="both"/>
        <w:rPr>
          <w:sz w:val="18"/>
        </w:rPr>
      </w:pPr>
      <w:r>
        <w:rPr>
          <w:sz w:val="18"/>
          <w:vertAlign w:val="superscript"/>
        </w:rPr>
        <w:t>210</w:t>
      </w:r>
      <w:r>
        <w:rPr>
          <w:spacing w:val="-7"/>
          <w:sz w:val="18"/>
        </w:rPr>
        <w:t xml:space="preserve"> </w:t>
      </w:r>
      <w:r>
        <w:rPr>
          <w:sz w:val="18"/>
        </w:rPr>
        <w:t>See</w:t>
      </w:r>
      <w:r>
        <w:rPr>
          <w:spacing w:val="-6"/>
          <w:sz w:val="18"/>
        </w:rPr>
        <w:t xml:space="preserve"> </w:t>
      </w:r>
      <w:r>
        <w:rPr>
          <w:sz w:val="18"/>
        </w:rPr>
        <w:t>Justin</w:t>
      </w:r>
      <w:r>
        <w:rPr>
          <w:spacing w:val="-7"/>
          <w:sz w:val="18"/>
        </w:rPr>
        <w:t xml:space="preserve"> </w:t>
      </w:r>
      <w:r>
        <w:rPr>
          <w:sz w:val="18"/>
        </w:rPr>
        <w:t>Hendry,</w:t>
      </w:r>
      <w:r>
        <w:rPr>
          <w:spacing w:val="-5"/>
          <w:sz w:val="18"/>
        </w:rPr>
        <w:t xml:space="preserve"> </w:t>
      </w:r>
      <w:r>
        <w:rPr>
          <w:sz w:val="18"/>
        </w:rPr>
        <w:t>‘Three</w:t>
      </w:r>
      <w:r>
        <w:rPr>
          <w:spacing w:val="-6"/>
          <w:sz w:val="18"/>
        </w:rPr>
        <w:t xml:space="preserve"> </w:t>
      </w:r>
      <w:r>
        <w:rPr>
          <w:sz w:val="18"/>
        </w:rPr>
        <w:t>States</w:t>
      </w:r>
      <w:r>
        <w:rPr>
          <w:spacing w:val="-9"/>
          <w:sz w:val="18"/>
        </w:rPr>
        <w:t xml:space="preserve"> </w:t>
      </w:r>
      <w:r>
        <w:rPr>
          <w:sz w:val="18"/>
        </w:rPr>
        <w:t>Complete</w:t>
      </w:r>
      <w:r>
        <w:rPr>
          <w:spacing w:val="-6"/>
          <w:sz w:val="18"/>
        </w:rPr>
        <w:t xml:space="preserve"> </w:t>
      </w:r>
      <w:r>
        <w:rPr>
          <w:sz w:val="18"/>
        </w:rPr>
        <w:t>National</w:t>
      </w:r>
      <w:r>
        <w:rPr>
          <w:spacing w:val="-5"/>
          <w:sz w:val="18"/>
        </w:rPr>
        <w:t xml:space="preserve"> </w:t>
      </w:r>
      <w:r>
        <w:rPr>
          <w:sz w:val="18"/>
        </w:rPr>
        <w:t>Face</w:t>
      </w:r>
      <w:r>
        <w:rPr>
          <w:spacing w:val="-6"/>
          <w:sz w:val="18"/>
        </w:rPr>
        <w:t xml:space="preserve"> </w:t>
      </w:r>
      <w:r>
        <w:rPr>
          <w:sz w:val="18"/>
        </w:rPr>
        <w:t>Matching</w:t>
      </w:r>
      <w:r>
        <w:rPr>
          <w:spacing w:val="-5"/>
          <w:sz w:val="18"/>
        </w:rPr>
        <w:t xml:space="preserve"> </w:t>
      </w:r>
      <w:r>
        <w:rPr>
          <w:sz w:val="18"/>
        </w:rPr>
        <w:t>Database</w:t>
      </w:r>
      <w:r>
        <w:rPr>
          <w:spacing w:val="-7"/>
          <w:sz w:val="18"/>
        </w:rPr>
        <w:t xml:space="preserve"> </w:t>
      </w:r>
      <w:r>
        <w:rPr>
          <w:sz w:val="18"/>
        </w:rPr>
        <w:t>Upload’</w:t>
      </w:r>
      <w:r>
        <w:rPr>
          <w:spacing w:val="-6"/>
          <w:sz w:val="18"/>
        </w:rPr>
        <w:t xml:space="preserve"> </w:t>
      </w:r>
      <w:r>
        <w:rPr>
          <w:sz w:val="18"/>
        </w:rPr>
        <w:t>(</w:t>
      </w:r>
      <w:r>
        <w:rPr>
          <w:i/>
          <w:sz w:val="18"/>
        </w:rPr>
        <w:t>ITnews</w:t>
      </w:r>
      <w:r>
        <w:rPr>
          <w:i/>
          <w:spacing w:val="-6"/>
          <w:sz w:val="18"/>
        </w:rPr>
        <w:t xml:space="preserve"> </w:t>
      </w:r>
      <w:r>
        <w:rPr>
          <w:sz w:val="18"/>
        </w:rPr>
        <w:t>online,</w:t>
      </w:r>
      <w:r>
        <w:rPr>
          <w:spacing w:val="-6"/>
          <w:sz w:val="18"/>
        </w:rPr>
        <w:t xml:space="preserve"> </w:t>
      </w:r>
      <w:r>
        <w:rPr>
          <w:sz w:val="18"/>
        </w:rPr>
        <w:t>11</w:t>
      </w:r>
      <w:r>
        <w:rPr>
          <w:spacing w:val="-1"/>
          <w:sz w:val="18"/>
        </w:rPr>
        <w:t xml:space="preserve"> </w:t>
      </w:r>
      <w:r>
        <w:rPr>
          <w:sz w:val="18"/>
        </w:rPr>
        <w:t>December</w:t>
      </w:r>
      <w:r>
        <w:rPr>
          <w:spacing w:val="-6"/>
          <w:sz w:val="18"/>
        </w:rPr>
        <w:t xml:space="preserve"> </w:t>
      </w:r>
      <w:r>
        <w:rPr>
          <w:spacing w:val="-2"/>
          <w:sz w:val="18"/>
        </w:rPr>
        <w:t>2019)</w:t>
      </w:r>
    </w:p>
    <w:p w14:paraId="7CB25F13" w14:textId="77777777" w:rsidR="008A4099" w:rsidRDefault="006A6EE2">
      <w:pPr>
        <w:spacing w:before="4"/>
        <w:ind w:left="160" w:right="674"/>
        <w:jc w:val="both"/>
        <w:rPr>
          <w:sz w:val="18"/>
        </w:rPr>
      </w:pPr>
      <w:r>
        <w:rPr>
          <w:sz w:val="18"/>
        </w:rPr>
        <w:t>&lt;https://</w:t>
      </w:r>
      <w:hyperlink r:id="rId99">
        <w:r>
          <w:rPr>
            <w:sz w:val="18"/>
          </w:rPr>
          <w:t>www.itnews.com.au/news/three-states-complete-national-face-matching-database-upload-53535</w:t>
        </w:r>
      </w:hyperlink>
      <w:r>
        <w:rPr>
          <w:sz w:val="18"/>
        </w:rPr>
        <w:t>&gt;.</w:t>
      </w:r>
      <w:r>
        <w:rPr>
          <w:spacing w:val="-10"/>
          <w:sz w:val="18"/>
        </w:rPr>
        <w:t xml:space="preserve"> </w:t>
      </w:r>
      <w:r>
        <w:rPr>
          <w:sz w:val="18"/>
        </w:rPr>
        <w:t>Victoria</w:t>
      </w:r>
      <w:r>
        <w:rPr>
          <w:spacing w:val="-10"/>
          <w:sz w:val="18"/>
        </w:rPr>
        <w:t xml:space="preserve"> </w:t>
      </w:r>
      <w:r>
        <w:rPr>
          <w:sz w:val="18"/>
        </w:rPr>
        <w:t>created</w:t>
      </w:r>
      <w:r>
        <w:rPr>
          <w:spacing w:val="-10"/>
          <w:sz w:val="18"/>
        </w:rPr>
        <w:t xml:space="preserve"> </w:t>
      </w:r>
      <w:r>
        <w:rPr>
          <w:sz w:val="18"/>
        </w:rPr>
        <w:t>a digital platform to facilitate participation in the scheme: Meagan Ryan, ‘Proposed Identity-Matching Services in Australia’ (2019)</w:t>
      </w:r>
      <w:r>
        <w:rPr>
          <w:spacing w:val="-1"/>
          <w:sz w:val="18"/>
        </w:rPr>
        <w:t xml:space="preserve"> </w:t>
      </w:r>
      <w:r>
        <w:rPr>
          <w:sz w:val="18"/>
        </w:rPr>
        <w:t xml:space="preserve">16(7) </w:t>
      </w:r>
      <w:r>
        <w:rPr>
          <w:i/>
          <w:sz w:val="18"/>
        </w:rPr>
        <w:t>Privacy</w:t>
      </w:r>
      <w:r>
        <w:rPr>
          <w:i/>
          <w:spacing w:val="-2"/>
          <w:sz w:val="18"/>
        </w:rPr>
        <w:t xml:space="preserve"> </w:t>
      </w:r>
      <w:r>
        <w:rPr>
          <w:i/>
          <w:sz w:val="18"/>
        </w:rPr>
        <w:t>Law</w:t>
      </w:r>
      <w:r>
        <w:rPr>
          <w:i/>
          <w:spacing w:val="-1"/>
          <w:sz w:val="18"/>
        </w:rPr>
        <w:t xml:space="preserve"> </w:t>
      </w:r>
      <w:r>
        <w:rPr>
          <w:i/>
          <w:sz w:val="18"/>
        </w:rPr>
        <w:t xml:space="preserve">Bulletin </w:t>
      </w:r>
      <w:r>
        <w:rPr>
          <w:sz w:val="18"/>
        </w:rPr>
        <w:t>126,</w:t>
      </w:r>
      <w:r>
        <w:rPr>
          <w:spacing w:val="-1"/>
          <w:sz w:val="18"/>
        </w:rPr>
        <w:t xml:space="preserve"> </w:t>
      </w:r>
      <w:r>
        <w:rPr>
          <w:sz w:val="18"/>
        </w:rPr>
        <w:t>127.</w:t>
      </w:r>
      <w:r>
        <w:rPr>
          <w:spacing w:val="-1"/>
          <w:sz w:val="18"/>
        </w:rPr>
        <w:t xml:space="preserve"> </w:t>
      </w:r>
      <w:r>
        <w:rPr>
          <w:sz w:val="18"/>
        </w:rPr>
        <w:t>In its</w:t>
      </w:r>
      <w:r>
        <w:rPr>
          <w:spacing w:val="-1"/>
          <w:sz w:val="18"/>
        </w:rPr>
        <w:t xml:space="preserve"> </w:t>
      </w:r>
      <w:r>
        <w:rPr>
          <w:sz w:val="18"/>
        </w:rPr>
        <w:t>response</w:t>
      </w:r>
      <w:r>
        <w:rPr>
          <w:spacing w:val="-2"/>
          <w:sz w:val="18"/>
        </w:rPr>
        <w:t xml:space="preserve"> </w:t>
      </w:r>
      <w:r>
        <w:rPr>
          <w:sz w:val="18"/>
        </w:rPr>
        <w:t>to the</w:t>
      </w:r>
      <w:r>
        <w:rPr>
          <w:spacing w:val="-4"/>
          <w:sz w:val="18"/>
        </w:rPr>
        <w:t xml:space="preserve"> </w:t>
      </w:r>
      <w:r>
        <w:rPr>
          <w:sz w:val="18"/>
        </w:rPr>
        <w:t>Privacy Impact</w:t>
      </w:r>
      <w:r>
        <w:rPr>
          <w:spacing w:val="-1"/>
          <w:sz w:val="18"/>
        </w:rPr>
        <w:t xml:space="preserve"> </w:t>
      </w:r>
      <w:r>
        <w:rPr>
          <w:sz w:val="18"/>
        </w:rPr>
        <w:t>Assessment</w:t>
      </w:r>
      <w:r>
        <w:rPr>
          <w:spacing w:val="-1"/>
          <w:sz w:val="18"/>
        </w:rPr>
        <w:t xml:space="preserve"> </w:t>
      </w:r>
      <w:r>
        <w:rPr>
          <w:sz w:val="18"/>
        </w:rPr>
        <w:t>of</w:t>
      </w:r>
      <w:r>
        <w:rPr>
          <w:spacing w:val="-1"/>
          <w:sz w:val="18"/>
        </w:rPr>
        <w:t xml:space="preserve"> </w:t>
      </w:r>
      <w:r>
        <w:rPr>
          <w:sz w:val="18"/>
        </w:rPr>
        <w:t>participation in the</w:t>
      </w:r>
      <w:r>
        <w:rPr>
          <w:spacing w:val="-2"/>
          <w:sz w:val="18"/>
        </w:rPr>
        <w:t xml:space="preserve"> </w:t>
      </w:r>
      <w:r>
        <w:rPr>
          <w:sz w:val="18"/>
        </w:rPr>
        <w:t>scheme, VicRoads accepted all 13 recommendations, including the recommendation to monitor the ‘NDLFRS bulk upload and daily updates</w:t>
      </w:r>
      <w:r>
        <w:rPr>
          <w:spacing w:val="70"/>
          <w:w w:val="150"/>
          <w:sz w:val="18"/>
        </w:rPr>
        <w:t xml:space="preserve"> </w:t>
      </w:r>
      <w:r>
        <w:rPr>
          <w:sz w:val="18"/>
        </w:rPr>
        <w:t>to</w:t>
      </w:r>
      <w:r>
        <w:rPr>
          <w:spacing w:val="72"/>
          <w:w w:val="150"/>
          <w:sz w:val="18"/>
        </w:rPr>
        <w:t xml:space="preserve"> </w:t>
      </w:r>
      <w:r>
        <w:rPr>
          <w:sz w:val="18"/>
        </w:rPr>
        <w:t>identify</w:t>
      </w:r>
      <w:r>
        <w:rPr>
          <w:spacing w:val="73"/>
          <w:w w:val="150"/>
          <w:sz w:val="18"/>
        </w:rPr>
        <w:t xml:space="preserve"> </w:t>
      </w:r>
      <w:r>
        <w:rPr>
          <w:sz w:val="18"/>
        </w:rPr>
        <w:t>and</w:t>
      </w:r>
      <w:r>
        <w:rPr>
          <w:spacing w:val="72"/>
          <w:w w:val="150"/>
          <w:sz w:val="18"/>
        </w:rPr>
        <w:t xml:space="preserve"> </w:t>
      </w:r>
      <w:r>
        <w:rPr>
          <w:sz w:val="18"/>
        </w:rPr>
        <w:t>manage</w:t>
      </w:r>
      <w:r>
        <w:rPr>
          <w:spacing w:val="70"/>
          <w:w w:val="150"/>
          <w:sz w:val="18"/>
        </w:rPr>
        <w:t xml:space="preserve"> </w:t>
      </w:r>
      <w:r>
        <w:rPr>
          <w:sz w:val="18"/>
        </w:rPr>
        <w:t>accuracy</w:t>
      </w:r>
      <w:r>
        <w:rPr>
          <w:spacing w:val="73"/>
          <w:w w:val="150"/>
          <w:sz w:val="18"/>
        </w:rPr>
        <w:t xml:space="preserve"> </w:t>
      </w:r>
      <w:r>
        <w:rPr>
          <w:sz w:val="18"/>
        </w:rPr>
        <w:t>issues’:</w:t>
      </w:r>
      <w:r>
        <w:rPr>
          <w:spacing w:val="74"/>
          <w:w w:val="150"/>
          <w:sz w:val="18"/>
        </w:rPr>
        <w:t xml:space="preserve"> </w:t>
      </w:r>
      <w:r>
        <w:rPr>
          <w:sz w:val="18"/>
        </w:rPr>
        <w:t>VicRoads,</w:t>
      </w:r>
      <w:r>
        <w:rPr>
          <w:spacing w:val="72"/>
          <w:w w:val="150"/>
          <w:sz w:val="18"/>
        </w:rPr>
        <w:t xml:space="preserve"> </w:t>
      </w:r>
      <w:r>
        <w:rPr>
          <w:i/>
          <w:sz w:val="18"/>
        </w:rPr>
        <w:t>Privacy:</w:t>
      </w:r>
      <w:r>
        <w:rPr>
          <w:i/>
          <w:spacing w:val="72"/>
          <w:w w:val="150"/>
          <w:sz w:val="18"/>
        </w:rPr>
        <w:t xml:space="preserve"> </w:t>
      </w:r>
      <w:r>
        <w:rPr>
          <w:i/>
          <w:sz w:val="18"/>
        </w:rPr>
        <w:t>Policy</w:t>
      </w:r>
      <w:r>
        <w:rPr>
          <w:i/>
          <w:spacing w:val="70"/>
          <w:w w:val="150"/>
          <w:sz w:val="18"/>
        </w:rPr>
        <w:t xml:space="preserve"> </w:t>
      </w:r>
      <w:r>
        <w:rPr>
          <w:i/>
          <w:sz w:val="18"/>
        </w:rPr>
        <w:t>Statement</w:t>
      </w:r>
      <w:r>
        <w:rPr>
          <w:i/>
          <w:spacing w:val="71"/>
          <w:w w:val="150"/>
          <w:sz w:val="18"/>
        </w:rPr>
        <w:t xml:space="preserve"> </w:t>
      </w:r>
      <w:r>
        <w:rPr>
          <w:sz w:val="18"/>
        </w:rPr>
        <w:t>(18</w:t>
      </w:r>
      <w:r>
        <w:rPr>
          <w:spacing w:val="73"/>
          <w:w w:val="150"/>
          <w:sz w:val="18"/>
        </w:rPr>
        <w:t xml:space="preserve"> </w:t>
      </w:r>
      <w:r>
        <w:rPr>
          <w:sz w:val="18"/>
        </w:rPr>
        <w:t>December</w:t>
      </w:r>
      <w:r>
        <w:rPr>
          <w:spacing w:val="71"/>
          <w:w w:val="150"/>
          <w:sz w:val="18"/>
        </w:rPr>
        <w:t xml:space="preserve"> </w:t>
      </w:r>
      <w:r>
        <w:rPr>
          <w:spacing w:val="-2"/>
          <w:sz w:val="18"/>
        </w:rPr>
        <w:t>2023)</w:t>
      </w:r>
    </w:p>
    <w:p w14:paraId="7CB25F14" w14:textId="77777777" w:rsidR="008A4099" w:rsidRDefault="006A6EE2">
      <w:pPr>
        <w:spacing w:before="2"/>
        <w:ind w:left="160"/>
        <w:rPr>
          <w:sz w:val="18"/>
        </w:rPr>
      </w:pPr>
      <w:r>
        <w:rPr>
          <w:spacing w:val="-2"/>
          <w:sz w:val="18"/>
        </w:rPr>
        <w:t>&lt;</w:t>
      </w:r>
      <w:hyperlink r:id="rId100">
        <w:r>
          <w:rPr>
            <w:spacing w:val="-2"/>
            <w:sz w:val="18"/>
          </w:rPr>
          <w:t>www.vicroads.vic.gov.au/website-terms/privacy</w:t>
        </w:r>
      </w:hyperlink>
      <w:r>
        <w:rPr>
          <w:spacing w:val="-2"/>
          <w:sz w:val="18"/>
        </w:rPr>
        <w:t>&gt;.</w:t>
      </w:r>
    </w:p>
    <w:p w14:paraId="7CB25F15" w14:textId="77777777" w:rsidR="008A4099" w:rsidRDefault="006A6EE2">
      <w:pPr>
        <w:spacing w:before="19"/>
        <w:ind w:left="160"/>
        <w:rPr>
          <w:sz w:val="18"/>
        </w:rPr>
      </w:pPr>
      <w:r>
        <w:rPr>
          <w:sz w:val="18"/>
          <w:vertAlign w:val="superscript"/>
        </w:rPr>
        <w:t>211</w:t>
      </w:r>
      <w:r>
        <w:rPr>
          <w:spacing w:val="-1"/>
          <w:sz w:val="18"/>
        </w:rPr>
        <w:t xml:space="preserve"> </w:t>
      </w:r>
      <w:r>
        <w:rPr>
          <w:sz w:val="18"/>
        </w:rPr>
        <w:t>See Premier of Victoria,</w:t>
      </w:r>
      <w:r>
        <w:rPr>
          <w:spacing w:val="-2"/>
          <w:sz w:val="18"/>
        </w:rPr>
        <w:t xml:space="preserve"> </w:t>
      </w:r>
      <w:r>
        <w:rPr>
          <w:i/>
          <w:sz w:val="18"/>
        </w:rPr>
        <w:t>Identity</w:t>
      </w:r>
      <w:r>
        <w:rPr>
          <w:i/>
          <w:spacing w:val="-2"/>
          <w:sz w:val="18"/>
        </w:rPr>
        <w:t xml:space="preserve"> </w:t>
      </w:r>
      <w:r>
        <w:rPr>
          <w:i/>
          <w:sz w:val="18"/>
        </w:rPr>
        <w:t>Fraud</w:t>
      </w:r>
      <w:r>
        <w:rPr>
          <w:i/>
          <w:spacing w:val="-1"/>
          <w:sz w:val="18"/>
        </w:rPr>
        <w:t xml:space="preserve"> </w:t>
      </w:r>
      <w:r>
        <w:rPr>
          <w:i/>
          <w:sz w:val="18"/>
        </w:rPr>
        <w:t>Crackdown</w:t>
      </w:r>
      <w:r>
        <w:rPr>
          <w:i/>
          <w:spacing w:val="2"/>
          <w:sz w:val="18"/>
        </w:rPr>
        <w:t xml:space="preserve"> </w:t>
      </w:r>
      <w:r>
        <w:rPr>
          <w:sz w:val="18"/>
        </w:rPr>
        <w:t>(Web</w:t>
      </w:r>
      <w:r>
        <w:rPr>
          <w:spacing w:val="1"/>
          <w:sz w:val="18"/>
        </w:rPr>
        <w:t xml:space="preserve"> </w:t>
      </w:r>
      <w:r>
        <w:rPr>
          <w:sz w:val="18"/>
        </w:rPr>
        <w:t>Page,</w:t>
      </w:r>
      <w:r>
        <w:rPr>
          <w:spacing w:val="-1"/>
          <w:sz w:val="18"/>
        </w:rPr>
        <w:t xml:space="preserve"> </w:t>
      </w:r>
      <w:r>
        <w:rPr>
          <w:sz w:val="18"/>
        </w:rPr>
        <w:t>17</w:t>
      </w:r>
      <w:r>
        <w:rPr>
          <w:spacing w:val="-1"/>
          <w:sz w:val="18"/>
        </w:rPr>
        <w:t xml:space="preserve"> </w:t>
      </w:r>
      <w:r>
        <w:rPr>
          <w:sz w:val="18"/>
        </w:rPr>
        <w:t>September</w:t>
      </w:r>
      <w:r>
        <w:rPr>
          <w:spacing w:val="1"/>
          <w:sz w:val="18"/>
        </w:rPr>
        <w:t xml:space="preserve"> </w:t>
      </w:r>
      <w:r>
        <w:rPr>
          <w:spacing w:val="-2"/>
          <w:sz w:val="18"/>
        </w:rPr>
        <w:t>2019)</w:t>
      </w:r>
    </w:p>
    <w:p w14:paraId="7CB25F16" w14:textId="77777777" w:rsidR="008A4099" w:rsidRDefault="006A6EE2">
      <w:pPr>
        <w:spacing w:before="4"/>
        <w:ind w:left="160"/>
        <w:rPr>
          <w:sz w:val="18"/>
        </w:rPr>
      </w:pPr>
      <w:r>
        <w:rPr>
          <w:spacing w:val="-2"/>
          <w:sz w:val="18"/>
        </w:rPr>
        <w:t>&lt;https://</w:t>
      </w:r>
      <w:hyperlink r:id="rId101">
        <w:r>
          <w:rPr>
            <w:spacing w:val="-2"/>
            <w:sz w:val="18"/>
          </w:rPr>
          <w:t>www.premier.vic.gov.au/identity-fraud-crackdown/&gt;.</w:t>
        </w:r>
      </w:hyperlink>
    </w:p>
    <w:p w14:paraId="7CB25F17" w14:textId="77777777" w:rsidR="008A4099" w:rsidRDefault="006A6EE2">
      <w:pPr>
        <w:spacing w:before="19"/>
        <w:ind w:left="160" w:right="673"/>
        <w:jc w:val="both"/>
        <w:rPr>
          <w:sz w:val="18"/>
        </w:rPr>
      </w:pPr>
      <w:r>
        <w:rPr>
          <w:sz w:val="18"/>
          <w:vertAlign w:val="superscript"/>
        </w:rPr>
        <w:t>212</w:t>
      </w:r>
      <w:r>
        <w:rPr>
          <w:sz w:val="18"/>
        </w:rPr>
        <w:t xml:space="preserve"> As this Act was passed in 2018, it predated the requirement for a statement of compatibility with human rights under the </w:t>
      </w:r>
      <w:r>
        <w:rPr>
          <w:i/>
          <w:sz w:val="18"/>
        </w:rPr>
        <w:t xml:space="preserve">Human Rights Act 2019 </w:t>
      </w:r>
      <w:r>
        <w:rPr>
          <w:sz w:val="18"/>
        </w:rPr>
        <w:t>(Qld). The Explanatory Notes accompanying the Bill discussed how, in terms of consistency with fundamental</w:t>
      </w:r>
      <w:r>
        <w:rPr>
          <w:spacing w:val="-4"/>
          <w:sz w:val="18"/>
        </w:rPr>
        <w:t xml:space="preserve"> </w:t>
      </w:r>
      <w:r>
        <w:rPr>
          <w:sz w:val="18"/>
        </w:rPr>
        <w:t>legislative</w:t>
      </w:r>
      <w:r>
        <w:rPr>
          <w:spacing w:val="-5"/>
          <w:sz w:val="18"/>
        </w:rPr>
        <w:t xml:space="preserve"> </w:t>
      </w:r>
      <w:r>
        <w:rPr>
          <w:sz w:val="18"/>
        </w:rPr>
        <w:t>principles,</w:t>
      </w:r>
      <w:r>
        <w:rPr>
          <w:spacing w:val="-4"/>
          <w:sz w:val="18"/>
        </w:rPr>
        <w:t xml:space="preserve"> </w:t>
      </w:r>
      <w:r>
        <w:rPr>
          <w:sz w:val="18"/>
        </w:rPr>
        <w:t>the</w:t>
      </w:r>
      <w:r>
        <w:rPr>
          <w:spacing w:val="-5"/>
          <w:sz w:val="18"/>
        </w:rPr>
        <w:t xml:space="preserve"> </w:t>
      </w:r>
      <w:r>
        <w:rPr>
          <w:sz w:val="18"/>
        </w:rPr>
        <w:t>Bill</w:t>
      </w:r>
      <w:r>
        <w:rPr>
          <w:spacing w:val="-1"/>
          <w:sz w:val="18"/>
        </w:rPr>
        <w:t xml:space="preserve"> </w:t>
      </w:r>
      <w:r>
        <w:rPr>
          <w:sz w:val="18"/>
        </w:rPr>
        <w:t>affected</w:t>
      </w:r>
      <w:r>
        <w:rPr>
          <w:spacing w:val="-3"/>
          <w:sz w:val="18"/>
        </w:rPr>
        <w:t xml:space="preserve"> </w:t>
      </w:r>
      <w:r>
        <w:rPr>
          <w:sz w:val="18"/>
        </w:rPr>
        <w:t>the</w:t>
      </w:r>
      <w:r>
        <w:rPr>
          <w:spacing w:val="-5"/>
          <w:sz w:val="18"/>
        </w:rPr>
        <w:t xml:space="preserve"> </w:t>
      </w:r>
      <w:r>
        <w:rPr>
          <w:sz w:val="18"/>
        </w:rPr>
        <w:t>rights</w:t>
      </w:r>
      <w:r>
        <w:rPr>
          <w:spacing w:val="-4"/>
          <w:sz w:val="18"/>
        </w:rPr>
        <w:t xml:space="preserve"> </w:t>
      </w:r>
      <w:r>
        <w:rPr>
          <w:sz w:val="18"/>
        </w:rPr>
        <w:t>and</w:t>
      </w:r>
      <w:r>
        <w:rPr>
          <w:spacing w:val="-3"/>
          <w:sz w:val="18"/>
        </w:rPr>
        <w:t xml:space="preserve"> </w:t>
      </w:r>
      <w:r>
        <w:rPr>
          <w:sz w:val="18"/>
        </w:rPr>
        <w:t>liberties</w:t>
      </w:r>
      <w:r>
        <w:rPr>
          <w:spacing w:val="-5"/>
          <w:sz w:val="18"/>
        </w:rPr>
        <w:t xml:space="preserve"> </w:t>
      </w:r>
      <w:r>
        <w:rPr>
          <w:sz w:val="18"/>
        </w:rPr>
        <w:t>of</w:t>
      </w:r>
      <w:r>
        <w:rPr>
          <w:spacing w:val="-4"/>
          <w:sz w:val="18"/>
        </w:rPr>
        <w:t xml:space="preserve"> </w:t>
      </w:r>
      <w:r>
        <w:rPr>
          <w:sz w:val="18"/>
        </w:rPr>
        <w:t>individuals,</w:t>
      </w:r>
      <w:r>
        <w:rPr>
          <w:spacing w:val="-4"/>
          <w:sz w:val="18"/>
        </w:rPr>
        <w:t xml:space="preserve"> </w:t>
      </w:r>
      <w:r>
        <w:rPr>
          <w:sz w:val="18"/>
        </w:rPr>
        <w:t>including,</w:t>
      </w:r>
      <w:r>
        <w:rPr>
          <w:spacing w:val="-4"/>
          <w:sz w:val="18"/>
        </w:rPr>
        <w:t xml:space="preserve"> </w:t>
      </w:r>
      <w:r>
        <w:rPr>
          <w:sz w:val="18"/>
        </w:rPr>
        <w:t>in</w:t>
      </w:r>
      <w:r>
        <w:rPr>
          <w:spacing w:val="-3"/>
          <w:sz w:val="18"/>
        </w:rPr>
        <w:t xml:space="preserve"> </w:t>
      </w:r>
      <w:r>
        <w:rPr>
          <w:sz w:val="18"/>
        </w:rPr>
        <w:t>particular,</w:t>
      </w:r>
      <w:r>
        <w:rPr>
          <w:spacing w:val="-6"/>
          <w:sz w:val="18"/>
        </w:rPr>
        <w:t xml:space="preserve"> </w:t>
      </w:r>
      <w:r>
        <w:rPr>
          <w:sz w:val="18"/>
        </w:rPr>
        <w:t>privacy</w:t>
      </w:r>
      <w:r>
        <w:rPr>
          <w:spacing w:val="-3"/>
          <w:sz w:val="18"/>
        </w:rPr>
        <w:t xml:space="preserve"> </w:t>
      </w:r>
      <w:r>
        <w:rPr>
          <w:sz w:val="18"/>
        </w:rPr>
        <w:t>and the</w:t>
      </w:r>
      <w:r>
        <w:rPr>
          <w:spacing w:val="-12"/>
          <w:sz w:val="18"/>
        </w:rPr>
        <w:t xml:space="preserve"> </w:t>
      </w:r>
      <w:r>
        <w:rPr>
          <w:sz w:val="18"/>
        </w:rPr>
        <w:t>treatment</w:t>
      </w:r>
      <w:r>
        <w:rPr>
          <w:spacing w:val="-11"/>
          <w:sz w:val="18"/>
        </w:rPr>
        <w:t xml:space="preserve"> </w:t>
      </w:r>
      <w:r>
        <w:rPr>
          <w:sz w:val="18"/>
        </w:rPr>
        <w:t>of</w:t>
      </w:r>
      <w:r>
        <w:rPr>
          <w:spacing w:val="-11"/>
          <w:sz w:val="18"/>
        </w:rPr>
        <w:t xml:space="preserve"> </w:t>
      </w:r>
      <w:r>
        <w:rPr>
          <w:sz w:val="18"/>
        </w:rPr>
        <w:t>personal</w:t>
      </w:r>
      <w:r>
        <w:rPr>
          <w:spacing w:val="-11"/>
          <w:sz w:val="18"/>
        </w:rPr>
        <w:t xml:space="preserve"> </w:t>
      </w:r>
      <w:r>
        <w:rPr>
          <w:sz w:val="18"/>
        </w:rPr>
        <w:t>information.</w:t>
      </w:r>
      <w:r>
        <w:rPr>
          <w:spacing w:val="-12"/>
          <w:sz w:val="18"/>
        </w:rPr>
        <w:t xml:space="preserve"> </w:t>
      </w:r>
      <w:r>
        <w:rPr>
          <w:sz w:val="18"/>
        </w:rPr>
        <w:t>See</w:t>
      </w:r>
      <w:r>
        <w:rPr>
          <w:spacing w:val="-11"/>
          <w:sz w:val="18"/>
        </w:rPr>
        <w:t xml:space="preserve"> </w:t>
      </w:r>
      <w:r>
        <w:rPr>
          <w:sz w:val="18"/>
        </w:rPr>
        <w:t>Explanatory</w:t>
      </w:r>
      <w:r>
        <w:rPr>
          <w:spacing w:val="-11"/>
          <w:sz w:val="18"/>
        </w:rPr>
        <w:t xml:space="preserve"> </w:t>
      </w:r>
      <w:r>
        <w:rPr>
          <w:sz w:val="18"/>
        </w:rPr>
        <w:t>Notes,</w:t>
      </w:r>
      <w:r>
        <w:rPr>
          <w:spacing w:val="-11"/>
          <w:sz w:val="18"/>
        </w:rPr>
        <w:t xml:space="preserve"> </w:t>
      </w:r>
      <w:r>
        <w:rPr>
          <w:sz w:val="18"/>
        </w:rPr>
        <w:t>Police</w:t>
      </w:r>
      <w:r>
        <w:rPr>
          <w:spacing w:val="-12"/>
          <w:sz w:val="18"/>
        </w:rPr>
        <w:t xml:space="preserve"> </w:t>
      </w:r>
      <w:r>
        <w:rPr>
          <w:sz w:val="18"/>
        </w:rPr>
        <w:t>and</w:t>
      </w:r>
      <w:r>
        <w:rPr>
          <w:spacing w:val="-11"/>
          <w:sz w:val="18"/>
        </w:rPr>
        <w:t xml:space="preserve"> </w:t>
      </w:r>
      <w:r>
        <w:rPr>
          <w:sz w:val="18"/>
        </w:rPr>
        <w:t>Other</w:t>
      </w:r>
      <w:r>
        <w:rPr>
          <w:spacing w:val="-11"/>
          <w:sz w:val="18"/>
        </w:rPr>
        <w:t xml:space="preserve"> </w:t>
      </w:r>
      <w:r>
        <w:rPr>
          <w:sz w:val="18"/>
        </w:rPr>
        <w:t>Legislation</w:t>
      </w:r>
      <w:r>
        <w:rPr>
          <w:spacing w:val="-11"/>
          <w:sz w:val="18"/>
        </w:rPr>
        <w:t xml:space="preserve"> </w:t>
      </w:r>
      <w:r>
        <w:rPr>
          <w:sz w:val="18"/>
        </w:rPr>
        <w:t>(Identity</w:t>
      </w:r>
      <w:r>
        <w:rPr>
          <w:spacing w:val="-12"/>
          <w:sz w:val="18"/>
        </w:rPr>
        <w:t xml:space="preserve"> </w:t>
      </w:r>
      <w:r>
        <w:rPr>
          <w:sz w:val="18"/>
        </w:rPr>
        <w:t>and</w:t>
      </w:r>
      <w:r>
        <w:rPr>
          <w:spacing w:val="-11"/>
          <w:sz w:val="18"/>
        </w:rPr>
        <w:t xml:space="preserve"> </w:t>
      </w:r>
      <w:r>
        <w:rPr>
          <w:sz w:val="18"/>
        </w:rPr>
        <w:t>Biometric</w:t>
      </w:r>
      <w:r>
        <w:rPr>
          <w:spacing w:val="-11"/>
          <w:sz w:val="18"/>
        </w:rPr>
        <w:t xml:space="preserve"> </w:t>
      </w:r>
      <w:r>
        <w:rPr>
          <w:sz w:val="18"/>
        </w:rPr>
        <w:t>Capability) Amendment Bill 2018 (Qld) 8–9.</w:t>
      </w:r>
    </w:p>
    <w:p w14:paraId="7CB25F18" w14:textId="77777777" w:rsidR="008A4099" w:rsidRDefault="006A6EE2">
      <w:pPr>
        <w:spacing w:before="21" w:line="244" w:lineRule="auto"/>
        <w:ind w:left="160" w:right="682"/>
        <w:jc w:val="both"/>
        <w:rPr>
          <w:sz w:val="18"/>
        </w:rPr>
      </w:pPr>
      <w:r>
        <w:rPr>
          <w:sz w:val="18"/>
          <w:vertAlign w:val="superscript"/>
        </w:rPr>
        <w:t>213</w:t>
      </w:r>
      <w:r>
        <w:rPr>
          <w:sz w:val="18"/>
        </w:rPr>
        <w:t xml:space="preserve"> Sarah Basford Canales, ‘“You Can’t Ever Get Privacy Back”: ACT Delays Uploading Driver Licences to National Biometric Database until Laws Pass Parliament’, </w:t>
      </w:r>
      <w:r>
        <w:rPr>
          <w:i/>
          <w:sz w:val="18"/>
        </w:rPr>
        <w:t xml:space="preserve">Canberra Times </w:t>
      </w:r>
      <w:r>
        <w:rPr>
          <w:sz w:val="18"/>
        </w:rPr>
        <w:t>(online, 11 October 2020).</w:t>
      </w:r>
    </w:p>
    <w:p w14:paraId="7CB25F19" w14:textId="77777777" w:rsidR="008A4099" w:rsidRDefault="006A6EE2">
      <w:pPr>
        <w:spacing w:line="205" w:lineRule="exact"/>
        <w:ind w:left="160"/>
        <w:rPr>
          <w:sz w:val="18"/>
        </w:rPr>
      </w:pPr>
      <w:r>
        <w:rPr>
          <w:spacing w:val="-2"/>
          <w:sz w:val="18"/>
        </w:rPr>
        <w:t>&lt;https://</w:t>
      </w:r>
      <w:hyperlink r:id="rId102">
        <w:r>
          <w:rPr>
            <w:spacing w:val="-2"/>
            <w:sz w:val="18"/>
          </w:rPr>
          <w:t>www.canberratimes.com.au/story/6962043/you-cant-ever-get-privacy-back-act-delays-biometric-licence-upload/&gt;.</w:t>
        </w:r>
      </w:hyperlink>
    </w:p>
    <w:p w14:paraId="7CB25F1A" w14:textId="77777777" w:rsidR="008A4099" w:rsidRDefault="006A6EE2">
      <w:pPr>
        <w:spacing w:before="19"/>
        <w:ind w:left="160"/>
        <w:rPr>
          <w:sz w:val="18"/>
        </w:rPr>
      </w:pPr>
      <w:r>
        <w:rPr>
          <w:sz w:val="18"/>
          <w:vertAlign w:val="superscript"/>
        </w:rPr>
        <w:t>214</w:t>
      </w:r>
      <w:r>
        <w:rPr>
          <w:spacing w:val="-1"/>
          <w:sz w:val="18"/>
        </w:rPr>
        <w:t xml:space="preserve"> </w:t>
      </w:r>
      <w:r>
        <w:rPr>
          <w:sz w:val="18"/>
        </w:rPr>
        <w:t>Australian</w:t>
      </w:r>
      <w:r>
        <w:rPr>
          <w:spacing w:val="1"/>
          <w:sz w:val="18"/>
        </w:rPr>
        <w:t xml:space="preserve"> </w:t>
      </w:r>
      <w:r>
        <w:rPr>
          <w:sz w:val="18"/>
        </w:rPr>
        <w:t>Capital</w:t>
      </w:r>
      <w:r>
        <w:rPr>
          <w:spacing w:val="-1"/>
          <w:sz w:val="18"/>
        </w:rPr>
        <w:t xml:space="preserve"> </w:t>
      </w:r>
      <w:r>
        <w:rPr>
          <w:sz w:val="18"/>
        </w:rPr>
        <w:t xml:space="preserve">Territory, </w:t>
      </w:r>
      <w:r>
        <w:rPr>
          <w:i/>
          <w:sz w:val="18"/>
        </w:rPr>
        <w:t>Parliamentary</w:t>
      </w:r>
      <w:r>
        <w:rPr>
          <w:i/>
          <w:spacing w:val="-2"/>
          <w:sz w:val="18"/>
        </w:rPr>
        <w:t xml:space="preserve"> </w:t>
      </w:r>
      <w:r>
        <w:rPr>
          <w:i/>
          <w:sz w:val="18"/>
        </w:rPr>
        <w:t>Debates</w:t>
      </w:r>
      <w:r>
        <w:rPr>
          <w:sz w:val="18"/>
        </w:rPr>
        <w:t>, Legislative</w:t>
      </w:r>
      <w:r>
        <w:rPr>
          <w:spacing w:val="-3"/>
          <w:sz w:val="18"/>
        </w:rPr>
        <w:t xml:space="preserve"> </w:t>
      </w:r>
      <w:r>
        <w:rPr>
          <w:sz w:val="18"/>
        </w:rPr>
        <w:t>Assembly,</w:t>
      </w:r>
      <w:r>
        <w:rPr>
          <w:spacing w:val="-1"/>
          <w:sz w:val="18"/>
        </w:rPr>
        <w:t xml:space="preserve"> </w:t>
      </w:r>
      <w:r>
        <w:rPr>
          <w:sz w:val="18"/>
        </w:rPr>
        <w:t>10</w:t>
      </w:r>
      <w:r>
        <w:rPr>
          <w:spacing w:val="-1"/>
          <w:sz w:val="18"/>
        </w:rPr>
        <w:t xml:space="preserve"> </w:t>
      </w:r>
      <w:r>
        <w:rPr>
          <w:sz w:val="18"/>
        </w:rPr>
        <w:t>May</w:t>
      </w:r>
      <w:r>
        <w:rPr>
          <w:spacing w:val="-2"/>
          <w:sz w:val="18"/>
        </w:rPr>
        <w:t xml:space="preserve"> </w:t>
      </w:r>
      <w:r>
        <w:rPr>
          <w:sz w:val="18"/>
        </w:rPr>
        <w:t>2018, 1791</w:t>
      </w:r>
      <w:r>
        <w:rPr>
          <w:spacing w:val="1"/>
          <w:sz w:val="18"/>
        </w:rPr>
        <w:t xml:space="preserve"> </w:t>
      </w:r>
      <w:r>
        <w:rPr>
          <w:sz w:val="18"/>
        </w:rPr>
        <w:t>(Andrew</w:t>
      </w:r>
      <w:r>
        <w:rPr>
          <w:spacing w:val="-1"/>
          <w:sz w:val="18"/>
        </w:rPr>
        <w:t xml:space="preserve"> </w:t>
      </w:r>
      <w:r>
        <w:rPr>
          <w:spacing w:val="-2"/>
          <w:sz w:val="18"/>
        </w:rPr>
        <w:t>Barr).</w:t>
      </w:r>
    </w:p>
    <w:p w14:paraId="7CB25F1B" w14:textId="77777777" w:rsidR="008A4099" w:rsidRDefault="006A6EE2">
      <w:pPr>
        <w:spacing w:before="23"/>
        <w:ind w:left="160"/>
        <w:rPr>
          <w:i/>
          <w:sz w:val="18"/>
        </w:rPr>
      </w:pPr>
      <w:r>
        <w:rPr>
          <w:sz w:val="18"/>
          <w:vertAlign w:val="superscript"/>
        </w:rPr>
        <w:t>215</w:t>
      </w:r>
      <w:r>
        <w:rPr>
          <w:spacing w:val="-3"/>
          <w:sz w:val="18"/>
        </w:rPr>
        <w:t xml:space="preserve"> </w:t>
      </w:r>
      <w:r>
        <w:rPr>
          <w:i/>
          <w:sz w:val="18"/>
        </w:rPr>
        <w:t>Protection</w:t>
      </w:r>
      <w:r>
        <w:rPr>
          <w:i/>
          <w:spacing w:val="-4"/>
          <w:sz w:val="18"/>
        </w:rPr>
        <w:t xml:space="preserve"> </w:t>
      </w:r>
      <w:r>
        <w:rPr>
          <w:i/>
          <w:sz w:val="18"/>
        </w:rPr>
        <w:t>of</w:t>
      </w:r>
      <w:r>
        <w:rPr>
          <w:i/>
          <w:spacing w:val="-5"/>
          <w:sz w:val="18"/>
        </w:rPr>
        <w:t xml:space="preserve"> </w:t>
      </w:r>
      <w:r>
        <w:rPr>
          <w:i/>
          <w:sz w:val="18"/>
        </w:rPr>
        <w:t>Information</w:t>
      </w:r>
      <w:r>
        <w:rPr>
          <w:i/>
          <w:spacing w:val="-4"/>
          <w:sz w:val="18"/>
        </w:rPr>
        <w:t xml:space="preserve"> </w:t>
      </w:r>
      <w:r>
        <w:rPr>
          <w:i/>
          <w:sz w:val="18"/>
        </w:rPr>
        <w:t>(Entry</w:t>
      </w:r>
      <w:r>
        <w:rPr>
          <w:i/>
          <w:spacing w:val="-9"/>
          <w:sz w:val="18"/>
        </w:rPr>
        <w:t xml:space="preserve"> </w:t>
      </w:r>
      <w:r>
        <w:rPr>
          <w:i/>
          <w:sz w:val="18"/>
        </w:rPr>
        <w:t>Registration</w:t>
      </w:r>
      <w:r>
        <w:rPr>
          <w:i/>
          <w:spacing w:val="-4"/>
          <w:sz w:val="18"/>
        </w:rPr>
        <w:t xml:space="preserve"> </w:t>
      </w:r>
      <w:r>
        <w:rPr>
          <w:i/>
          <w:sz w:val="18"/>
        </w:rPr>
        <w:t>Information</w:t>
      </w:r>
      <w:r>
        <w:rPr>
          <w:i/>
          <w:spacing w:val="-4"/>
          <w:sz w:val="18"/>
        </w:rPr>
        <w:t xml:space="preserve"> </w:t>
      </w:r>
      <w:r>
        <w:rPr>
          <w:i/>
          <w:sz w:val="18"/>
        </w:rPr>
        <w:t>Relating</w:t>
      </w:r>
      <w:r>
        <w:rPr>
          <w:i/>
          <w:spacing w:val="-5"/>
          <w:sz w:val="18"/>
        </w:rPr>
        <w:t xml:space="preserve"> </w:t>
      </w:r>
      <w:r>
        <w:rPr>
          <w:i/>
          <w:sz w:val="18"/>
        </w:rPr>
        <w:t>to</w:t>
      </w:r>
      <w:r>
        <w:rPr>
          <w:i/>
          <w:spacing w:val="-3"/>
          <w:sz w:val="18"/>
        </w:rPr>
        <w:t xml:space="preserve"> </w:t>
      </w:r>
      <w:r>
        <w:rPr>
          <w:i/>
          <w:sz w:val="18"/>
        </w:rPr>
        <w:t>COVID-19</w:t>
      </w:r>
      <w:r>
        <w:rPr>
          <w:i/>
          <w:spacing w:val="-5"/>
          <w:sz w:val="18"/>
        </w:rPr>
        <w:t xml:space="preserve"> </w:t>
      </w:r>
      <w:r>
        <w:rPr>
          <w:i/>
          <w:sz w:val="18"/>
        </w:rPr>
        <w:t>and</w:t>
      </w:r>
      <w:r>
        <w:rPr>
          <w:i/>
          <w:spacing w:val="-4"/>
          <w:sz w:val="18"/>
        </w:rPr>
        <w:t xml:space="preserve"> </w:t>
      </w:r>
      <w:r>
        <w:rPr>
          <w:i/>
          <w:sz w:val="18"/>
        </w:rPr>
        <w:t>Other</w:t>
      </w:r>
      <w:r>
        <w:rPr>
          <w:i/>
          <w:spacing w:val="-6"/>
          <w:sz w:val="18"/>
        </w:rPr>
        <w:t xml:space="preserve"> </w:t>
      </w:r>
      <w:r>
        <w:rPr>
          <w:i/>
          <w:sz w:val="18"/>
        </w:rPr>
        <w:t>Infectious</w:t>
      </w:r>
      <w:r>
        <w:rPr>
          <w:i/>
          <w:spacing w:val="-3"/>
          <w:sz w:val="18"/>
        </w:rPr>
        <w:t xml:space="preserve"> </w:t>
      </w:r>
      <w:r>
        <w:rPr>
          <w:i/>
          <w:sz w:val="18"/>
        </w:rPr>
        <w:t>Diseases)</w:t>
      </w:r>
      <w:r>
        <w:rPr>
          <w:i/>
          <w:spacing w:val="-3"/>
          <w:sz w:val="18"/>
        </w:rPr>
        <w:t xml:space="preserve"> </w:t>
      </w:r>
      <w:r>
        <w:rPr>
          <w:i/>
          <w:sz w:val="18"/>
        </w:rPr>
        <w:t>Act</w:t>
      </w:r>
      <w:r>
        <w:rPr>
          <w:i/>
          <w:spacing w:val="-6"/>
          <w:sz w:val="18"/>
        </w:rPr>
        <w:t xml:space="preserve"> </w:t>
      </w:r>
      <w:r>
        <w:rPr>
          <w:i/>
          <w:spacing w:val="-4"/>
          <w:sz w:val="18"/>
        </w:rPr>
        <w:t>2021</w:t>
      </w:r>
    </w:p>
    <w:p w14:paraId="7CB25F1C" w14:textId="77777777" w:rsidR="008A4099" w:rsidRDefault="006A6EE2">
      <w:pPr>
        <w:spacing w:before="4"/>
        <w:ind w:left="160"/>
        <w:rPr>
          <w:sz w:val="18"/>
        </w:rPr>
      </w:pPr>
      <w:r>
        <w:rPr>
          <w:spacing w:val="-2"/>
          <w:sz w:val="18"/>
        </w:rPr>
        <w:t>(WA).</w:t>
      </w:r>
    </w:p>
    <w:p w14:paraId="7CB25F1D" w14:textId="77777777" w:rsidR="008A4099" w:rsidRDefault="008A4099">
      <w:pPr>
        <w:rPr>
          <w:sz w:val="18"/>
        </w:rPr>
        <w:sectPr w:rsidR="008A4099" w:rsidSect="00D43B2D">
          <w:pgSz w:w="11910" w:h="16840"/>
          <w:pgMar w:top="980" w:right="760" w:bottom="940" w:left="1280" w:header="718" w:footer="753" w:gutter="0"/>
          <w:cols w:space="720"/>
        </w:sectPr>
      </w:pPr>
    </w:p>
    <w:p w14:paraId="7CB25F1E" w14:textId="77777777" w:rsidR="008A4099" w:rsidRDefault="008A4099">
      <w:pPr>
        <w:pStyle w:val="BodyText"/>
        <w:spacing w:before="194"/>
      </w:pPr>
    </w:p>
    <w:p w14:paraId="7CB25F1F" w14:textId="77777777" w:rsidR="008A4099" w:rsidRDefault="006A6EE2">
      <w:pPr>
        <w:pStyle w:val="BodyText"/>
        <w:spacing w:line="249" w:lineRule="auto"/>
        <w:ind w:left="160" w:right="675"/>
        <w:jc w:val="both"/>
      </w:pPr>
      <w:r>
        <w:t>accessing check-in data without a warrant issued by a court. The Tasmanian Government emphasised that the purpose of the check-in data was public safety and that it would not be used for other purposes,</w:t>
      </w:r>
      <w:r>
        <w:rPr>
          <w:vertAlign w:val="superscript"/>
        </w:rPr>
        <w:t>216</w:t>
      </w:r>
      <w:r>
        <w:t xml:space="preserve"> but no legislation was enacted to prevent such access.</w:t>
      </w:r>
    </w:p>
    <w:p w14:paraId="7CB25F20" w14:textId="77777777" w:rsidR="008A4099" w:rsidRDefault="006A6EE2">
      <w:pPr>
        <w:pStyle w:val="ListParagraph"/>
        <w:numPr>
          <w:ilvl w:val="2"/>
          <w:numId w:val="6"/>
        </w:numPr>
        <w:tabs>
          <w:tab w:val="left" w:pos="879"/>
        </w:tabs>
        <w:spacing w:before="210" w:line="247" w:lineRule="auto"/>
        <w:ind w:right="675" w:firstLine="0"/>
        <w:jc w:val="both"/>
      </w:pPr>
      <w:r>
        <w:t>In</w:t>
      </w:r>
      <w:r>
        <w:rPr>
          <w:spacing w:val="-5"/>
        </w:rPr>
        <w:t xml:space="preserve"> </w:t>
      </w:r>
      <w:r>
        <w:t>contrast,</w:t>
      </w:r>
      <w:r>
        <w:rPr>
          <w:spacing w:val="-7"/>
        </w:rPr>
        <w:t xml:space="preserve"> </w:t>
      </w:r>
      <w:r>
        <w:t>in</w:t>
      </w:r>
      <w:r>
        <w:rPr>
          <w:spacing w:val="-7"/>
        </w:rPr>
        <w:t xml:space="preserve"> </w:t>
      </w:r>
      <w:r>
        <w:t>jurisdictions</w:t>
      </w:r>
      <w:r>
        <w:rPr>
          <w:spacing w:val="-6"/>
        </w:rPr>
        <w:t xml:space="preserve"> </w:t>
      </w:r>
      <w:r>
        <w:t>with</w:t>
      </w:r>
      <w:r>
        <w:rPr>
          <w:spacing w:val="-5"/>
        </w:rPr>
        <w:t xml:space="preserve"> </w:t>
      </w:r>
      <w:r>
        <w:t>human</w:t>
      </w:r>
      <w:r>
        <w:rPr>
          <w:spacing w:val="-7"/>
        </w:rPr>
        <w:t xml:space="preserve"> </w:t>
      </w:r>
      <w:r>
        <w:t>rights</w:t>
      </w:r>
      <w:r>
        <w:rPr>
          <w:spacing w:val="-6"/>
        </w:rPr>
        <w:t xml:space="preserve"> </w:t>
      </w:r>
      <w:r>
        <w:t>enactments,</w:t>
      </w:r>
      <w:r>
        <w:rPr>
          <w:spacing w:val="-6"/>
        </w:rPr>
        <w:t xml:space="preserve"> </w:t>
      </w:r>
      <w:r>
        <w:t>there</w:t>
      </w:r>
      <w:r>
        <w:rPr>
          <w:spacing w:val="-4"/>
        </w:rPr>
        <w:t xml:space="preserve"> </w:t>
      </w:r>
      <w:r>
        <w:t>was</w:t>
      </w:r>
      <w:r>
        <w:rPr>
          <w:spacing w:val="-4"/>
        </w:rPr>
        <w:t xml:space="preserve"> </w:t>
      </w:r>
      <w:r>
        <w:t>greater</w:t>
      </w:r>
      <w:r>
        <w:rPr>
          <w:spacing w:val="-4"/>
        </w:rPr>
        <w:t xml:space="preserve"> </w:t>
      </w:r>
      <w:r>
        <w:t>scrutiny</w:t>
      </w:r>
      <w:r>
        <w:rPr>
          <w:spacing w:val="-5"/>
        </w:rPr>
        <w:t xml:space="preserve"> </w:t>
      </w:r>
      <w:r>
        <w:t>of</w:t>
      </w:r>
      <w:r>
        <w:rPr>
          <w:spacing w:val="-6"/>
        </w:rPr>
        <w:t xml:space="preserve"> </w:t>
      </w:r>
      <w:r>
        <w:t>the</w:t>
      </w:r>
      <w:r>
        <w:rPr>
          <w:spacing w:val="-7"/>
        </w:rPr>
        <w:t xml:space="preserve"> </w:t>
      </w:r>
      <w:r>
        <w:t>use of the data collected and dialogue about the need to protect the right to privacy resulting in legislative amendment or, at a</w:t>
      </w:r>
      <w:r>
        <w:rPr>
          <w:spacing w:val="-1"/>
        </w:rPr>
        <w:t xml:space="preserve"> </w:t>
      </w:r>
      <w:r>
        <w:t>minimum, a clear policy direction.</w:t>
      </w:r>
      <w:r>
        <w:rPr>
          <w:spacing w:val="-1"/>
        </w:rPr>
        <w:t xml:space="preserve"> </w:t>
      </w:r>
      <w:r>
        <w:t>Initially, the Victorian Government declined to legislate to prevent police access to check-in data.</w:t>
      </w:r>
      <w:r>
        <w:rPr>
          <w:color w:val="333333"/>
          <w:vertAlign w:val="superscript"/>
        </w:rPr>
        <w:t>217</w:t>
      </w:r>
      <w:r>
        <w:rPr>
          <w:color w:val="333333"/>
        </w:rPr>
        <w:t xml:space="preserve"> </w:t>
      </w:r>
      <w:r>
        <w:t>However, following calls from the National Privacy Commissioner to restrict data access, new</w:t>
      </w:r>
      <w:r>
        <w:rPr>
          <w:spacing w:val="-1"/>
        </w:rPr>
        <w:t xml:space="preserve"> </w:t>
      </w:r>
      <w:r>
        <w:t>safeguards were introduced as part of the Victorian Pandemic</w:t>
      </w:r>
      <w:r>
        <w:rPr>
          <w:spacing w:val="-13"/>
        </w:rPr>
        <w:t xml:space="preserve"> </w:t>
      </w:r>
      <w:r>
        <w:t>Bill.</w:t>
      </w:r>
      <w:r>
        <w:rPr>
          <w:spacing w:val="-13"/>
        </w:rPr>
        <w:t xml:space="preserve"> </w:t>
      </w:r>
      <w:r>
        <w:t>Under</w:t>
      </w:r>
      <w:r>
        <w:rPr>
          <w:spacing w:val="-12"/>
        </w:rPr>
        <w:t xml:space="preserve"> </w:t>
      </w:r>
      <w:r>
        <w:t>the</w:t>
      </w:r>
      <w:r>
        <w:rPr>
          <w:spacing w:val="-13"/>
        </w:rPr>
        <w:t xml:space="preserve"> </w:t>
      </w:r>
      <w:r>
        <w:t>new</w:t>
      </w:r>
      <w:r>
        <w:rPr>
          <w:spacing w:val="-14"/>
        </w:rPr>
        <w:t xml:space="preserve"> </w:t>
      </w:r>
      <w:r>
        <w:t>laws,</w:t>
      </w:r>
      <w:r>
        <w:rPr>
          <w:spacing w:val="-13"/>
        </w:rPr>
        <w:t xml:space="preserve"> </w:t>
      </w:r>
      <w:r>
        <w:t>Victoria</w:t>
      </w:r>
      <w:r>
        <w:rPr>
          <w:spacing w:val="-13"/>
        </w:rPr>
        <w:t xml:space="preserve"> </w:t>
      </w:r>
      <w:r>
        <w:t>Police</w:t>
      </w:r>
      <w:r>
        <w:rPr>
          <w:spacing w:val="-13"/>
        </w:rPr>
        <w:t xml:space="preserve"> </w:t>
      </w:r>
      <w:r>
        <w:t>can</w:t>
      </w:r>
      <w:r>
        <w:rPr>
          <w:spacing w:val="-13"/>
        </w:rPr>
        <w:t xml:space="preserve"> </w:t>
      </w:r>
      <w:r>
        <w:t>only</w:t>
      </w:r>
      <w:r>
        <w:rPr>
          <w:spacing w:val="-13"/>
        </w:rPr>
        <w:t xml:space="preserve"> </w:t>
      </w:r>
      <w:r>
        <w:t>access</w:t>
      </w:r>
      <w:r>
        <w:rPr>
          <w:spacing w:val="-13"/>
        </w:rPr>
        <w:t xml:space="preserve"> </w:t>
      </w:r>
      <w:r>
        <w:t>check-in</w:t>
      </w:r>
      <w:r>
        <w:rPr>
          <w:spacing w:val="-13"/>
        </w:rPr>
        <w:t xml:space="preserve"> </w:t>
      </w:r>
      <w:r>
        <w:t>data</w:t>
      </w:r>
      <w:r>
        <w:rPr>
          <w:spacing w:val="-13"/>
        </w:rPr>
        <w:t xml:space="preserve"> </w:t>
      </w:r>
      <w:r>
        <w:t>with</w:t>
      </w:r>
      <w:r>
        <w:rPr>
          <w:spacing w:val="-13"/>
        </w:rPr>
        <w:t xml:space="preserve"> </w:t>
      </w:r>
      <w:r>
        <w:t>a</w:t>
      </w:r>
      <w:r>
        <w:rPr>
          <w:spacing w:val="-13"/>
        </w:rPr>
        <w:t xml:space="preserve"> </w:t>
      </w:r>
      <w:r>
        <w:t>Supreme</w:t>
      </w:r>
      <w:r>
        <w:rPr>
          <w:spacing w:val="-13"/>
        </w:rPr>
        <w:t xml:space="preserve"> </w:t>
      </w:r>
      <w:r>
        <w:t>Court warrant,</w:t>
      </w:r>
      <w:r>
        <w:rPr>
          <w:spacing w:val="-11"/>
        </w:rPr>
        <w:t xml:space="preserve"> </w:t>
      </w:r>
      <w:r>
        <w:t>where</w:t>
      </w:r>
      <w:r>
        <w:rPr>
          <w:spacing w:val="-13"/>
        </w:rPr>
        <w:t xml:space="preserve"> </w:t>
      </w:r>
      <w:r>
        <w:t>there</w:t>
      </w:r>
      <w:r>
        <w:rPr>
          <w:spacing w:val="-13"/>
        </w:rPr>
        <w:t xml:space="preserve"> </w:t>
      </w:r>
      <w:r>
        <w:t>is</w:t>
      </w:r>
      <w:r>
        <w:rPr>
          <w:spacing w:val="-13"/>
        </w:rPr>
        <w:t xml:space="preserve"> </w:t>
      </w:r>
      <w:r>
        <w:t>an</w:t>
      </w:r>
      <w:r>
        <w:rPr>
          <w:spacing w:val="-13"/>
        </w:rPr>
        <w:t xml:space="preserve"> </w:t>
      </w:r>
      <w:r>
        <w:t>‘imminent</w:t>
      </w:r>
      <w:r>
        <w:rPr>
          <w:spacing w:val="-12"/>
        </w:rPr>
        <w:t xml:space="preserve"> </w:t>
      </w:r>
      <w:r>
        <w:t>threat</w:t>
      </w:r>
      <w:r>
        <w:rPr>
          <w:spacing w:val="-10"/>
        </w:rPr>
        <w:t xml:space="preserve"> </w:t>
      </w:r>
      <w:r>
        <w:t>to</w:t>
      </w:r>
      <w:r>
        <w:rPr>
          <w:spacing w:val="-13"/>
        </w:rPr>
        <w:t xml:space="preserve"> </w:t>
      </w:r>
      <w:r>
        <w:t>the</w:t>
      </w:r>
      <w:r>
        <w:rPr>
          <w:spacing w:val="-11"/>
        </w:rPr>
        <w:t xml:space="preserve"> </w:t>
      </w:r>
      <w:r>
        <w:t>life,</w:t>
      </w:r>
      <w:r>
        <w:rPr>
          <w:spacing w:val="-11"/>
        </w:rPr>
        <w:t xml:space="preserve"> </w:t>
      </w:r>
      <w:r>
        <w:t>health,</w:t>
      </w:r>
      <w:r>
        <w:rPr>
          <w:spacing w:val="-11"/>
        </w:rPr>
        <w:t xml:space="preserve"> </w:t>
      </w:r>
      <w:r>
        <w:t>safety</w:t>
      </w:r>
      <w:r>
        <w:rPr>
          <w:spacing w:val="-13"/>
        </w:rPr>
        <w:t xml:space="preserve"> </w:t>
      </w:r>
      <w:r>
        <w:t>or</w:t>
      </w:r>
      <w:r>
        <w:rPr>
          <w:spacing w:val="-10"/>
        </w:rPr>
        <w:t xml:space="preserve"> </w:t>
      </w:r>
      <w:r>
        <w:t>welfare</w:t>
      </w:r>
      <w:r>
        <w:rPr>
          <w:spacing w:val="-13"/>
        </w:rPr>
        <w:t xml:space="preserve"> </w:t>
      </w:r>
      <w:r>
        <w:t>of</w:t>
      </w:r>
      <w:r>
        <w:rPr>
          <w:spacing w:val="-13"/>
        </w:rPr>
        <w:t xml:space="preserve"> </w:t>
      </w:r>
      <w:r>
        <w:t>at</w:t>
      </w:r>
      <w:r>
        <w:rPr>
          <w:spacing w:val="-12"/>
        </w:rPr>
        <w:t xml:space="preserve"> </w:t>
      </w:r>
      <w:r>
        <w:t>least</w:t>
      </w:r>
      <w:r>
        <w:rPr>
          <w:spacing w:val="-9"/>
        </w:rPr>
        <w:t xml:space="preserve"> </w:t>
      </w:r>
      <w:r>
        <w:t>one</w:t>
      </w:r>
      <w:r>
        <w:rPr>
          <w:spacing w:val="-11"/>
        </w:rPr>
        <w:t xml:space="preserve"> </w:t>
      </w:r>
      <w:r>
        <w:t>person’.</w:t>
      </w:r>
      <w:r>
        <w:rPr>
          <w:color w:val="333333"/>
          <w:vertAlign w:val="superscript"/>
        </w:rPr>
        <w:t>218</w:t>
      </w:r>
    </w:p>
    <w:p w14:paraId="7CB25F21" w14:textId="77777777" w:rsidR="008A4099" w:rsidRDefault="006A6EE2">
      <w:pPr>
        <w:pStyle w:val="ListParagraph"/>
        <w:numPr>
          <w:ilvl w:val="2"/>
          <w:numId w:val="6"/>
        </w:numPr>
        <w:tabs>
          <w:tab w:val="left" w:pos="879"/>
        </w:tabs>
        <w:spacing w:before="202" w:line="242" w:lineRule="auto"/>
        <w:ind w:right="672" w:firstLine="0"/>
        <w:jc w:val="both"/>
      </w:pPr>
      <w:r>
        <w:t>In</w:t>
      </w:r>
      <w:r>
        <w:rPr>
          <w:spacing w:val="-3"/>
        </w:rPr>
        <w:t xml:space="preserve"> </w:t>
      </w:r>
      <w:r>
        <w:t>September</w:t>
      </w:r>
      <w:r>
        <w:rPr>
          <w:spacing w:val="-3"/>
        </w:rPr>
        <w:t xml:space="preserve"> </w:t>
      </w:r>
      <w:r>
        <w:t>2021,</w:t>
      </w:r>
      <w:r>
        <w:rPr>
          <w:spacing w:val="-3"/>
        </w:rPr>
        <w:t xml:space="preserve"> </w:t>
      </w:r>
      <w:r>
        <w:t>the</w:t>
      </w:r>
      <w:r>
        <w:rPr>
          <w:spacing w:val="-3"/>
        </w:rPr>
        <w:t xml:space="preserve"> </w:t>
      </w:r>
      <w:r>
        <w:t>ACT</w:t>
      </w:r>
      <w:r>
        <w:rPr>
          <w:spacing w:val="-3"/>
        </w:rPr>
        <w:t xml:space="preserve"> </w:t>
      </w:r>
      <w:r>
        <w:t>Government</w:t>
      </w:r>
      <w:r>
        <w:rPr>
          <w:spacing w:val="-2"/>
        </w:rPr>
        <w:t xml:space="preserve"> </w:t>
      </w:r>
      <w:r>
        <w:t>enacted</w:t>
      </w:r>
      <w:r>
        <w:rPr>
          <w:spacing w:val="-5"/>
        </w:rPr>
        <w:t xml:space="preserve"> </w:t>
      </w:r>
      <w:r>
        <w:t>the</w:t>
      </w:r>
      <w:r>
        <w:rPr>
          <w:spacing w:val="-5"/>
        </w:rPr>
        <w:t xml:space="preserve"> </w:t>
      </w:r>
      <w:r>
        <w:rPr>
          <w:i/>
        </w:rPr>
        <w:t>Covid-19</w:t>
      </w:r>
      <w:r>
        <w:rPr>
          <w:i/>
          <w:spacing w:val="-3"/>
        </w:rPr>
        <w:t xml:space="preserve"> </w:t>
      </w:r>
      <w:r>
        <w:rPr>
          <w:i/>
        </w:rPr>
        <w:t>Emergency</w:t>
      </w:r>
      <w:r>
        <w:rPr>
          <w:i/>
          <w:spacing w:val="-3"/>
        </w:rPr>
        <w:t xml:space="preserve"> </w:t>
      </w:r>
      <w:r>
        <w:rPr>
          <w:i/>
        </w:rPr>
        <w:t>Response</w:t>
      </w:r>
      <w:r>
        <w:rPr>
          <w:i/>
          <w:spacing w:val="-3"/>
        </w:rPr>
        <w:t xml:space="preserve"> </w:t>
      </w:r>
      <w:r>
        <w:rPr>
          <w:i/>
        </w:rPr>
        <w:t xml:space="preserve">(Check- in Information) Amendment Act 2021 </w:t>
      </w:r>
      <w:r>
        <w:t>(ACT), which limits the use of check-in information to contact tracing or associated purposes and prevents courts or tribunals from ordering the production of check- in data for other purposes. The human rights compatibility statement for the Bill stated that the amendments</w:t>
      </w:r>
      <w:r>
        <w:rPr>
          <w:spacing w:val="-3"/>
        </w:rPr>
        <w:t xml:space="preserve"> </w:t>
      </w:r>
      <w:r>
        <w:t>‘positively</w:t>
      </w:r>
      <w:r>
        <w:rPr>
          <w:spacing w:val="-3"/>
        </w:rPr>
        <w:t xml:space="preserve"> </w:t>
      </w:r>
      <w:r>
        <w:t>engage</w:t>
      </w:r>
      <w:r>
        <w:rPr>
          <w:spacing w:val="-3"/>
        </w:rPr>
        <w:t xml:space="preserve"> </w:t>
      </w:r>
      <w:r>
        <w:t>the</w:t>
      </w:r>
      <w:r>
        <w:rPr>
          <w:spacing w:val="-3"/>
        </w:rPr>
        <w:t xml:space="preserve"> </w:t>
      </w:r>
      <w:r>
        <w:t>right</w:t>
      </w:r>
      <w:r>
        <w:rPr>
          <w:spacing w:val="-2"/>
        </w:rPr>
        <w:t xml:space="preserve"> </w:t>
      </w:r>
      <w:r>
        <w:t>to</w:t>
      </w:r>
      <w:r>
        <w:rPr>
          <w:spacing w:val="-3"/>
        </w:rPr>
        <w:t xml:space="preserve"> </w:t>
      </w:r>
      <w:r>
        <w:t>privacy</w:t>
      </w:r>
      <w:r>
        <w:rPr>
          <w:spacing w:val="-3"/>
        </w:rPr>
        <w:t xml:space="preserve"> </w:t>
      </w:r>
      <w:r>
        <w:t>through</w:t>
      </w:r>
      <w:r>
        <w:rPr>
          <w:spacing w:val="-3"/>
        </w:rPr>
        <w:t xml:space="preserve"> </w:t>
      </w:r>
      <w:r>
        <w:t>the</w:t>
      </w:r>
      <w:r>
        <w:rPr>
          <w:spacing w:val="-3"/>
        </w:rPr>
        <w:t xml:space="preserve"> </w:t>
      </w:r>
      <w:r>
        <w:t>introduction</w:t>
      </w:r>
      <w:r>
        <w:rPr>
          <w:spacing w:val="-3"/>
        </w:rPr>
        <w:t xml:space="preserve"> </w:t>
      </w:r>
      <w:r>
        <w:t>of</w:t>
      </w:r>
      <w:r>
        <w:rPr>
          <w:spacing w:val="-4"/>
        </w:rPr>
        <w:t xml:space="preserve"> </w:t>
      </w:r>
      <w:r>
        <w:t>additional</w:t>
      </w:r>
      <w:r>
        <w:rPr>
          <w:spacing w:val="-2"/>
        </w:rPr>
        <w:t xml:space="preserve"> </w:t>
      </w:r>
      <w:r>
        <w:t>controls</w:t>
      </w:r>
      <w:r>
        <w:rPr>
          <w:spacing w:val="-3"/>
        </w:rPr>
        <w:t xml:space="preserve"> </w:t>
      </w:r>
      <w:r>
        <w:t>and safeguards about the use of contact tracing information collected’.</w:t>
      </w:r>
      <w:r>
        <w:rPr>
          <w:vertAlign w:val="superscript"/>
        </w:rPr>
        <w:t>219</w:t>
      </w:r>
    </w:p>
    <w:p w14:paraId="7CB25F22" w14:textId="77777777" w:rsidR="008A4099" w:rsidRDefault="006A6EE2">
      <w:pPr>
        <w:pStyle w:val="Heading4"/>
        <w:jc w:val="both"/>
      </w:pPr>
      <w:bookmarkStart w:id="20" w:name="_TOC_250040"/>
      <w:r>
        <w:t>Treatment</w:t>
      </w:r>
      <w:r>
        <w:rPr>
          <w:spacing w:val="-6"/>
        </w:rPr>
        <w:t xml:space="preserve"> </w:t>
      </w:r>
      <w:r>
        <w:t>of</w:t>
      </w:r>
      <w:r>
        <w:rPr>
          <w:spacing w:val="-3"/>
        </w:rPr>
        <w:t xml:space="preserve"> </w:t>
      </w:r>
      <w:r>
        <w:t>prisoners,</w:t>
      </w:r>
      <w:r>
        <w:rPr>
          <w:spacing w:val="-4"/>
        </w:rPr>
        <w:t xml:space="preserve"> </w:t>
      </w:r>
      <w:r>
        <w:t>including</w:t>
      </w:r>
      <w:r>
        <w:rPr>
          <w:spacing w:val="-3"/>
        </w:rPr>
        <w:t xml:space="preserve"> </w:t>
      </w:r>
      <w:r>
        <w:t>strip</w:t>
      </w:r>
      <w:r>
        <w:rPr>
          <w:spacing w:val="-3"/>
        </w:rPr>
        <w:t xml:space="preserve"> </w:t>
      </w:r>
      <w:r>
        <w:t>searching</w:t>
      </w:r>
      <w:r>
        <w:rPr>
          <w:spacing w:val="-6"/>
        </w:rPr>
        <w:t xml:space="preserve"> </w:t>
      </w:r>
      <w:bookmarkEnd w:id="20"/>
      <w:r>
        <w:rPr>
          <w:spacing w:val="-2"/>
        </w:rPr>
        <w:t>detainees</w:t>
      </w:r>
    </w:p>
    <w:p w14:paraId="7CB25F23" w14:textId="77777777" w:rsidR="008A4099" w:rsidRDefault="006A6EE2">
      <w:pPr>
        <w:pStyle w:val="ListParagraph"/>
        <w:numPr>
          <w:ilvl w:val="2"/>
          <w:numId w:val="6"/>
        </w:numPr>
        <w:tabs>
          <w:tab w:val="left" w:pos="879"/>
        </w:tabs>
        <w:spacing w:before="262" w:line="249" w:lineRule="auto"/>
        <w:ind w:right="674" w:firstLine="0"/>
        <w:jc w:val="both"/>
      </w:pPr>
      <w:r>
        <w:t>In</w:t>
      </w:r>
      <w:r>
        <w:rPr>
          <w:spacing w:val="-14"/>
        </w:rPr>
        <w:t xml:space="preserve"> </w:t>
      </w:r>
      <w:r>
        <w:t>the</w:t>
      </w:r>
      <w:r>
        <w:rPr>
          <w:spacing w:val="-14"/>
        </w:rPr>
        <w:t xml:space="preserve"> </w:t>
      </w:r>
      <w:r>
        <w:t>Review</w:t>
      </w:r>
      <w:r>
        <w:rPr>
          <w:spacing w:val="-14"/>
        </w:rPr>
        <w:t xml:space="preserve"> </w:t>
      </w:r>
      <w:r>
        <w:t>Period,</w:t>
      </w:r>
      <w:r>
        <w:rPr>
          <w:spacing w:val="-13"/>
        </w:rPr>
        <w:t xml:space="preserve"> </w:t>
      </w:r>
      <w:r>
        <w:t>concern</w:t>
      </w:r>
      <w:r>
        <w:rPr>
          <w:spacing w:val="-14"/>
        </w:rPr>
        <w:t xml:space="preserve"> </w:t>
      </w:r>
      <w:r>
        <w:t>was</w:t>
      </w:r>
      <w:r>
        <w:rPr>
          <w:spacing w:val="-14"/>
        </w:rPr>
        <w:t xml:space="preserve"> </w:t>
      </w:r>
      <w:r>
        <w:t>raised</w:t>
      </w:r>
      <w:r>
        <w:rPr>
          <w:spacing w:val="-14"/>
        </w:rPr>
        <w:t xml:space="preserve"> </w:t>
      </w:r>
      <w:r>
        <w:t>in</w:t>
      </w:r>
      <w:r>
        <w:rPr>
          <w:spacing w:val="-13"/>
        </w:rPr>
        <w:t xml:space="preserve"> </w:t>
      </w:r>
      <w:r>
        <w:t>Tasmania</w:t>
      </w:r>
      <w:r>
        <w:rPr>
          <w:spacing w:val="-14"/>
        </w:rPr>
        <w:t xml:space="preserve"> </w:t>
      </w:r>
      <w:r>
        <w:t>about</w:t>
      </w:r>
      <w:r>
        <w:rPr>
          <w:spacing w:val="-14"/>
        </w:rPr>
        <w:t xml:space="preserve"> </w:t>
      </w:r>
      <w:r>
        <w:t>the</w:t>
      </w:r>
      <w:r>
        <w:rPr>
          <w:spacing w:val="-14"/>
        </w:rPr>
        <w:t xml:space="preserve"> </w:t>
      </w:r>
      <w:r>
        <w:t>strip-searching</w:t>
      </w:r>
      <w:r>
        <w:rPr>
          <w:spacing w:val="-13"/>
        </w:rPr>
        <w:t xml:space="preserve"> </w:t>
      </w:r>
      <w:r>
        <w:t>of</w:t>
      </w:r>
      <w:r>
        <w:rPr>
          <w:spacing w:val="-14"/>
        </w:rPr>
        <w:t xml:space="preserve"> </w:t>
      </w:r>
      <w:r>
        <w:t>young</w:t>
      </w:r>
      <w:r>
        <w:rPr>
          <w:spacing w:val="-14"/>
        </w:rPr>
        <w:t xml:space="preserve"> </w:t>
      </w:r>
      <w:r>
        <w:t>people in custody and custodial facilities.</w:t>
      </w:r>
      <w:r>
        <w:rPr>
          <w:vertAlign w:val="superscript"/>
        </w:rPr>
        <w:t>220</w:t>
      </w:r>
      <w:r>
        <w:t xml:space="preserve"> An investigation revealed that more than 200 strip searches were conducted</w:t>
      </w:r>
      <w:r>
        <w:rPr>
          <w:spacing w:val="-1"/>
        </w:rPr>
        <w:t xml:space="preserve"> </w:t>
      </w:r>
      <w:r>
        <w:t>on</w:t>
      </w:r>
      <w:r>
        <w:rPr>
          <w:spacing w:val="-1"/>
        </w:rPr>
        <w:t xml:space="preserve"> </w:t>
      </w:r>
      <w:r>
        <w:t>children</w:t>
      </w:r>
      <w:r>
        <w:rPr>
          <w:spacing w:val="-1"/>
        </w:rPr>
        <w:t xml:space="preserve"> </w:t>
      </w:r>
      <w:r>
        <w:t>in</w:t>
      </w:r>
      <w:r>
        <w:rPr>
          <w:spacing w:val="-1"/>
        </w:rPr>
        <w:t xml:space="preserve"> </w:t>
      </w:r>
      <w:r>
        <w:t>detention</w:t>
      </w:r>
      <w:r>
        <w:rPr>
          <w:spacing w:val="-4"/>
        </w:rPr>
        <w:t xml:space="preserve"> </w:t>
      </w:r>
      <w:r>
        <w:t>facilities</w:t>
      </w:r>
      <w:r>
        <w:rPr>
          <w:spacing w:val="-3"/>
        </w:rPr>
        <w:t xml:space="preserve"> </w:t>
      </w:r>
      <w:r>
        <w:t>in</w:t>
      </w:r>
      <w:r>
        <w:rPr>
          <w:spacing w:val="-1"/>
        </w:rPr>
        <w:t xml:space="preserve"> </w:t>
      </w:r>
      <w:r>
        <w:t>2018,</w:t>
      </w:r>
      <w:r>
        <w:rPr>
          <w:spacing w:val="-1"/>
        </w:rPr>
        <w:t xml:space="preserve"> </w:t>
      </w:r>
      <w:r>
        <w:t>with</w:t>
      </w:r>
      <w:r>
        <w:rPr>
          <w:spacing w:val="-1"/>
        </w:rPr>
        <w:t xml:space="preserve"> </w:t>
      </w:r>
      <w:r>
        <w:t>children</w:t>
      </w:r>
      <w:r>
        <w:rPr>
          <w:spacing w:val="-1"/>
        </w:rPr>
        <w:t xml:space="preserve"> </w:t>
      </w:r>
      <w:r>
        <w:t>younger</w:t>
      </w:r>
      <w:r>
        <w:rPr>
          <w:spacing w:val="-1"/>
        </w:rPr>
        <w:t xml:space="preserve"> </w:t>
      </w:r>
      <w:r>
        <w:t>than</w:t>
      </w:r>
      <w:r>
        <w:rPr>
          <w:spacing w:val="-1"/>
        </w:rPr>
        <w:t xml:space="preserve"> </w:t>
      </w:r>
      <w:r>
        <w:t>13</w:t>
      </w:r>
      <w:r>
        <w:rPr>
          <w:spacing w:val="-1"/>
        </w:rPr>
        <w:t xml:space="preserve"> </w:t>
      </w:r>
      <w:r>
        <w:t>years</w:t>
      </w:r>
      <w:r>
        <w:rPr>
          <w:spacing w:val="-1"/>
        </w:rPr>
        <w:t xml:space="preserve"> </w:t>
      </w:r>
      <w:r>
        <w:t>of</w:t>
      </w:r>
      <w:r>
        <w:rPr>
          <w:spacing w:val="-1"/>
        </w:rPr>
        <w:t xml:space="preserve"> </w:t>
      </w:r>
      <w:r>
        <w:t>age</w:t>
      </w:r>
      <w:r>
        <w:rPr>
          <w:spacing w:val="-1"/>
        </w:rPr>
        <w:t xml:space="preserve"> </w:t>
      </w:r>
      <w:r>
        <w:t>being subject to intrusive searches.</w:t>
      </w:r>
      <w:r>
        <w:rPr>
          <w:vertAlign w:val="superscript"/>
        </w:rPr>
        <w:t>221</w:t>
      </w:r>
      <w:r>
        <w:t xml:space="preserve"> In 2019, the Commissioner for Children provided a report to government, which found that the practice of routine strip search of children in custody ‘cannot be justified and should cease’.</w:t>
      </w:r>
      <w:r>
        <w:rPr>
          <w:vertAlign w:val="superscript"/>
        </w:rPr>
        <w:t>222</w:t>
      </w:r>
      <w:r>
        <w:t xml:space="preserve"> Referring to ‘fundamental human rights standards’, the Commissioner recommended that children only be strip searched when reasonable, necessary, and proportionate to a legitimate aim, that force be used only as a last resort, and that the principles guiding when and how strip searches can be conducted be clearly set out in legislation.</w:t>
      </w:r>
      <w:r>
        <w:rPr>
          <w:vertAlign w:val="superscript"/>
        </w:rPr>
        <w:t>223</w:t>
      </w:r>
      <w:r>
        <w:t xml:space="preserve"> The Commissioner also recommended investigating the potential for body scanners to minimise reliance on intrusive strip searches.</w:t>
      </w:r>
      <w:r>
        <w:rPr>
          <w:vertAlign w:val="superscript"/>
        </w:rPr>
        <w:t>224</w:t>
      </w:r>
      <w:r>
        <w:rPr>
          <w:spacing w:val="27"/>
        </w:rPr>
        <w:t xml:space="preserve"> </w:t>
      </w:r>
      <w:r>
        <w:t>The</w:t>
      </w:r>
      <w:r>
        <w:rPr>
          <w:spacing w:val="27"/>
        </w:rPr>
        <w:t xml:space="preserve"> </w:t>
      </w:r>
      <w:r>
        <w:rPr>
          <w:i/>
        </w:rPr>
        <w:t>Youth</w:t>
      </w:r>
      <w:r>
        <w:rPr>
          <w:i/>
          <w:spacing w:val="20"/>
        </w:rPr>
        <w:t xml:space="preserve"> </w:t>
      </w:r>
      <w:r>
        <w:rPr>
          <w:i/>
        </w:rPr>
        <w:t>Justice</w:t>
      </w:r>
      <w:r>
        <w:rPr>
          <w:i/>
          <w:spacing w:val="20"/>
        </w:rPr>
        <w:t xml:space="preserve"> </w:t>
      </w:r>
      <w:r>
        <w:rPr>
          <w:i/>
        </w:rPr>
        <w:t>Amendment</w:t>
      </w:r>
      <w:r>
        <w:rPr>
          <w:i/>
          <w:spacing w:val="21"/>
        </w:rPr>
        <w:t xml:space="preserve"> </w:t>
      </w:r>
      <w:r>
        <w:rPr>
          <w:i/>
        </w:rPr>
        <w:t>(Searches</w:t>
      </w:r>
      <w:r>
        <w:rPr>
          <w:i/>
          <w:spacing w:val="20"/>
        </w:rPr>
        <w:t xml:space="preserve"> </w:t>
      </w:r>
      <w:r>
        <w:rPr>
          <w:i/>
        </w:rPr>
        <w:t>in</w:t>
      </w:r>
      <w:r>
        <w:rPr>
          <w:i/>
          <w:spacing w:val="20"/>
        </w:rPr>
        <w:t xml:space="preserve"> </w:t>
      </w:r>
      <w:r>
        <w:rPr>
          <w:i/>
        </w:rPr>
        <w:t>Custody)</w:t>
      </w:r>
      <w:r>
        <w:rPr>
          <w:i/>
          <w:spacing w:val="21"/>
        </w:rPr>
        <w:t xml:space="preserve"> </w:t>
      </w:r>
      <w:r>
        <w:rPr>
          <w:i/>
        </w:rPr>
        <w:t>Act</w:t>
      </w:r>
      <w:r>
        <w:rPr>
          <w:i/>
          <w:spacing w:val="23"/>
        </w:rPr>
        <w:t xml:space="preserve"> </w:t>
      </w:r>
      <w:r>
        <w:rPr>
          <w:i/>
        </w:rPr>
        <w:t>2022</w:t>
      </w:r>
      <w:r>
        <w:rPr>
          <w:i/>
          <w:spacing w:val="25"/>
        </w:rPr>
        <w:t xml:space="preserve"> </w:t>
      </w:r>
      <w:r>
        <w:t>(Tas)</w:t>
      </w:r>
      <w:r>
        <w:rPr>
          <w:spacing w:val="26"/>
        </w:rPr>
        <w:t xml:space="preserve"> </w:t>
      </w:r>
      <w:r>
        <w:t>was</w:t>
      </w:r>
      <w:r>
        <w:rPr>
          <w:spacing w:val="28"/>
        </w:rPr>
        <w:t xml:space="preserve"> </w:t>
      </w:r>
      <w:r>
        <w:rPr>
          <w:spacing w:val="-2"/>
        </w:rPr>
        <w:t>subsequently</w:t>
      </w:r>
    </w:p>
    <w:p w14:paraId="7CB25F24" w14:textId="77777777" w:rsidR="008A4099" w:rsidRDefault="006A6EE2">
      <w:pPr>
        <w:pStyle w:val="BodyText"/>
        <w:spacing w:before="10"/>
        <w:rPr>
          <w:sz w:val="13"/>
        </w:rPr>
      </w:pPr>
      <w:r>
        <w:rPr>
          <w:noProof/>
        </w:rPr>
        <mc:AlternateContent>
          <mc:Choice Requires="wps">
            <w:drawing>
              <wp:anchor distT="0" distB="0" distL="0" distR="0" simplePos="0" relativeHeight="487605248" behindDoc="1" locked="0" layoutInCell="1" allowOverlap="1" wp14:anchorId="7CB2661D" wp14:editId="7CB2661E">
                <wp:simplePos x="0" y="0"/>
                <wp:positionH relativeFrom="page">
                  <wp:posOffset>914704</wp:posOffset>
                </wp:positionH>
                <wp:positionV relativeFrom="paragraph">
                  <wp:posOffset>116914</wp:posOffset>
                </wp:positionV>
                <wp:extent cx="1829435" cy="762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390FF" id="Graphic 76" o:spid="_x0000_s1026" style="position:absolute;margin-left:1in;margin-top:9.2pt;width:144.0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" path="m1829054,l,,,7620r1829054,l1829054,xe" fillcolor="black" stroked="f">
                <v:path arrowok="t"/>
                <w10:wrap type="topAndBottom" anchorx="page"/>
              </v:shape>
            </w:pict>
          </mc:Fallback>
        </mc:AlternateContent>
      </w:r>
    </w:p>
    <w:p w14:paraId="7CB25F25" w14:textId="77777777" w:rsidR="008A4099" w:rsidRDefault="006A6EE2">
      <w:pPr>
        <w:spacing w:before="112"/>
        <w:ind w:left="160"/>
        <w:jc w:val="both"/>
        <w:rPr>
          <w:sz w:val="18"/>
        </w:rPr>
      </w:pPr>
      <w:r>
        <w:rPr>
          <w:sz w:val="18"/>
          <w:vertAlign w:val="superscript"/>
        </w:rPr>
        <w:t>216</w:t>
      </w:r>
      <w:r>
        <w:rPr>
          <w:spacing w:val="-9"/>
          <w:sz w:val="18"/>
        </w:rPr>
        <w:t xml:space="preserve"> </w:t>
      </w:r>
      <w:r>
        <w:rPr>
          <w:sz w:val="18"/>
        </w:rPr>
        <w:t>Minister</w:t>
      </w:r>
      <w:r>
        <w:rPr>
          <w:spacing w:val="-9"/>
          <w:sz w:val="18"/>
        </w:rPr>
        <w:t xml:space="preserve"> </w:t>
      </w:r>
      <w:r>
        <w:rPr>
          <w:sz w:val="18"/>
        </w:rPr>
        <w:t>Guy</w:t>
      </w:r>
      <w:r>
        <w:rPr>
          <w:spacing w:val="-7"/>
          <w:sz w:val="18"/>
        </w:rPr>
        <w:t xml:space="preserve"> </w:t>
      </w:r>
      <w:r>
        <w:rPr>
          <w:sz w:val="18"/>
        </w:rPr>
        <w:t>Barnett,</w:t>
      </w:r>
      <w:r>
        <w:rPr>
          <w:spacing w:val="-10"/>
          <w:sz w:val="18"/>
        </w:rPr>
        <w:t xml:space="preserve"> </w:t>
      </w:r>
      <w:r>
        <w:rPr>
          <w:sz w:val="18"/>
        </w:rPr>
        <w:t>quoted</w:t>
      </w:r>
      <w:r>
        <w:rPr>
          <w:spacing w:val="-10"/>
          <w:sz w:val="18"/>
        </w:rPr>
        <w:t xml:space="preserve"> </w:t>
      </w:r>
      <w:r>
        <w:rPr>
          <w:sz w:val="18"/>
        </w:rPr>
        <w:t>in</w:t>
      </w:r>
      <w:r>
        <w:rPr>
          <w:spacing w:val="-11"/>
          <w:sz w:val="18"/>
        </w:rPr>
        <w:t xml:space="preserve"> </w:t>
      </w:r>
      <w:r>
        <w:rPr>
          <w:sz w:val="18"/>
        </w:rPr>
        <w:t>B</w:t>
      </w:r>
      <w:r>
        <w:rPr>
          <w:spacing w:val="-8"/>
          <w:sz w:val="18"/>
        </w:rPr>
        <w:t xml:space="preserve"> </w:t>
      </w:r>
      <w:r>
        <w:rPr>
          <w:sz w:val="18"/>
        </w:rPr>
        <w:t>Duggan,</w:t>
      </w:r>
      <w:r>
        <w:rPr>
          <w:spacing w:val="-11"/>
          <w:sz w:val="18"/>
        </w:rPr>
        <w:t xml:space="preserve"> </w:t>
      </w:r>
      <w:r>
        <w:rPr>
          <w:sz w:val="18"/>
        </w:rPr>
        <w:t>‘Possible</w:t>
      </w:r>
      <w:r>
        <w:rPr>
          <w:spacing w:val="-8"/>
          <w:sz w:val="18"/>
        </w:rPr>
        <w:t xml:space="preserve"> </w:t>
      </w:r>
      <w:r>
        <w:rPr>
          <w:sz w:val="18"/>
        </w:rPr>
        <w:t>COVID</w:t>
      </w:r>
      <w:r>
        <w:rPr>
          <w:spacing w:val="-8"/>
          <w:sz w:val="18"/>
        </w:rPr>
        <w:t xml:space="preserve"> </w:t>
      </w:r>
      <w:r>
        <w:rPr>
          <w:sz w:val="18"/>
        </w:rPr>
        <w:t>Check-In</w:t>
      </w:r>
      <w:r>
        <w:rPr>
          <w:spacing w:val="-7"/>
          <w:sz w:val="18"/>
        </w:rPr>
        <w:t xml:space="preserve"> </w:t>
      </w:r>
      <w:r>
        <w:rPr>
          <w:sz w:val="18"/>
        </w:rPr>
        <w:t>Tas</w:t>
      </w:r>
      <w:r>
        <w:rPr>
          <w:spacing w:val="-9"/>
          <w:sz w:val="18"/>
        </w:rPr>
        <w:t xml:space="preserve"> </w:t>
      </w:r>
      <w:r>
        <w:rPr>
          <w:sz w:val="18"/>
        </w:rPr>
        <w:t>App</w:t>
      </w:r>
      <w:r>
        <w:rPr>
          <w:spacing w:val="-9"/>
          <w:sz w:val="18"/>
        </w:rPr>
        <w:t xml:space="preserve"> </w:t>
      </w:r>
      <w:r>
        <w:rPr>
          <w:sz w:val="18"/>
        </w:rPr>
        <w:t>Data</w:t>
      </w:r>
      <w:r>
        <w:rPr>
          <w:spacing w:val="-8"/>
          <w:sz w:val="18"/>
        </w:rPr>
        <w:t xml:space="preserve"> </w:t>
      </w:r>
      <w:r>
        <w:rPr>
          <w:sz w:val="18"/>
        </w:rPr>
        <w:t>Access</w:t>
      </w:r>
      <w:r>
        <w:rPr>
          <w:spacing w:val="-10"/>
          <w:sz w:val="18"/>
        </w:rPr>
        <w:t xml:space="preserve"> </w:t>
      </w:r>
      <w:r>
        <w:rPr>
          <w:sz w:val="18"/>
        </w:rPr>
        <w:t>Concerning,</w:t>
      </w:r>
      <w:r>
        <w:rPr>
          <w:spacing w:val="-8"/>
          <w:sz w:val="18"/>
        </w:rPr>
        <w:t xml:space="preserve"> </w:t>
      </w:r>
      <w:r>
        <w:rPr>
          <w:sz w:val="18"/>
        </w:rPr>
        <w:t>Advocates</w:t>
      </w:r>
      <w:r>
        <w:rPr>
          <w:spacing w:val="-9"/>
          <w:sz w:val="18"/>
        </w:rPr>
        <w:t xml:space="preserve"> </w:t>
      </w:r>
      <w:r>
        <w:rPr>
          <w:spacing w:val="-2"/>
          <w:sz w:val="18"/>
        </w:rPr>
        <w:t>Say’,</w:t>
      </w:r>
    </w:p>
    <w:p w14:paraId="7CB25F26" w14:textId="77777777" w:rsidR="008A4099" w:rsidRDefault="006A6EE2">
      <w:pPr>
        <w:spacing w:before="5"/>
        <w:ind w:left="160"/>
        <w:jc w:val="both"/>
        <w:rPr>
          <w:sz w:val="18"/>
        </w:rPr>
      </w:pPr>
      <w:r>
        <w:rPr>
          <w:i/>
          <w:sz w:val="18"/>
        </w:rPr>
        <w:t>The</w:t>
      </w:r>
      <w:r>
        <w:rPr>
          <w:i/>
          <w:spacing w:val="-4"/>
          <w:sz w:val="18"/>
        </w:rPr>
        <w:t xml:space="preserve"> </w:t>
      </w:r>
      <w:r>
        <w:rPr>
          <w:i/>
          <w:sz w:val="18"/>
        </w:rPr>
        <w:t>Advocate</w:t>
      </w:r>
      <w:r>
        <w:rPr>
          <w:sz w:val="18"/>
        </w:rPr>
        <w:t>,</w:t>
      </w:r>
      <w:r>
        <w:rPr>
          <w:spacing w:val="-3"/>
          <w:sz w:val="18"/>
        </w:rPr>
        <w:t xml:space="preserve"> </w:t>
      </w:r>
      <w:r>
        <w:rPr>
          <w:sz w:val="18"/>
        </w:rPr>
        <w:t>5 July</w:t>
      </w:r>
      <w:r>
        <w:rPr>
          <w:spacing w:val="-1"/>
          <w:sz w:val="18"/>
        </w:rPr>
        <w:t xml:space="preserve"> </w:t>
      </w:r>
      <w:r>
        <w:rPr>
          <w:spacing w:val="-4"/>
          <w:sz w:val="18"/>
        </w:rPr>
        <w:t>2021.</w:t>
      </w:r>
    </w:p>
    <w:p w14:paraId="7CB25F27" w14:textId="77777777" w:rsidR="008A4099" w:rsidRDefault="006A6EE2">
      <w:pPr>
        <w:spacing w:before="18" w:line="242" w:lineRule="auto"/>
        <w:ind w:left="160" w:right="676"/>
        <w:jc w:val="both"/>
        <w:rPr>
          <w:sz w:val="18"/>
        </w:rPr>
      </w:pPr>
      <w:r>
        <w:rPr>
          <w:sz w:val="18"/>
          <w:vertAlign w:val="superscript"/>
        </w:rPr>
        <w:t>217</w:t>
      </w:r>
      <w:r>
        <w:rPr>
          <w:sz w:val="18"/>
        </w:rPr>
        <w:t xml:space="preserve"> Government Services Minister, Danny Pearson MP, said, ‘I don’t think we should be legislating. The courts will be best placed</w:t>
      </w:r>
      <w:r>
        <w:rPr>
          <w:spacing w:val="-3"/>
          <w:sz w:val="18"/>
        </w:rPr>
        <w:t xml:space="preserve"> </w:t>
      </w:r>
      <w:r>
        <w:rPr>
          <w:sz w:val="18"/>
        </w:rPr>
        <w:t>to</w:t>
      </w:r>
      <w:r>
        <w:rPr>
          <w:spacing w:val="-3"/>
          <w:sz w:val="18"/>
        </w:rPr>
        <w:t xml:space="preserve"> </w:t>
      </w:r>
      <w:r>
        <w:rPr>
          <w:sz w:val="18"/>
        </w:rPr>
        <w:t>make</w:t>
      </w:r>
      <w:r>
        <w:rPr>
          <w:spacing w:val="-5"/>
          <w:sz w:val="18"/>
        </w:rPr>
        <w:t xml:space="preserve"> </w:t>
      </w:r>
      <w:r>
        <w:rPr>
          <w:sz w:val="18"/>
        </w:rPr>
        <w:t>a</w:t>
      </w:r>
      <w:r>
        <w:rPr>
          <w:spacing w:val="-7"/>
          <w:sz w:val="18"/>
        </w:rPr>
        <w:t xml:space="preserve"> </w:t>
      </w:r>
      <w:r>
        <w:rPr>
          <w:sz w:val="18"/>
        </w:rPr>
        <w:t>determination</w:t>
      </w:r>
      <w:r>
        <w:rPr>
          <w:spacing w:val="-3"/>
          <w:sz w:val="18"/>
        </w:rPr>
        <w:t xml:space="preserve"> </w:t>
      </w:r>
      <w:r>
        <w:rPr>
          <w:sz w:val="18"/>
        </w:rPr>
        <w:t>because</w:t>
      </w:r>
      <w:r>
        <w:rPr>
          <w:spacing w:val="-5"/>
          <w:sz w:val="18"/>
        </w:rPr>
        <w:t xml:space="preserve"> </w:t>
      </w:r>
      <w:r>
        <w:rPr>
          <w:sz w:val="18"/>
        </w:rPr>
        <w:t>at</w:t>
      </w:r>
      <w:r>
        <w:rPr>
          <w:spacing w:val="-4"/>
          <w:sz w:val="18"/>
        </w:rPr>
        <w:t xml:space="preserve"> </w:t>
      </w:r>
      <w:r>
        <w:rPr>
          <w:sz w:val="18"/>
        </w:rPr>
        <w:t>the</w:t>
      </w:r>
      <w:r>
        <w:rPr>
          <w:spacing w:val="-5"/>
          <w:sz w:val="18"/>
        </w:rPr>
        <w:t xml:space="preserve"> </w:t>
      </w:r>
      <w:r>
        <w:rPr>
          <w:sz w:val="18"/>
        </w:rPr>
        <w:t>end</w:t>
      </w:r>
      <w:r>
        <w:rPr>
          <w:spacing w:val="-6"/>
          <w:sz w:val="18"/>
        </w:rPr>
        <w:t xml:space="preserve"> </w:t>
      </w:r>
      <w:r>
        <w:rPr>
          <w:sz w:val="18"/>
        </w:rPr>
        <w:t>of</w:t>
      </w:r>
      <w:r>
        <w:rPr>
          <w:spacing w:val="-4"/>
          <w:sz w:val="18"/>
        </w:rPr>
        <w:t xml:space="preserve"> </w:t>
      </w:r>
      <w:r>
        <w:rPr>
          <w:sz w:val="18"/>
        </w:rPr>
        <w:t>the</w:t>
      </w:r>
      <w:r>
        <w:rPr>
          <w:spacing w:val="-5"/>
          <w:sz w:val="18"/>
        </w:rPr>
        <w:t xml:space="preserve"> </w:t>
      </w:r>
      <w:r>
        <w:rPr>
          <w:sz w:val="18"/>
        </w:rPr>
        <w:t>day</w:t>
      </w:r>
      <w:r>
        <w:rPr>
          <w:spacing w:val="-3"/>
          <w:sz w:val="18"/>
        </w:rPr>
        <w:t xml:space="preserve"> </w:t>
      </w:r>
      <w:r>
        <w:rPr>
          <w:sz w:val="18"/>
        </w:rPr>
        <w:t>courts</w:t>
      </w:r>
      <w:r>
        <w:rPr>
          <w:spacing w:val="-5"/>
          <w:sz w:val="18"/>
        </w:rPr>
        <w:t xml:space="preserve"> </w:t>
      </w:r>
      <w:r>
        <w:rPr>
          <w:sz w:val="18"/>
        </w:rPr>
        <w:t>can</w:t>
      </w:r>
      <w:r>
        <w:rPr>
          <w:spacing w:val="-3"/>
          <w:sz w:val="18"/>
        </w:rPr>
        <w:t xml:space="preserve"> </w:t>
      </w:r>
      <w:r>
        <w:rPr>
          <w:sz w:val="18"/>
        </w:rPr>
        <w:t>make</w:t>
      </w:r>
      <w:r>
        <w:rPr>
          <w:spacing w:val="-5"/>
          <w:sz w:val="18"/>
        </w:rPr>
        <w:t xml:space="preserve"> </w:t>
      </w:r>
      <w:r>
        <w:rPr>
          <w:sz w:val="18"/>
        </w:rPr>
        <w:t>a</w:t>
      </w:r>
      <w:r>
        <w:rPr>
          <w:spacing w:val="-5"/>
          <w:sz w:val="18"/>
        </w:rPr>
        <w:t xml:space="preserve"> </w:t>
      </w:r>
      <w:r>
        <w:rPr>
          <w:sz w:val="18"/>
        </w:rPr>
        <w:t>determination</w:t>
      </w:r>
      <w:r>
        <w:rPr>
          <w:spacing w:val="-6"/>
          <w:sz w:val="18"/>
        </w:rPr>
        <w:t xml:space="preserve"> </w:t>
      </w:r>
      <w:r>
        <w:rPr>
          <w:sz w:val="18"/>
        </w:rPr>
        <w:t>on</w:t>
      </w:r>
      <w:r>
        <w:rPr>
          <w:spacing w:val="-3"/>
          <w:sz w:val="18"/>
        </w:rPr>
        <w:t xml:space="preserve"> </w:t>
      </w:r>
      <w:r>
        <w:rPr>
          <w:sz w:val="18"/>
        </w:rPr>
        <w:t>any</w:t>
      </w:r>
      <w:r>
        <w:rPr>
          <w:spacing w:val="-3"/>
          <w:sz w:val="18"/>
        </w:rPr>
        <w:t xml:space="preserve"> </w:t>
      </w:r>
      <w:r>
        <w:rPr>
          <w:sz w:val="18"/>
        </w:rPr>
        <w:t>form</w:t>
      </w:r>
      <w:r>
        <w:rPr>
          <w:spacing w:val="-7"/>
          <w:sz w:val="18"/>
        </w:rPr>
        <w:t xml:space="preserve"> </w:t>
      </w:r>
      <w:r>
        <w:rPr>
          <w:sz w:val="18"/>
        </w:rPr>
        <w:t>of</w:t>
      </w:r>
      <w:r>
        <w:rPr>
          <w:spacing w:val="-4"/>
          <w:sz w:val="18"/>
        </w:rPr>
        <w:t xml:space="preserve"> </w:t>
      </w:r>
      <w:r>
        <w:rPr>
          <w:sz w:val="18"/>
        </w:rPr>
        <w:t>warrants</w:t>
      </w:r>
      <w:r>
        <w:rPr>
          <w:spacing w:val="-4"/>
          <w:sz w:val="18"/>
        </w:rPr>
        <w:t xml:space="preserve"> </w:t>
      </w:r>
      <w:r>
        <w:rPr>
          <w:sz w:val="18"/>
        </w:rPr>
        <w:t>on</w:t>
      </w:r>
      <w:r>
        <w:rPr>
          <w:spacing w:val="-3"/>
          <w:sz w:val="18"/>
        </w:rPr>
        <w:t xml:space="preserve"> </w:t>
      </w:r>
      <w:r>
        <w:rPr>
          <w:sz w:val="18"/>
        </w:rPr>
        <w:t xml:space="preserve">any sort of issues’: quoted in Denham Sadler, ‘Victoria Won’t Prevent Police Accessing QR Code Check-In Data’, </w:t>
      </w:r>
      <w:r>
        <w:rPr>
          <w:i/>
          <w:sz w:val="18"/>
        </w:rPr>
        <w:t xml:space="preserve">InnovationAus.com </w:t>
      </w:r>
      <w:r>
        <w:rPr>
          <w:sz w:val="18"/>
        </w:rPr>
        <w:t>(online, 22 June 2021).</w:t>
      </w:r>
    </w:p>
    <w:p w14:paraId="7CB25F28" w14:textId="77777777" w:rsidR="008A4099" w:rsidRDefault="006A6EE2">
      <w:pPr>
        <w:spacing w:before="16"/>
        <w:ind w:left="160"/>
        <w:jc w:val="both"/>
        <w:rPr>
          <w:sz w:val="18"/>
        </w:rPr>
      </w:pPr>
      <w:r>
        <w:rPr>
          <w:sz w:val="18"/>
          <w:vertAlign w:val="superscript"/>
        </w:rPr>
        <w:t>218</w:t>
      </w:r>
      <w:r>
        <w:rPr>
          <w:spacing w:val="-1"/>
          <w:sz w:val="18"/>
        </w:rPr>
        <w:t xml:space="preserve"> </w:t>
      </w:r>
      <w:r>
        <w:rPr>
          <w:i/>
          <w:sz w:val="18"/>
        </w:rPr>
        <w:t>Public</w:t>
      </w:r>
      <w:r>
        <w:rPr>
          <w:i/>
          <w:spacing w:val="-2"/>
          <w:sz w:val="18"/>
        </w:rPr>
        <w:t xml:space="preserve"> </w:t>
      </w:r>
      <w:r>
        <w:rPr>
          <w:i/>
          <w:sz w:val="18"/>
        </w:rPr>
        <w:t>Health and</w:t>
      </w:r>
      <w:r>
        <w:rPr>
          <w:i/>
          <w:spacing w:val="-2"/>
          <w:sz w:val="18"/>
        </w:rPr>
        <w:t xml:space="preserve"> </w:t>
      </w:r>
      <w:r>
        <w:rPr>
          <w:i/>
          <w:sz w:val="18"/>
        </w:rPr>
        <w:t>Wellbeing</w:t>
      </w:r>
      <w:r>
        <w:rPr>
          <w:i/>
          <w:spacing w:val="-2"/>
          <w:sz w:val="18"/>
        </w:rPr>
        <w:t xml:space="preserve"> </w:t>
      </w:r>
      <w:r>
        <w:rPr>
          <w:i/>
          <w:sz w:val="18"/>
        </w:rPr>
        <w:t>Amendment</w:t>
      </w:r>
      <w:r>
        <w:rPr>
          <w:i/>
          <w:spacing w:val="-1"/>
          <w:sz w:val="18"/>
        </w:rPr>
        <w:t xml:space="preserve"> </w:t>
      </w:r>
      <w:r>
        <w:rPr>
          <w:i/>
          <w:sz w:val="18"/>
        </w:rPr>
        <w:t>(Pandemic</w:t>
      </w:r>
      <w:r>
        <w:rPr>
          <w:i/>
          <w:spacing w:val="-2"/>
          <w:sz w:val="18"/>
        </w:rPr>
        <w:t xml:space="preserve"> </w:t>
      </w:r>
      <w:r>
        <w:rPr>
          <w:i/>
          <w:sz w:val="18"/>
        </w:rPr>
        <w:t>Management)</w:t>
      </w:r>
      <w:r>
        <w:rPr>
          <w:i/>
          <w:spacing w:val="-1"/>
          <w:sz w:val="18"/>
        </w:rPr>
        <w:t xml:space="preserve"> </w:t>
      </w:r>
      <w:r>
        <w:rPr>
          <w:i/>
          <w:sz w:val="18"/>
        </w:rPr>
        <w:t>Act 2021</w:t>
      </w:r>
      <w:r>
        <w:rPr>
          <w:i/>
          <w:spacing w:val="6"/>
          <w:sz w:val="18"/>
        </w:rPr>
        <w:t xml:space="preserve"> </w:t>
      </w:r>
      <w:r>
        <w:rPr>
          <w:sz w:val="18"/>
        </w:rPr>
        <w:t>(Vic)</w:t>
      </w:r>
      <w:r>
        <w:rPr>
          <w:spacing w:val="-1"/>
          <w:sz w:val="18"/>
        </w:rPr>
        <w:t xml:space="preserve"> </w:t>
      </w:r>
      <w:r>
        <w:rPr>
          <w:sz w:val="18"/>
        </w:rPr>
        <w:t>(‘Vic</w:t>
      </w:r>
      <w:r>
        <w:rPr>
          <w:spacing w:val="-2"/>
          <w:sz w:val="18"/>
        </w:rPr>
        <w:t xml:space="preserve"> </w:t>
      </w:r>
      <w:r>
        <w:rPr>
          <w:sz w:val="18"/>
        </w:rPr>
        <w:t>Pandemic</w:t>
      </w:r>
      <w:r>
        <w:rPr>
          <w:spacing w:val="-1"/>
          <w:sz w:val="18"/>
        </w:rPr>
        <w:t xml:space="preserve"> </w:t>
      </w:r>
      <w:r>
        <w:rPr>
          <w:sz w:val="18"/>
        </w:rPr>
        <w:t>Act’)</w:t>
      </w:r>
      <w:r>
        <w:rPr>
          <w:spacing w:val="-1"/>
          <w:sz w:val="18"/>
        </w:rPr>
        <w:t xml:space="preserve"> </w:t>
      </w:r>
      <w:r>
        <w:rPr>
          <w:sz w:val="18"/>
        </w:rPr>
        <w:t>s</w:t>
      </w:r>
      <w:r>
        <w:rPr>
          <w:spacing w:val="-1"/>
          <w:sz w:val="18"/>
        </w:rPr>
        <w:t xml:space="preserve"> </w:t>
      </w:r>
      <w:r>
        <w:rPr>
          <w:spacing w:val="-2"/>
          <w:sz w:val="18"/>
        </w:rPr>
        <w:t>165CD(2).</w:t>
      </w:r>
    </w:p>
    <w:p w14:paraId="7CB25F29" w14:textId="77777777" w:rsidR="008A4099" w:rsidRDefault="006A6EE2">
      <w:pPr>
        <w:spacing w:before="23" w:line="242" w:lineRule="auto"/>
        <w:ind w:left="160" w:right="679"/>
        <w:rPr>
          <w:sz w:val="18"/>
        </w:rPr>
      </w:pPr>
      <w:r>
        <w:rPr>
          <w:sz w:val="18"/>
          <w:vertAlign w:val="superscript"/>
        </w:rPr>
        <w:t>219</w:t>
      </w:r>
      <w:r>
        <w:rPr>
          <w:spacing w:val="-1"/>
          <w:sz w:val="18"/>
        </w:rPr>
        <w:t xml:space="preserve"> </w:t>
      </w:r>
      <w:r>
        <w:rPr>
          <w:sz w:val="18"/>
        </w:rPr>
        <w:t>Legislative</w:t>
      </w:r>
      <w:r>
        <w:rPr>
          <w:spacing w:val="40"/>
          <w:sz w:val="18"/>
        </w:rPr>
        <w:t xml:space="preserve"> </w:t>
      </w:r>
      <w:r>
        <w:rPr>
          <w:sz w:val="18"/>
        </w:rPr>
        <w:t>Assembly</w:t>
      </w:r>
      <w:r>
        <w:rPr>
          <w:spacing w:val="40"/>
          <w:sz w:val="18"/>
        </w:rPr>
        <w:t xml:space="preserve"> </w:t>
      </w:r>
      <w:r>
        <w:rPr>
          <w:sz w:val="18"/>
        </w:rPr>
        <w:t>for</w:t>
      </w:r>
      <w:r>
        <w:rPr>
          <w:spacing w:val="40"/>
          <w:sz w:val="18"/>
        </w:rPr>
        <w:t xml:space="preserve"> </w:t>
      </w:r>
      <w:r>
        <w:rPr>
          <w:sz w:val="18"/>
        </w:rPr>
        <w:t>the</w:t>
      </w:r>
      <w:r>
        <w:rPr>
          <w:spacing w:val="40"/>
          <w:sz w:val="18"/>
        </w:rPr>
        <w:t xml:space="preserve"> </w:t>
      </w:r>
      <w:r>
        <w:rPr>
          <w:sz w:val="18"/>
        </w:rPr>
        <w:t>Australian</w:t>
      </w:r>
      <w:r>
        <w:rPr>
          <w:spacing w:val="40"/>
          <w:sz w:val="18"/>
        </w:rPr>
        <w:t xml:space="preserve"> </w:t>
      </w:r>
      <w:r>
        <w:rPr>
          <w:sz w:val="18"/>
        </w:rPr>
        <w:t>Capital</w:t>
      </w:r>
      <w:r>
        <w:rPr>
          <w:spacing w:val="40"/>
          <w:sz w:val="18"/>
        </w:rPr>
        <w:t xml:space="preserve"> </w:t>
      </w:r>
      <w:r>
        <w:rPr>
          <w:sz w:val="18"/>
        </w:rPr>
        <w:t>Territory,</w:t>
      </w:r>
      <w:r>
        <w:rPr>
          <w:spacing w:val="40"/>
          <w:sz w:val="18"/>
        </w:rPr>
        <w:t xml:space="preserve"> </w:t>
      </w:r>
      <w:r>
        <w:rPr>
          <w:i/>
          <w:sz w:val="18"/>
        </w:rPr>
        <w:t>Covid-19</w:t>
      </w:r>
      <w:r>
        <w:rPr>
          <w:i/>
          <w:spacing w:val="40"/>
          <w:sz w:val="18"/>
        </w:rPr>
        <w:t xml:space="preserve"> </w:t>
      </w:r>
      <w:r>
        <w:rPr>
          <w:i/>
          <w:sz w:val="18"/>
        </w:rPr>
        <w:t>Emergency</w:t>
      </w:r>
      <w:r>
        <w:rPr>
          <w:i/>
          <w:spacing w:val="40"/>
          <w:sz w:val="18"/>
        </w:rPr>
        <w:t xml:space="preserve"> </w:t>
      </w:r>
      <w:r>
        <w:rPr>
          <w:i/>
          <w:sz w:val="18"/>
        </w:rPr>
        <w:t>Response</w:t>
      </w:r>
      <w:r>
        <w:rPr>
          <w:i/>
          <w:spacing w:val="40"/>
          <w:sz w:val="18"/>
        </w:rPr>
        <w:t xml:space="preserve"> </w:t>
      </w:r>
      <w:r>
        <w:rPr>
          <w:i/>
          <w:sz w:val="18"/>
        </w:rPr>
        <w:t>(Check-in</w:t>
      </w:r>
      <w:r>
        <w:rPr>
          <w:i/>
          <w:spacing w:val="40"/>
          <w:sz w:val="18"/>
        </w:rPr>
        <w:t xml:space="preserve"> </w:t>
      </w:r>
      <w:r>
        <w:rPr>
          <w:i/>
          <w:sz w:val="18"/>
        </w:rPr>
        <w:t>Information) Amendment Bill 2021</w:t>
      </w:r>
      <w:r>
        <w:rPr>
          <w:sz w:val="18"/>
        </w:rPr>
        <w:t>, Explanatory Statement and Human Rights Compatibility Statement 8 &lt;https://</w:t>
      </w:r>
      <w:hyperlink r:id="rId103">
        <w:r>
          <w:rPr>
            <w:sz w:val="18"/>
          </w:rPr>
          <w:t>www.legislation.act.go</w:t>
        </w:r>
      </w:hyperlink>
      <w:r>
        <w:rPr>
          <w:sz w:val="18"/>
        </w:rPr>
        <w:t xml:space="preserve"> </w:t>
      </w:r>
      <w:r>
        <w:rPr>
          <w:spacing w:val="-2"/>
          <w:sz w:val="18"/>
        </w:rPr>
        <w:t>v.au/b/db_64814/&gt;.</w:t>
      </w:r>
    </w:p>
    <w:p w14:paraId="7CB25F2A" w14:textId="77777777" w:rsidR="008A4099" w:rsidRDefault="006A6EE2">
      <w:pPr>
        <w:ind w:left="160" w:right="682"/>
        <w:jc w:val="both"/>
        <w:rPr>
          <w:sz w:val="18"/>
        </w:rPr>
      </w:pPr>
      <w:r>
        <w:rPr>
          <w:sz w:val="18"/>
        </w:rPr>
        <w:t>In response to a query from the ACT Scrutiny Committee regarding how the restrictions would be enforced, the Minister for Health said that existing legislative protection against the misuse of information by a public servant would be sufficient to ensure</w:t>
      </w:r>
      <w:r>
        <w:rPr>
          <w:spacing w:val="-5"/>
          <w:sz w:val="18"/>
        </w:rPr>
        <w:t xml:space="preserve"> </w:t>
      </w:r>
      <w:r>
        <w:rPr>
          <w:sz w:val="18"/>
        </w:rPr>
        <w:t>data</w:t>
      </w:r>
      <w:r>
        <w:rPr>
          <w:spacing w:val="-4"/>
          <w:sz w:val="18"/>
        </w:rPr>
        <w:t xml:space="preserve"> </w:t>
      </w:r>
      <w:r>
        <w:rPr>
          <w:sz w:val="18"/>
        </w:rPr>
        <w:t>collected</w:t>
      </w:r>
      <w:r>
        <w:rPr>
          <w:spacing w:val="-4"/>
          <w:sz w:val="18"/>
        </w:rPr>
        <w:t xml:space="preserve"> </w:t>
      </w:r>
      <w:r>
        <w:rPr>
          <w:sz w:val="18"/>
        </w:rPr>
        <w:t>and</w:t>
      </w:r>
      <w:r>
        <w:rPr>
          <w:spacing w:val="-6"/>
          <w:sz w:val="18"/>
        </w:rPr>
        <w:t xml:space="preserve"> </w:t>
      </w:r>
      <w:r>
        <w:rPr>
          <w:sz w:val="18"/>
        </w:rPr>
        <w:t>held</w:t>
      </w:r>
      <w:r>
        <w:rPr>
          <w:spacing w:val="-5"/>
          <w:sz w:val="18"/>
        </w:rPr>
        <w:t xml:space="preserve"> </w:t>
      </w:r>
      <w:r>
        <w:rPr>
          <w:sz w:val="18"/>
        </w:rPr>
        <w:t>by</w:t>
      </w:r>
      <w:r>
        <w:rPr>
          <w:spacing w:val="-6"/>
          <w:sz w:val="18"/>
        </w:rPr>
        <w:t xml:space="preserve"> </w:t>
      </w:r>
      <w:r>
        <w:rPr>
          <w:sz w:val="18"/>
        </w:rPr>
        <w:t>the</w:t>
      </w:r>
      <w:r>
        <w:rPr>
          <w:spacing w:val="-5"/>
          <w:sz w:val="18"/>
        </w:rPr>
        <w:t xml:space="preserve"> </w:t>
      </w:r>
      <w:r>
        <w:rPr>
          <w:sz w:val="18"/>
        </w:rPr>
        <w:t>Department</w:t>
      </w:r>
      <w:r>
        <w:rPr>
          <w:spacing w:val="-4"/>
          <w:sz w:val="18"/>
        </w:rPr>
        <w:t xml:space="preserve"> </w:t>
      </w:r>
      <w:r>
        <w:rPr>
          <w:sz w:val="18"/>
        </w:rPr>
        <w:t>of</w:t>
      </w:r>
      <w:r>
        <w:rPr>
          <w:spacing w:val="-4"/>
          <w:sz w:val="18"/>
        </w:rPr>
        <w:t xml:space="preserve"> </w:t>
      </w:r>
      <w:r>
        <w:rPr>
          <w:sz w:val="18"/>
        </w:rPr>
        <w:t>Health</w:t>
      </w:r>
      <w:r>
        <w:rPr>
          <w:spacing w:val="-3"/>
          <w:sz w:val="18"/>
        </w:rPr>
        <w:t xml:space="preserve"> </w:t>
      </w:r>
      <w:r>
        <w:rPr>
          <w:sz w:val="18"/>
        </w:rPr>
        <w:t>would</w:t>
      </w:r>
      <w:r>
        <w:rPr>
          <w:spacing w:val="-3"/>
          <w:sz w:val="18"/>
        </w:rPr>
        <w:t xml:space="preserve"> </w:t>
      </w:r>
      <w:r>
        <w:rPr>
          <w:sz w:val="18"/>
        </w:rPr>
        <w:t>be</w:t>
      </w:r>
      <w:r>
        <w:rPr>
          <w:spacing w:val="-5"/>
          <w:sz w:val="18"/>
        </w:rPr>
        <w:t xml:space="preserve"> </w:t>
      </w:r>
      <w:r>
        <w:rPr>
          <w:sz w:val="18"/>
        </w:rPr>
        <w:t>managed</w:t>
      </w:r>
      <w:r>
        <w:rPr>
          <w:spacing w:val="-3"/>
          <w:sz w:val="18"/>
        </w:rPr>
        <w:t xml:space="preserve"> </w:t>
      </w:r>
      <w:r>
        <w:rPr>
          <w:sz w:val="18"/>
        </w:rPr>
        <w:t>in</w:t>
      </w:r>
      <w:r>
        <w:rPr>
          <w:spacing w:val="-3"/>
          <w:sz w:val="18"/>
        </w:rPr>
        <w:t xml:space="preserve"> </w:t>
      </w:r>
      <w:r>
        <w:rPr>
          <w:sz w:val="18"/>
        </w:rPr>
        <w:t>accordance</w:t>
      </w:r>
      <w:r>
        <w:rPr>
          <w:spacing w:val="-5"/>
          <w:sz w:val="18"/>
        </w:rPr>
        <w:t xml:space="preserve"> </w:t>
      </w:r>
      <w:r>
        <w:rPr>
          <w:sz w:val="18"/>
        </w:rPr>
        <w:t>with</w:t>
      </w:r>
      <w:r>
        <w:rPr>
          <w:spacing w:val="-3"/>
          <w:sz w:val="18"/>
        </w:rPr>
        <w:t xml:space="preserve"> </w:t>
      </w:r>
      <w:r>
        <w:rPr>
          <w:sz w:val="18"/>
        </w:rPr>
        <w:t>the</w:t>
      </w:r>
      <w:r>
        <w:rPr>
          <w:spacing w:val="-7"/>
          <w:sz w:val="18"/>
        </w:rPr>
        <w:t xml:space="preserve"> </w:t>
      </w:r>
      <w:r>
        <w:rPr>
          <w:sz w:val="18"/>
        </w:rPr>
        <w:t>restrictions:</w:t>
      </w:r>
      <w:r>
        <w:rPr>
          <w:spacing w:val="-4"/>
          <w:sz w:val="18"/>
        </w:rPr>
        <w:t xml:space="preserve"> </w:t>
      </w:r>
      <w:r>
        <w:rPr>
          <w:sz w:val="18"/>
        </w:rPr>
        <w:t>see</w:t>
      </w:r>
      <w:r>
        <w:rPr>
          <w:spacing w:val="-5"/>
          <w:sz w:val="18"/>
        </w:rPr>
        <w:t xml:space="preserve"> </w:t>
      </w:r>
      <w:r>
        <w:rPr>
          <w:sz w:val="18"/>
        </w:rPr>
        <w:t>Rachel Stephen-Smith</w:t>
      </w:r>
      <w:r>
        <w:rPr>
          <w:spacing w:val="4"/>
          <w:sz w:val="18"/>
        </w:rPr>
        <w:t xml:space="preserve"> </w:t>
      </w:r>
      <w:r>
        <w:rPr>
          <w:sz w:val="18"/>
        </w:rPr>
        <w:t>MLA</w:t>
      </w:r>
      <w:r>
        <w:rPr>
          <w:spacing w:val="8"/>
          <w:sz w:val="18"/>
        </w:rPr>
        <w:t xml:space="preserve"> </w:t>
      </w:r>
      <w:r>
        <w:rPr>
          <w:sz w:val="18"/>
        </w:rPr>
        <w:t>to</w:t>
      </w:r>
      <w:r>
        <w:rPr>
          <w:spacing w:val="6"/>
          <w:sz w:val="18"/>
        </w:rPr>
        <w:t xml:space="preserve"> </w:t>
      </w:r>
      <w:r>
        <w:rPr>
          <w:sz w:val="18"/>
        </w:rPr>
        <w:t>the</w:t>
      </w:r>
      <w:r>
        <w:rPr>
          <w:spacing w:val="8"/>
          <w:sz w:val="18"/>
        </w:rPr>
        <w:t xml:space="preserve"> </w:t>
      </w:r>
      <w:r>
        <w:rPr>
          <w:sz w:val="18"/>
        </w:rPr>
        <w:t>Chair</w:t>
      </w:r>
      <w:r>
        <w:rPr>
          <w:spacing w:val="6"/>
          <w:sz w:val="18"/>
        </w:rPr>
        <w:t xml:space="preserve"> </w:t>
      </w:r>
      <w:r>
        <w:rPr>
          <w:sz w:val="18"/>
        </w:rPr>
        <w:t>of</w:t>
      </w:r>
      <w:r>
        <w:rPr>
          <w:spacing w:val="5"/>
          <w:sz w:val="18"/>
        </w:rPr>
        <w:t xml:space="preserve"> </w:t>
      </w:r>
      <w:r>
        <w:rPr>
          <w:sz w:val="18"/>
        </w:rPr>
        <w:t>the</w:t>
      </w:r>
      <w:r>
        <w:rPr>
          <w:spacing w:val="8"/>
          <w:sz w:val="18"/>
        </w:rPr>
        <w:t xml:space="preserve"> </w:t>
      </w:r>
      <w:r>
        <w:rPr>
          <w:sz w:val="18"/>
        </w:rPr>
        <w:t>Standing</w:t>
      </w:r>
      <w:r>
        <w:rPr>
          <w:spacing w:val="6"/>
          <w:sz w:val="18"/>
        </w:rPr>
        <w:t xml:space="preserve"> </w:t>
      </w:r>
      <w:r>
        <w:rPr>
          <w:sz w:val="18"/>
        </w:rPr>
        <w:t>Committee</w:t>
      </w:r>
      <w:r>
        <w:rPr>
          <w:spacing w:val="7"/>
          <w:sz w:val="18"/>
        </w:rPr>
        <w:t xml:space="preserve"> </w:t>
      </w:r>
      <w:r>
        <w:rPr>
          <w:sz w:val="18"/>
        </w:rPr>
        <w:t>on</w:t>
      </w:r>
      <w:r>
        <w:rPr>
          <w:spacing w:val="10"/>
          <w:sz w:val="18"/>
        </w:rPr>
        <w:t xml:space="preserve"> </w:t>
      </w:r>
      <w:r>
        <w:rPr>
          <w:sz w:val="18"/>
        </w:rPr>
        <w:t>Justice</w:t>
      </w:r>
      <w:r>
        <w:rPr>
          <w:spacing w:val="7"/>
          <w:sz w:val="18"/>
        </w:rPr>
        <w:t xml:space="preserve"> </w:t>
      </w:r>
      <w:r>
        <w:rPr>
          <w:sz w:val="18"/>
        </w:rPr>
        <w:t>and</w:t>
      </w:r>
      <w:r>
        <w:rPr>
          <w:spacing w:val="6"/>
          <w:sz w:val="18"/>
        </w:rPr>
        <w:t xml:space="preserve"> </w:t>
      </w:r>
      <w:r>
        <w:rPr>
          <w:sz w:val="18"/>
        </w:rPr>
        <w:t>Community</w:t>
      </w:r>
      <w:r>
        <w:rPr>
          <w:spacing w:val="7"/>
          <w:sz w:val="18"/>
        </w:rPr>
        <w:t xml:space="preserve"> </w:t>
      </w:r>
      <w:r>
        <w:rPr>
          <w:sz w:val="18"/>
        </w:rPr>
        <w:t>Safety</w:t>
      </w:r>
      <w:r>
        <w:rPr>
          <w:spacing w:val="9"/>
          <w:sz w:val="18"/>
        </w:rPr>
        <w:t xml:space="preserve"> </w:t>
      </w:r>
      <w:r>
        <w:rPr>
          <w:sz w:val="18"/>
        </w:rPr>
        <w:t>(Legislative</w:t>
      </w:r>
      <w:r>
        <w:rPr>
          <w:spacing w:val="7"/>
          <w:sz w:val="18"/>
        </w:rPr>
        <w:t xml:space="preserve"> </w:t>
      </w:r>
      <w:r>
        <w:rPr>
          <w:sz w:val="18"/>
        </w:rPr>
        <w:t>Scrutiny</w:t>
      </w:r>
      <w:r>
        <w:rPr>
          <w:spacing w:val="10"/>
          <w:sz w:val="18"/>
        </w:rPr>
        <w:t xml:space="preserve"> </w:t>
      </w:r>
      <w:r>
        <w:rPr>
          <w:spacing w:val="-2"/>
          <w:sz w:val="18"/>
        </w:rPr>
        <w:t>Role)</w:t>
      </w:r>
    </w:p>
    <w:p w14:paraId="7CB25F2B" w14:textId="77777777" w:rsidR="008A4099" w:rsidRDefault="006A6EE2">
      <w:pPr>
        <w:ind w:left="160" w:right="1129"/>
        <w:rPr>
          <w:sz w:val="18"/>
        </w:rPr>
      </w:pPr>
      <w:r>
        <w:rPr>
          <w:sz w:val="18"/>
        </w:rPr>
        <w:t>&lt;https://</w:t>
      </w:r>
      <w:hyperlink r:id="rId104">
        <w:r>
          <w:rPr>
            <w:sz w:val="18"/>
          </w:rPr>
          <w:t>www.parliament.act.gov.au/</w:t>
        </w:r>
      </w:hyperlink>
      <w:r>
        <w:rPr>
          <w:spacing w:val="80"/>
          <w:sz w:val="18"/>
          <w:u w:val="single"/>
        </w:rPr>
        <w:t xml:space="preserve"> </w:t>
      </w:r>
      <w:r>
        <w:rPr>
          <w:sz w:val="18"/>
        </w:rPr>
        <w:t xml:space="preserve">data/assets/pdf_file/0006/1851909/COVID-19-Emergency-Response-Check-in- </w:t>
      </w:r>
      <w:r>
        <w:rPr>
          <w:spacing w:val="-2"/>
          <w:sz w:val="18"/>
        </w:rPr>
        <w:t>Information-Amendment-Bill-2021.pdf&gt;.</w:t>
      </w:r>
    </w:p>
    <w:p w14:paraId="7CB25F2C" w14:textId="77777777" w:rsidR="008A4099" w:rsidRDefault="006A6EE2">
      <w:pPr>
        <w:spacing w:before="18"/>
        <w:ind w:left="160" w:right="673"/>
        <w:rPr>
          <w:sz w:val="18"/>
        </w:rPr>
      </w:pPr>
      <w:r>
        <w:rPr>
          <w:sz w:val="18"/>
          <w:vertAlign w:val="superscript"/>
        </w:rPr>
        <w:t>220</w:t>
      </w:r>
      <w:r>
        <w:rPr>
          <w:spacing w:val="-9"/>
          <w:sz w:val="18"/>
        </w:rPr>
        <w:t xml:space="preserve"> </w:t>
      </w:r>
      <w:r>
        <w:rPr>
          <w:sz w:val="18"/>
        </w:rPr>
        <w:t>Commissioner</w:t>
      </w:r>
      <w:r>
        <w:rPr>
          <w:spacing w:val="-9"/>
          <w:sz w:val="18"/>
        </w:rPr>
        <w:t xml:space="preserve"> </w:t>
      </w:r>
      <w:r>
        <w:rPr>
          <w:sz w:val="18"/>
        </w:rPr>
        <w:t>for</w:t>
      </w:r>
      <w:r>
        <w:rPr>
          <w:spacing w:val="-9"/>
          <w:sz w:val="18"/>
        </w:rPr>
        <w:t xml:space="preserve"> </w:t>
      </w:r>
      <w:r>
        <w:rPr>
          <w:sz w:val="18"/>
        </w:rPr>
        <w:t>Children</w:t>
      </w:r>
      <w:r>
        <w:rPr>
          <w:spacing w:val="-8"/>
          <w:sz w:val="18"/>
        </w:rPr>
        <w:t xml:space="preserve"> </w:t>
      </w:r>
      <w:r>
        <w:rPr>
          <w:sz w:val="18"/>
        </w:rPr>
        <w:t>and</w:t>
      </w:r>
      <w:r>
        <w:rPr>
          <w:spacing w:val="-10"/>
          <w:sz w:val="18"/>
        </w:rPr>
        <w:t xml:space="preserve"> </w:t>
      </w:r>
      <w:r>
        <w:rPr>
          <w:sz w:val="18"/>
        </w:rPr>
        <w:t>Young</w:t>
      </w:r>
      <w:r>
        <w:rPr>
          <w:spacing w:val="-10"/>
          <w:sz w:val="18"/>
        </w:rPr>
        <w:t xml:space="preserve"> </w:t>
      </w:r>
      <w:r>
        <w:rPr>
          <w:sz w:val="18"/>
        </w:rPr>
        <w:t>People</w:t>
      </w:r>
      <w:r>
        <w:rPr>
          <w:spacing w:val="-11"/>
          <w:sz w:val="18"/>
        </w:rPr>
        <w:t xml:space="preserve"> </w:t>
      </w:r>
      <w:r>
        <w:rPr>
          <w:sz w:val="18"/>
        </w:rPr>
        <w:t>Tasmania,</w:t>
      </w:r>
      <w:r>
        <w:rPr>
          <w:spacing w:val="-6"/>
          <w:sz w:val="18"/>
        </w:rPr>
        <w:t xml:space="preserve"> </w:t>
      </w:r>
      <w:r>
        <w:rPr>
          <w:i/>
          <w:sz w:val="18"/>
        </w:rPr>
        <w:t>Memorandum</w:t>
      </w:r>
      <w:r>
        <w:rPr>
          <w:i/>
          <w:spacing w:val="-11"/>
          <w:sz w:val="18"/>
        </w:rPr>
        <w:t xml:space="preserve"> </w:t>
      </w:r>
      <w:r>
        <w:rPr>
          <w:i/>
          <w:sz w:val="18"/>
        </w:rPr>
        <w:t>of</w:t>
      </w:r>
      <w:r>
        <w:rPr>
          <w:i/>
          <w:spacing w:val="-10"/>
          <w:sz w:val="18"/>
        </w:rPr>
        <w:t xml:space="preserve"> </w:t>
      </w:r>
      <w:r>
        <w:rPr>
          <w:i/>
          <w:sz w:val="18"/>
        </w:rPr>
        <w:t>Advice:</w:t>
      </w:r>
      <w:r>
        <w:rPr>
          <w:i/>
          <w:spacing w:val="-9"/>
          <w:sz w:val="18"/>
        </w:rPr>
        <w:t xml:space="preserve"> </w:t>
      </w:r>
      <w:r>
        <w:rPr>
          <w:i/>
          <w:sz w:val="18"/>
        </w:rPr>
        <w:t>Searches</w:t>
      </w:r>
      <w:r>
        <w:rPr>
          <w:i/>
          <w:spacing w:val="-10"/>
          <w:sz w:val="18"/>
        </w:rPr>
        <w:t xml:space="preserve"> </w:t>
      </w:r>
      <w:r>
        <w:rPr>
          <w:i/>
          <w:sz w:val="18"/>
        </w:rPr>
        <w:t>of</w:t>
      </w:r>
      <w:r>
        <w:rPr>
          <w:i/>
          <w:spacing w:val="-9"/>
          <w:sz w:val="18"/>
        </w:rPr>
        <w:t xml:space="preserve"> </w:t>
      </w:r>
      <w:r>
        <w:rPr>
          <w:i/>
          <w:sz w:val="18"/>
        </w:rPr>
        <w:t>Children</w:t>
      </w:r>
      <w:r>
        <w:rPr>
          <w:i/>
          <w:spacing w:val="-8"/>
          <w:sz w:val="18"/>
        </w:rPr>
        <w:t xml:space="preserve"> </w:t>
      </w:r>
      <w:r>
        <w:rPr>
          <w:i/>
          <w:sz w:val="18"/>
        </w:rPr>
        <w:t>and</w:t>
      </w:r>
      <w:r>
        <w:rPr>
          <w:i/>
          <w:spacing w:val="-10"/>
          <w:sz w:val="18"/>
        </w:rPr>
        <w:t xml:space="preserve"> </w:t>
      </w:r>
      <w:r>
        <w:rPr>
          <w:i/>
          <w:sz w:val="18"/>
        </w:rPr>
        <w:t>Young</w:t>
      </w:r>
      <w:r>
        <w:rPr>
          <w:i/>
          <w:spacing w:val="-10"/>
          <w:sz w:val="18"/>
        </w:rPr>
        <w:t xml:space="preserve"> </w:t>
      </w:r>
      <w:r>
        <w:rPr>
          <w:i/>
          <w:sz w:val="18"/>
        </w:rPr>
        <w:t>People in</w:t>
      </w:r>
      <w:r>
        <w:rPr>
          <w:i/>
          <w:spacing w:val="80"/>
          <w:w w:val="150"/>
          <w:sz w:val="18"/>
        </w:rPr>
        <w:t xml:space="preserve"> </w:t>
      </w:r>
      <w:r>
        <w:rPr>
          <w:i/>
          <w:sz w:val="18"/>
        </w:rPr>
        <w:t>Custody</w:t>
      </w:r>
      <w:r>
        <w:rPr>
          <w:i/>
          <w:spacing w:val="80"/>
          <w:sz w:val="18"/>
        </w:rPr>
        <w:t xml:space="preserve"> </w:t>
      </w:r>
      <w:r>
        <w:rPr>
          <w:i/>
          <w:sz w:val="18"/>
        </w:rPr>
        <w:t>and</w:t>
      </w:r>
      <w:r>
        <w:rPr>
          <w:i/>
          <w:spacing w:val="80"/>
          <w:sz w:val="18"/>
        </w:rPr>
        <w:t xml:space="preserve"> </w:t>
      </w:r>
      <w:r>
        <w:rPr>
          <w:i/>
          <w:sz w:val="18"/>
        </w:rPr>
        <w:t>Custodial</w:t>
      </w:r>
      <w:r>
        <w:rPr>
          <w:i/>
          <w:spacing w:val="80"/>
          <w:sz w:val="18"/>
        </w:rPr>
        <w:t xml:space="preserve"> </w:t>
      </w:r>
      <w:r>
        <w:rPr>
          <w:i/>
          <w:sz w:val="18"/>
        </w:rPr>
        <w:t>Facilities</w:t>
      </w:r>
      <w:r>
        <w:rPr>
          <w:i/>
          <w:spacing w:val="80"/>
          <w:sz w:val="18"/>
        </w:rPr>
        <w:t xml:space="preserve"> </w:t>
      </w:r>
      <w:r>
        <w:rPr>
          <w:i/>
          <w:sz w:val="18"/>
        </w:rPr>
        <w:t>in</w:t>
      </w:r>
      <w:r>
        <w:rPr>
          <w:i/>
          <w:spacing w:val="80"/>
          <w:sz w:val="18"/>
        </w:rPr>
        <w:t xml:space="preserve"> </w:t>
      </w:r>
      <w:r>
        <w:rPr>
          <w:i/>
          <w:sz w:val="18"/>
        </w:rPr>
        <w:t>Tasmania</w:t>
      </w:r>
      <w:r>
        <w:rPr>
          <w:i/>
          <w:spacing w:val="80"/>
          <w:w w:val="150"/>
          <w:sz w:val="18"/>
        </w:rPr>
        <w:t xml:space="preserve"> </w:t>
      </w:r>
      <w:r>
        <w:rPr>
          <w:sz w:val="18"/>
        </w:rPr>
        <w:t>(7</w:t>
      </w:r>
      <w:r>
        <w:rPr>
          <w:spacing w:val="80"/>
          <w:sz w:val="18"/>
        </w:rPr>
        <w:t xml:space="preserve"> </w:t>
      </w:r>
      <w:r>
        <w:rPr>
          <w:sz w:val="18"/>
        </w:rPr>
        <w:t>May</w:t>
      </w:r>
      <w:r>
        <w:rPr>
          <w:spacing w:val="80"/>
          <w:sz w:val="18"/>
        </w:rPr>
        <w:t xml:space="preserve"> </w:t>
      </w:r>
      <w:r>
        <w:rPr>
          <w:sz w:val="18"/>
        </w:rPr>
        <w:t>2019)</w:t>
      </w:r>
      <w:r>
        <w:rPr>
          <w:spacing w:val="80"/>
          <w:sz w:val="18"/>
        </w:rPr>
        <w:t xml:space="preserve"> </w:t>
      </w:r>
      <w:r>
        <w:rPr>
          <w:sz w:val="18"/>
        </w:rPr>
        <w:t>6–9</w:t>
      </w:r>
      <w:r>
        <w:rPr>
          <w:spacing w:val="80"/>
          <w:sz w:val="18"/>
        </w:rPr>
        <w:t xml:space="preserve"> </w:t>
      </w:r>
      <w:r>
        <w:rPr>
          <w:sz w:val="18"/>
        </w:rPr>
        <w:t>&lt;https://</w:t>
      </w:r>
      <w:hyperlink r:id="rId105">
        <w:r>
          <w:rPr>
            <w:sz w:val="18"/>
          </w:rPr>
          <w:t>www.childcomm.tas.gov.au/wp-</w:t>
        </w:r>
      </w:hyperlink>
      <w:r>
        <w:rPr>
          <w:spacing w:val="40"/>
          <w:sz w:val="18"/>
        </w:rPr>
        <w:t xml:space="preserve"> </w:t>
      </w:r>
      <w:r>
        <w:rPr>
          <w:spacing w:val="-2"/>
          <w:sz w:val="18"/>
        </w:rPr>
        <w:t>content/uploads/2019-05-06-FINAL-Advice-to-Ministers-Searches-of-children-and-young-people-in-custody-in-custodial-</w:t>
      </w:r>
      <w:r>
        <w:rPr>
          <w:spacing w:val="40"/>
          <w:sz w:val="18"/>
        </w:rPr>
        <w:t xml:space="preserve"> </w:t>
      </w:r>
      <w:r>
        <w:rPr>
          <w:spacing w:val="-2"/>
          <w:sz w:val="18"/>
        </w:rPr>
        <w:t>facilities.pdf&gt;.</w:t>
      </w:r>
    </w:p>
    <w:p w14:paraId="7CB25F2D" w14:textId="77777777" w:rsidR="008A4099" w:rsidRDefault="006A6EE2">
      <w:pPr>
        <w:spacing w:before="22" w:line="244" w:lineRule="auto"/>
        <w:ind w:left="160" w:right="680"/>
        <w:rPr>
          <w:sz w:val="18"/>
        </w:rPr>
      </w:pPr>
      <w:r>
        <w:rPr>
          <w:sz w:val="18"/>
          <w:vertAlign w:val="superscript"/>
        </w:rPr>
        <w:t>221</w:t>
      </w:r>
      <w:r>
        <w:rPr>
          <w:spacing w:val="-7"/>
          <w:sz w:val="18"/>
        </w:rPr>
        <w:t xml:space="preserve"> </w:t>
      </w:r>
      <w:r>
        <w:rPr>
          <w:sz w:val="18"/>
        </w:rPr>
        <w:t>Ibid</w:t>
      </w:r>
      <w:r>
        <w:rPr>
          <w:spacing w:val="-8"/>
          <w:sz w:val="18"/>
        </w:rPr>
        <w:t xml:space="preserve"> </w:t>
      </w:r>
      <w:r>
        <w:rPr>
          <w:sz w:val="18"/>
        </w:rPr>
        <w:t>13,</w:t>
      </w:r>
      <w:r>
        <w:rPr>
          <w:spacing w:val="-8"/>
          <w:sz w:val="18"/>
        </w:rPr>
        <w:t xml:space="preserve"> </w:t>
      </w:r>
      <w:r>
        <w:rPr>
          <w:sz w:val="18"/>
        </w:rPr>
        <w:t>15.</w:t>
      </w:r>
      <w:r>
        <w:rPr>
          <w:spacing w:val="-9"/>
          <w:sz w:val="18"/>
        </w:rPr>
        <w:t xml:space="preserve"> </w:t>
      </w:r>
      <w:r>
        <w:rPr>
          <w:sz w:val="18"/>
        </w:rPr>
        <w:t>For</w:t>
      </w:r>
      <w:r>
        <w:rPr>
          <w:spacing w:val="-9"/>
          <w:sz w:val="18"/>
        </w:rPr>
        <w:t xml:space="preserve"> </w:t>
      </w:r>
      <w:r>
        <w:rPr>
          <w:sz w:val="18"/>
        </w:rPr>
        <w:t>media</w:t>
      </w:r>
      <w:r>
        <w:rPr>
          <w:spacing w:val="-7"/>
          <w:sz w:val="18"/>
        </w:rPr>
        <w:t xml:space="preserve"> </w:t>
      </w:r>
      <w:r>
        <w:rPr>
          <w:sz w:val="18"/>
        </w:rPr>
        <w:t>reporting,</w:t>
      </w:r>
      <w:r>
        <w:rPr>
          <w:spacing w:val="-9"/>
          <w:sz w:val="18"/>
        </w:rPr>
        <w:t xml:space="preserve"> </w:t>
      </w:r>
      <w:r>
        <w:rPr>
          <w:sz w:val="18"/>
        </w:rPr>
        <w:t>see</w:t>
      </w:r>
      <w:r>
        <w:rPr>
          <w:spacing w:val="-7"/>
          <w:sz w:val="18"/>
        </w:rPr>
        <w:t xml:space="preserve"> </w:t>
      </w:r>
      <w:r>
        <w:rPr>
          <w:sz w:val="18"/>
        </w:rPr>
        <w:t>A</w:t>
      </w:r>
      <w:r>
        <w:rPr>
          <w:spacing w:val="-7"/>
          <w:sz w:val="18"/>
        </w:rPr>
        <w:t xml:space="preserve"> </w:t>
      </w:r>
      <w:r>
        <w:rPr>
          <w:sz w:val="18"/>
        </w:rPr>
        <w:t>Holmes,</w:t>
      </w:r>
      <w:r>
        <w:rPr>
          <w:spacing w:val="-6"/>
          <w:sz w:val="18"/>
        </w:rPr>
        <w:t xml:space="preserve"> </w:t>
      </w:r>
      <w:r>
        <w:rPr>
          <w:sz w:val="18"/>
        </w:rPr>
        <w:t>‘Forty-Six</w:t>
      </w:r>
      <w:r>
        <w:rPr>
          <w:spacing w:val="-6"/>
          <w:sz w:val="18"/>
        </w:rPr>
        <w:t xml:space="preserve"> </w:t>
      </w:r>
      <w:r>
        <w:rPr>
          <w:sz w:val="18"/>
        </w:rPr>
        <w:t>Children</w:t>
      </w:r>
      <w:r>
        <w:rPr>
          <w:spacing w:val="-6"/>
          <w:sz w:val="18"/>
        </w:rPr>
        <w:t xml:space="preserve"> </w:t>
      </w:r>
      <w:r>
        <w:rPr>
          <w:sz w:val="18"/>
        </w:rPr>
        <w:t>Aged</w:t>
      </w:r>
      <w:r>
        <w:rPr>
          <w:spacing w:val="-8"/>
          <w:sz w:val="18"/>
        </w:rPr>
        <w:t xml:space="preserve"> </w:t>
      </w:r>
      <w:r>
        <w:rPr>
          <w:sz w:val="18"/>
        </w:rPr>
        <w:t>13</w:t>
      </w:r>
      <w:r>
        <w:rPr>
          <w:spacing w:val="-8"/>
          <w:sz w:val="18"/>
        </w:rPr>
        <w:t xml:space="preserve"> </w:t>
      </w:r>
      <w:r>
        <w:rPr>
          <w:sz w:val="18"/>
        </w:rPr>
        <w:t>and</w:t>
      </w:r>
      <w:r>
        <w:rPr>
          <w:spacing w:val="-8"/>
          <w:sz w:val="18"/>
        </w:rPr>
        <w:t xml:space="preserve"> </w:t>
      </w:r>
      <w:r>
        <w:rPr>
          <w:sz w:val="18"/>
        </w:rPr>
        <w:t>Under</w:t>
      </w:r>
      <w:r>
        <w:rPr>
          <w:spacing w:val="-9"/>
          <w:sz w:val="18"/>
        </w:rPr>
        <w:t xml:space="preserve"> </w:t>
      </w:r>
      <w:r>
        <w:rPr>
          <w:sz w:val="18"/>
        </w:rPr>
        <w:t>Strip-Searched</w:t>
      </w:r>
      <w:r>
        <w:rPr>
          <w:spacing w:val="-6"/>
          <w:sz w:val="18"/>
        </w:rPr>
        <w:t xml:space="preserve"> </w:t>
      </w:r>
      <w:r>
        <w:rPr>
          <w:sz w:val="18"/>
        </w:rPr>
        <w:t>After</w:t>
      </w:r>
      <w:r>
        <w:rPr>
          <w:spacing w:val="-9"/>
          <w:sz w:val="18"/>
        </w:rPr>
        <w:t xml:space="preserve"> </w:t>
      </w:r>
      <w:r>
        <w:rPr>
          <w:sz w:val="18"/>
        </w:rPr>
        <w:t>Being</w:t>
      </w:r>
      <w:r>
        <w:rPr>
          <w:spacing w:val="-8"/>
          <w:sz w:val="18"/>
        </w:rPr>
        <w:t xml:space="preserve"> </w:t>
      </w:r>
      <w:r>
        <w:rPr>
          <w:sz w:val="18"/>
        </w:rPr>
        <w:t xml:space="preserve">Taken into Police Custody in Tasmania in 2018’, </w:t>
      </w:r>
      <w:r>
        <w:rPr>
          <w:i/>
          <w:sz w:val="18"/>
        </w:rPr>
        <w:t>The Examiner</w:t>
      </w:r>
      <w:r>
        <w:rPr>
          <w:sz w:val="18"/>
        </w:rPr>
        <w:t>, 15 March 2019.</w:t>
      </w:r>
    </w:p>
    <w:p w14:paraId="7CB25F2E" w14:textId="77777777" w:rsidR="008A4099" w:rsidRDefault="006A6EE2">
      <w:pPr>
        <w:spacing w:before="15"/>
        <w:ind w:left="160"/>
        <w:rPr>
          <w:sz w:val="18"/>
        </w:rPr>
      </w:pPr>
      <w:r>
        <w:rPr>
          <w:sz w:val="18"/>
          <w:vertAlign w:val="superscript"/>
        </w:rPr>
        <w:t>222</w:t>
      </w:r>
      <w:r>
        <w:rPr>
          <w:sz w:val="18"/>
        </w:rPr>
        <w:t xml:space="preserve"> Commissioner for</w:t>
      </w:r>
      <w:r>
        <w:rPr>
          <w:spacing w:val="-2"/>
          <w:sz w:val="18"/>
        </w:rPr>
        <w:t xml:space="preserve"> </w:t>
      </w:r>
      <w:r>
        <w:rPr>
          <w:sz w:val="18"/>
        </w:rPr>
        <w:t>Children</w:t>
      </w:r>
      <w:r>
        <w:rPr>
          <w:spacing w:val="-1"/>
          <w:sz w:val="18"/>
        </w:rPr>
        <w:t xml:space="preserve"> </w:t>
      </w:r>
      <w:r>
        <w:rPr>
          <w:sz w:val="18"/>
        </w:rPr>
        <w:t>and Young</w:t>
      </w:r>
      <w:r>
        <w:rPr>
          <w:spacing w:val="1"/>
          <w:sz w:val="18"/>
        </w:rPr>
        <w:t xml:space="preserve"> </w:t>
      </w:r>
      <w:r>
        <w:rPr>
          <w:sz w:val="18"/>
        </w:rPr>
        <w:t>People Tasmania,</w:t>
      </w:r>
      <w:r>
        <w:rPr>
          <w:spacing w:val="2"/>
          <w:sz w:val="18"/>
        </w:rPr>
        <w:t xml:space="preserve"> </w:t>
      </w:r>
      <w:r>
        <w:rPr>
          <w:i/>
          <w:sz w:val="18"/>
        </w:rPr>
        <w:t>Memorandum</w:t>
      </w:r>
      <w:r>
        <w:rPr>
          <w:i/>
          <w:spacing w:val="-2"/>
          <w:sz w:val="18"/>
        </w:rPr>
        <w:t xml:space="preserve"> </w:t>
      </w:r>
      <w:r>
        <w:rPr>
          <w:i/>
          <w:sz w:val="18"/>
        </w:rPr>
        <w:t>of Advice</w:t>
      </w:r>
      <w:r>
        <w:rPr>
          <w:i/>
          <w:spacing w:val="1"/>
          <w:sz w:val="18"/>
        </w:rPr>
        <w:t xml:space="preserve"> </w:t>
      </w:r>
      <w:r>
        <w:rPr>
          <w:spacing w:val="-5"/>
          <w:sz w:val="18"/>
        </w:rPr>
        <w:t>4.</w:t>
      </w:r>
    </w:p>
    <w:p w14:paraId="7CB25F2F" w14:textId="77777777" w:rsidR="008A4099" w:rsidRDefault="006A6EE2">
      <w:pPr>
        <w:spacing w:before="23"/>
        <w:ind w:left="160"/>
        <w:rPr>
          <w:sz w:val="18"/>
        </w:rPr>
      </w:pPr>
      <w:r>
        <w:rPr>
          <w:sz w:val="18"/>
          <w:vertAlign w:val="superscript"/>
        </w:rPr>
        <w:t>223</w:t>
      </w:r>
      <w:r>
        <w:rPr>
          <w:spacing w:val="6"/>
          <w:sz w:val="18"/>
        </w:rPr>
        <w:t xml:space="preserve"> </w:t>
      </w:r>
      <w:r>
        <w:rPr>
          <w:sz w:val="18"/>
        </w:rPr>
        <w:t>Ibid</w:t>
      </w:r>
      <w:r>
        <w:rPr>
          <w:spacing w:val="6"/>
          <w:sz w:val="18"/>
        </w:rPr>
        <w:t xml:space="preserve"> </w:t>
      </w:r>
      <w:r>
        <w:rPr>
          <w:spacing w:val="-4"/>
          <w:sz w:val="18"/>
        </w:rPr>
        <w:t>4–5.</w:t>
      </w:r>
    </w:p>
    <w:p w14:paraId="7CB25F30" w14:textId="77777777" w:rsidR="008A4099" w:rsidRDefault="006A6EE2">
      <w:pPr>
        <w:spacing w:before="23"/>
        <w:ind w:left="160"/>
        <w:rPr>
          <w:sz w:val="18"/>
        </w:rPr>
      </w:pPr>
      <w:r>
        <w:rPr>
          <w:sz w:val="18"/>
          <w:vertAlign w:val="superscript"/>
        </w:rPr>
        <w:t>224</w:t>
      </w:r>
      <w:r>
        <w:rPr>
          <w:spacing w:val="6"/>
          <w:sz w:val="18"/>
        </w:rPr>
        <w:t xml:space="preserve"> </w:t>
      </w:r>
      <w:r>
        <w:rPr>
          <w:sz w:val="18"/>
        </w:rPr>
        <w:t>Ibid</w:t>
      </w:r>
      <w:r>
        <w:rPr>
          <w:spacing w:val="6"/>
          <w:sz w:val="18"/>
        </w:rPr>
        <w:t xml:space="preserve"> </w:t>
      </w:r>
      <w:r>
        <w:rPr>
          <w:spacing w:val="-5"/>
          <w:sz w:val="18"/>
        </w:rPr>
        <w:t>4.</w:t>
      </w:r>
    </w:p>
    <w:p w14:paraId="7CB25F31" w14:textId="77777777" w:rsidR="008A4099" w:rsidRDefault="008A4099">
      <w:pPr>
        <w:rPr>
          <w:sz w:val="18"/>
        </w:rPr>
        <w:sectPr w:rsidR="008A4099" w:rsidSect="00D43B2D">
          <w:pgSz w:w="11910" w:h="16840"/>
          <w:pgMar w:top="980" w:right="760" w:bottom="940" w:left="1280" w:header="718" w:footer="753" w:gutter="0"/>
          <w:cols w:space="720"/>
        </w:sectPr>
      </w:pPr>
    </w:p>
    <w:p w14:paraId="7CB25F32" w14:textId="77777777" w:rsidR="008A4099" w:rsidRDefault="008A4099">
      <w:pPr>
        <w:pStyle w:val="BodyText"/>
        <w:spacing w:before="194"/>
      </w:pPr>
    </w:p>
    <w:p w14:paraId="7CB25F33" w14:textId="77777777" w:rsidR="008A4099" w:rsidRDefault="006A6EE2">
      <w:pPr>
        <w:pStyle w:val="BodyText"/>
        <w:spacing w:line="244" w:lineRule="auto"/>
        <w:ind w:left="160" w:right="677"/>
        <w:jc w:val="both"/>
        <w:rPr>
          <w:sz w:val="13"/>
        </w:rPr>
      </w:pPr>
      <w:r>
        <w:t>enacted. It implemented recommendations made by the Commissioner of Children and Young People and is in line with human rights principles. The Act provides that children in detention should only be searched</w:t>
      </w:r>
      <w:r>
        <w:rPr>
          <w:spacing w:val="-9"/>
        </w:rPr>
        <w:t xml:space="preserve"> </w:t>
      </w:r>
      <w:r>
        <w:t>when</w:t>
      </w:r>
      <w:r>
        <w:rPr>
          <w:spacing w:val="-8"/>
        </w:rPr>
        <w:t xml:space="preserve"> </w:t>
      </w:r>
      <w:r>
        <w:t>it</w:t>
      </w:r>
      <w:r>
        <w:rPr>
          <w:spacing w:val="-7"/>
        </w:rPr>
        <w:t xml:space="preserve"> </w:t>
      </w:r>
      <w:r>
        <w:t>is</w:t>
      </w:r>
      <w:r>
        <w:rPr>
          <w:spacing w:val="-5"/>
        </w:rPr>
        <w:t xml:space="preserve"> </w:t>
      </w:r>
      <w:r>
        <w:t>necessary</w:t>
      </w:r>
      <w:r>
        <w:rPr>
          <w:spacing w:val="-6"/>
        </w:rPr>
        <w:t xml:space="preserve"> </w:t>
      </w:r>
      <w:r>
        <w:t>for</w:t>
      </w:r>
      <w:r>
        <w:rPr>
          <w:spacing w:val="-8"/>
        </w:rPr>
        <w:t xml:space="preserve"> </w:t>
      </w:r>
      <w:r>
        <w:t>a</w:t>
      </w:r>
      <w:r>
        <w:rPr>
          <w:spacing w:val="-6"/>
        </w:rPr>
        <w:t xml:space="preserve"> </w:t>
      </w:r>
      <w:r>
        <w:t>designated</w:t>
      </w:r>
      <w:r>
        <w:rPr>
          <w:spacing w:val="-6"/>
        </w:rPr>
        <w:t xml:space="preserve"> </w:t>
      </w:r>
      <w:r>
        <w:t>purpose,</w:t>
      </w:r>
      <w:r>
        <w:rPr>
          <w:spacing w:val="-9"/>
        </w:rPr>
        <w:t xml:space="preserve"> </w:t>
      </w:r>
      <w:r>
        <w:t>and</w:t>
      </w:r>
      <w:r>
        <w:rPr>
          <w:spacing w:val="-9"/>
        </w:rPr>
        <w:t xml:space="preserve"> </w:t>
      </w:r>
      <w:r>
        <w:t>that</w:t>
      </w:r>
      <w:r>
        <w:rPr>
          <w:spacing w:val="-8"/>
        </w:rPr>
        <w:t xml:space="preserve"> </w:t>
      </w:r>
      <w:r>
        <w:t>the</w:t>
      </w:r>
      <w:r>
        <w:rPr>
          <w:spacing w:val="-8"/>
        </w:rPr>
        <w:t xml:space="preserve"> </w:t>
      </w:r>
      <w:r>
        <w:t>manner</w:t>
      </w:r>
      <w:r>
        <w:rPr>
          <w:spacing w:val="-7"/>
        </w:rPr>
        <w:t xml:space="preserve"> </w:t>
      </w:r>
      <w:r>
        <w:t>and</w:t>
      </w:r>
      <w:r>
        <w:rPr>
          <w:spacing w:val="-8"/>
        </w:rPr>
        <w:t xml:space="preserve"> </w:t>
      </w:r>
      <w:r>
        <w:t>type</w:t>
      </w:r>
      <w:r>
        <w:rPr>
          <w:spacing w:val="-6"/>
        </w:rPr>
        <w:t xml:space="preserve"> </w:t>
      </w:r>
      <w:r>
        <w:t>of</w:t>
      </w:r>
      <w:r>
        <w:rPr>
          <w:spacing w:val="-8"/>
        </w:rPr>
        <w:t xml:space="preserve"> </w:t>
      </w:r>
      <w:r>
        <w:t>the</w:t>
      </w:r>
      <w:r>
        <w:rPr>
          <w:spacing w:val="-6"/>
        </w:rPr>
        <w:t xml:space="preserve"> </w:t>
      </w:r>
      <w:r>
        <w:t>search</w:t>
      </w:r>
      <w:r>
        <w:rPr>
          <w:spacing w:val="-8"/>
        </w:rPr>
        <w:t xml:space="preserve"> </w:t>
      </w:r>
      <w:r>
        <w:t>must be</w:t>
      </w:r>
      <w:r>
        <w:rPr>
          <w:spacing w:val="-14"/>
        </w:rPr>
        <w:t xml:space="preserve"> </w:t>
      </w:r>
      <w:r>
        <w:t>proportionate</w:t>
      </w:r>
      <w:r>
        <w:rPr>
          <w:spacing w:val="-14"/>
        </w:rPr>
        <w:t xml:space="preserve"> </w:t>
      </w:r>
      <w:r>
        <w:t>to</w:t>
      </w:r>
      <w:r>
        <w:rPr>
          <w:spacing w:val="-14"/>
        </w:rPr>
        <w:t xml:space="preserve"> </w:t>
      </w:r>
      <w:r>
        <w:t>that</w:t>
      </w:r>
      <w:r>
        <w:rPr>
          <w:spacing w:val="-13"/>
        </w:rPr>
        <w:t xml:space="preserve"> </w:t>
      </w:r>
      <w:r>
        <w:t>purpose.</w:t>
      </w:r>
      <w:r>
        <w:rPr>
          <w:vertAlign w:val="superscript"/>
        </w:rPr>
        <w:t>225</w:t>
      </w:r>
      <w:r>
        <w:rPr>
          <w:spacing w:val="-14"/>
        </w:rPr>
        <w:t xml:space="preserve"> </w:t>
      </w:r>
      <w:r>
        <w:t>The</w:t>
      </w:r>
      <w:r>
        <w:rPr>
          <w:spacing w:val="-14"/>
        </w:rPr>
        <w:t xml:space="preserve"> </w:t>
      </w:r>
      <w:r>
        <w:t>treatment</w:t>
      </w:r>
      <w:r>
        <w:rPr>
          <w:spacing w:val="-14"/>
        </w:rPr>
        <w:t xml:space="preserve"> </w:t>
      </w:r>
      <w:r>
        <w:t>of</w:t>
      </w:r>
      <w:r>
        <w:rPr>
          <w:spacing w:val="-13"/>
        </w:rPr>
        <w:t xml:space="preserve"> </w:t>
      </w:r>
      <w:r>
        <w:t>children</w:t>
      </w:r>
      <w:r>
        <w:rPr>
          <w:spacing w:val="-14"/>
        </w:rPr>
        <w:t xml:space="preserve"> </w:t>
      </w:r>
      <w:r>
        <w:t>and</w:t>
      </w:r>
      <w:r>
        <w:rPr>
          <w:spacing w:val="-14"/>
        </w:rPr>
        <w:t xml:space="preserve"> </w:t>
      </w:r>
      <w:r>
        <w:t>young</w:t>
      </w:r>
      <w:r>
        <w:rPr>
          <w:spacing w:val="-14"/>
        </w:rPr>
        <w:t xml:space="preserve"> </w:t>
      </w:r>
      <w:r>
        <w:t>people</w:t>
      </w:r>
      <w:r>
        <w:rPr>
          <w:spacing w:val="-13"/>
        </w:rPr>
        <w:t xml:space="preserve"> </w:t>
      </w:r>
      <w:r>
        <w:t>in</w:t>
      </w:r>
      <w:r>
        <w:rPr>
          <w:spacing w:val="-14"/>
        </w:rPr>
        <w:t xml:space="preserve"> </w:t>
      </w:r>
      <w:r>
        <w:t>detention</w:t>
      </w:r>
      <w:r>
        <w:rPr>
          <w:spacing w:val="-14"/>
        </w:rPr>
        <w:t xml:space="preserve"> </w:t>
      </w:r>
      <w:r>
        <w:t>in</w:t>
      </w:r>
      <w:r>
        <w:rPr>
          <w:spacing w:val="-14"/>
        </w:rPr>
        <w:t xml:space="preserve"> </w:t>
      </w:r>
      <w:r>
        <w:t>Tasmania was also addressed by the Commission of Inquiry into Tasmanian Government Responses to Child Sexual Abuse.</w:t>
      </w:r>
      <w:r>
        <w:rPr>
          <w:position w:val="7"/>
          <w:sz w:val="13"/>
        </w:rPr>
        <w:t>226</w:t>
      </w:r>
    </w:p>
    <w:p w14:paraId="7CB25F34" w14:textId="77777777" w:rsidR="008A4099" w:rsidRDefault="006A6EE2">
      <w:pPr>
        <w:pStyle w:val="ListParagraph"/>
        <w:numPr>
          <w:ilvl w:val="2"/>
          <w:numId w:val="6"/>
        </w:numPr>
        <w:tabs>
          <w:tab w:val="left" w:pos="879"/>
        </w:tabs>
        <w:spacing w:before="210" w:line="247" w:lineRule="auto"/>
        <w:ind w:right="675" w:firstLine="0"/>
        <w:jc w:val="both"/>
      </w:pPr>
      <w:r>
        <w:t>Reforms</w:t>
      </w:r>
      <w:r>
        <w:rPr>
          <w:spacing w:val="-6"/>
        </w:rPr>
        <w:t xml:space="preserve"> </w:t>
      </w:r>
      <w:r>
        <w:t>have</w:t>
      </w:r>
      <w:r>
        <w:rPr>
          <w:spacing w:val="-6"/>
        </w:rPr>
        <w:t xml:space="preserve"> </w:t>
      </w:r>
      <w:r>
        <w:t>also</w:t>
      </w:r>
      <w:r>
        <w:rPr>
          <w:spacing w:val="-3"/>
        </w:rPr>
        <w:t xml:space="preserve"> </w:t>
      </w:r>
      <w:r>
        <w:t>responded</w:t>
      </w:r>
      <w:r>
        <w:rPr>
          <w:spacing w:val="-4"/>
        </w:rPr>
        <w:t xml:space="preserve"> </w:t>
      </w:r>
      <w:r>
        <w:t>to</w:t>
      </w:r>
      <w:r>
        <w:rPr>
          <w:spacing w:val="-7"/>
        </w:rPr>
        <w:t xml:space="preserve"> </w:t>
      </w:r>
      <w:r>
        <w:t>concerns</w:t>
      </w:r>
      <w:r>
        <w:rPr>
          <w:spacing w:val="-4"/>
        </w:rPr>
        <w:t xml:space="preserve"> </w:t>
      </w:r>
      <w:r>
        <w:t>about</w:t>
      </w:r>
      <w:r>
        <w:rPr>
          <w:spacing w:val="-6"/>
        </w:rPr>
        <w:t xml:space="preserve"> </w:t>
      </w:r>
      <w:r>
        <w:t>the</w:t>
      </w:r>
      <w:r>
        <w:rPr>
          <w:spacing w:val="-5"/>
        </w:rPr>
        <w:t xml:space="preserve"> </w:t>
      </w:r>
      <w:r>
        <w:t>treatment</w:t>
      </w:r>
      <w:r>
        <w:rPr>
          <w:spacing w:val="-4"/>
        </w:rPr>
        <w:t xml:space="preserve"> </w:t>
      </w:r>
      <w:r>
        <w:t>of</w:t>
      </w:r>
      <w:r>
        <w:rPr>
          <w:spacing w:val="-6"/>
        </w:rPr>
        <w:t xml:space="preserve"> </w:t>
      </w:r>
      <w:r>
        <w:t>children</w:t>
      </w:r>
      <w:r>
        <w:rPr>
          <w:spacing w:val="-4"/>
        </w:rPr>
        <w:t xml:space="preserve"> </w:t>
      </w:r>
      <w:r>
        <w:t>and</w:t>
      </w:r>
      <w:r>
        <w:rPr>
          <w:spacing w:val="-5"/>
        </w:rPr>
        <w:t xml:space="preserve"> </w:t>
      </w:r>
      <w:r>
        <w:t>young</w:t>
      </w:r>
      <w:r>
        <w:rPr>
          <w:spacing w:val="-5"/>
        </w:rPr>
        <w:t xml:space="preserve"> </w:t>
      </w:r>
      <w:r>
        <w:t>people,</w:t>
      </w:r>
      <w:r>
        <w:rPr>
          <w:spacing w:val="-4"/>
        </w:rPr>
        <w:t xml:space="preserve"> </w:t>
      </w:r>
      <w:r>
        <w:t>as well</w:t>
      </w:r>
      <w:r>
        <w:rPr>
          <w:spacing w:val="-5"/>
        </w:rPr>
        <w:t xml:space="preserve"> </w:t>
      </w:r>
      <w:r>
        <w:t>as</w:t>
      </w:r>
      <w:r>
        <w:rPr>
          <w:spacing w:val="-5"/>
        </w:rPr>
        <w:t xml:space="preserve"> </w:t>
      </w:r>
      <w:r>
        <w:t>adults,</w:t>
      </w:r>
      <w:r>
        <w:rPr>
          <w:spacing w:val="-5"/>
        </w:rPr>
        <w:t xml:space="preserve"> </w:t>
      </w:r>
      <w:r>
        <w:t>in</w:t>
      </w:r>
      <w:r>
        <w:rPr>
          <w:spacing w:val="-4"/>
        </w:rPr>
        <w:t xml:space="preserve"> </w:t>
      </w:r>
      <w:r>
        <w:t>custody.</w:t>
      </w:r>
      <w:r>
        <w:rPr>
          <w:spacing w:val="-6"/>
        </w:rPr>
        <w:t xml:space="preserve"> </w:t>
      </w:r>
      <w:r>
        <w:t>However,</w:t>
      </w:r>
      <w:r>
        <w:rPr>
          <w:spacing w:val="-6"/>
        </w:rPr>
        <w:t xml:space="preserve"> </w:t>
      </w:r>
      <w:r>
        <w:t>in</w:t>
      </w:r>
      <w:r>
        <w:rPr>
          <w:spacing w:val="-6"/>
        </w:rPr>
        <w:t xml:space="preserve"> </w:t>
      </w:r>
      <w:r>
        <w:t>jurisdictions</w:t>
      </w:r>
      <w:r>
        <w:rPr>
          <w:spacing w:val="-6"/>
        </w:rPr>
        <w:t xml:space="preserve"> </w:t>
      </w:r>
      <w:r>
        <w:t>with</w:t>
      </w:r>
      <w:r>
        <w:rPr>
          <w:spacing w:val="-6"/>
        </w:rPr>
        <w:t xml:space="preserve"> </w:t>
      </w:r>
      <w:r>
        <w:t>human</w:t>
      </w:r>
      <w:r>
        <w:rPr>
          <w:spacing w:val="-6"/>
        </w:rPr>
        <w:t xml:space="preserve"> </w:t>
      </w:r>
      <w:r>
        <w:t>rights</w:t>
      </w:r>
      <w:r>
        <w:rPr>
          <w:spacing w:val="-3"/>
        </w:rPr>
        <w:t xml:space="preserve"> </w:t>
      </w:r>
      <w:r>
        <w:t>enactment,</w:t>
      </w:r>
      <w:r>
        <w:rPr>
          <w:spacing w:val="-6"/>
        </w:rPr>
        <w:t xml:space="preserve"> </w:t>
      </w:r>
      <w:r>
        <w:t>there</w:t>
      </w:r>
      <w:r>
        <w:rPr>
          <w:spacing w:val="-6"/>
        </w:rPr>
        <w:t xml:space="preserve"> </w:t>
      </w:r>
      <w:r>
        <w:t>is</w:t>
      </w:r>
      <w:r>
        <w:rPr>
          <w:spacing w:val="-6"/>
        </w:rPr>
        <w:t xml:space="preserve"> </w:t>
      </w:r>
      <w:r>
        <w:t>a</w:t>
      </w:r>
      <w:r>
        <w:rPr>
          <w:spacing w:val="-6"/>
        </w:rPr>
        <w:t xml:space="preserve"> </w:t>
      </w:r>
      <w:r>
        <w:t>formalised review/audit process and a clear statement of human rights principles in the human rights instrument. For example, the ACT Human Rights and Discrimination Commissioner undertook a human rights audit of the Quamby Youth Detention Facility in 2005,</w:t>
      </w:r>
      <w:r>
        <w:rPr>
          <w:vertAlign w:val="superscript"/>
        </w:rPr>
        <w:t>227</w:t>
      </w:r>
      <w:r>
        <w:t xml:space="preserve"> a review of the operation of all ACT correctional facilities, including youth detention centres, in 2007,</w:t>
      </w:r>
      <w:r>
        <w:rPr>
          <w:vertAlign w:val="superscript"/>
        </w:rPr>
        <w:t>228</w:t>
      </w:r>
      <w:r>
        <w:t xml:space="preserve"> and a human rights audit of the Bimberi Youth Justice Centre (constructed to replace the Quamby facility) in 2011.</w:t>
      </w:r>
      <w:r>
        <w:rPr>
          <w:vertAlign w:val="superscript"/>
        </w:rPr>
        <w:t>229</w:t>
      </w:r>
      <w:r>
        <w:t xml:space="preserve"> Each review noted that the operation of the </w:t>
      </w:r>
      <w:r>
        <w:rPr>
          <w:i/>
        </w:rPr>
        <w:t xml:space="preserve">Human Rights Act 2019 </w:t>
      </w:r>
      <w:r>
        <w:t>(ACT) had improved operations and consideration</w:t>
      </w:r>
      <w:r>
        <w:rPr>
          <w:spacing w:val="-7"/>
        </w:rPr>
        <w:t xml:space="preserve"> </w:t>
      </w:r>
      <w:r>
        <w:t>of</w:t>
      </w:r>
      <w:r>
        <w:rPr>
          <w:spacing w:val="-9"/>
        </w:rPr>
        <w:t xml:space="preserve"> </w:t>
      </w:r>
      <w:r>
        <w:t>rights</w:t>
      </w:r>
      <w:r>
        <w:rPr>
          <w:spacing w:val="-9"/>
        </w:rPr>
        <w:t xml:space="preserve"> </w:t>
      </w:r>
      <w:r>
        <w:t>in</w:t>
      </w:r>
      <w:r>
        <w:rPr>
          <w:spacing w:val="-7"/>
        </w:rPr>
        <w:t xml:space="preserve"> </w:t>
      </w:r>
      <w:r>
        <w:t>policy</w:t>
      </w:r>
      <w:r>
        <w:rPr>
          <w:spacing w:val="-7"/>
        </w:rPr>
        <w:t xml:space="preserve"> </w:t>
      </w:r>
      <w:r>
        <w:t>development</w:t>
      </w:r>
      <w:r>
        <w:rPr>
          <w:spacing w:val="-6"/>
        </w:rPr>
        <w:t xml:space="preserve"> </w:t>
      </w:r>
      <w:r>
        <w:t>and</w:t>
      </w:r>
      <w:r>
        <w:rPr>
          <w:spacing w:val="-4"/>
        </w:rPr>
        <w:t xml:space="preserve"> </w:t>
      </w:r>
      <w:r>
        <w:t>implementation,</w:t>
      </w:r>
      <w:r>
        <w:rPr>
          <w:spacing w:val="-7"/>
        </w:rPr>
        <w:t xml:space="preserve"> </w:t>
      </w:r>
      <w:r>
        <w:t>but</w:t>
      </w:r>
      <w:r>
        <w:rPr>
          <w:spacing w:val="-9"/>
        </w:rPr>
        <w:t xml:space="preserve"> </w:t>
      </w:r>
      <w:r>
        <w:t>further</w:t>
      </w:r>
      <w:r>
        <w:rPr>
          <w:spacing w:val="-6"/>
        </w:rPr>
        <w:t xml:space="preserve"> </w:t>
      </w:r>
      <w:r>
        <w:t>improvements</w:t>
      </w:r>
      <w:r>
        <w:rPr>
          <w:spacing w:val="-6"/>
        </w:rPr>
        <w:t xml:space="preserve"> </w:t>
      </w:r>
      <w:r>
        <w:t>needed</w:t>
      </w:r>
      <w:r>
        <w:rPr>
          <w:spacing w:val="-7"/>
        </w:rPr>
        <w:t xml:space="preserve"> </w:t>
      </w:r>
      <w:r>
        <w:t>to be</w:t>
      </w:r>
      <w:r>
        <w:rPr>
          <w:spacing w:val="-1"/>
        </w:rPr>
        <w:t xml:space="preserve"> </w:t>
      </w:r>
      <w:r>
        <w:t>made. For</w:t>
      </w:r>
      <w:r>
        <w:rPr>
          <w:spacing w:val="-1"/>
        </w:rPr>
        <w:t xml:space="preserve"> </w:t>
      </w:r>
      <w:r>
        <w:t>example,</w:t>
      </w:r>
      <w:r>
        <w:rPr>
          <w:spacing w:val="-1"/>
        </w:rPr>
        <w:t xml:space="preserve"> </w:t>
      </w:r>
      <w:r>
        <w:t>in</w:t>
      </w:r>
      <w:r>
        <w:rPr>
          <w:spacing w:val="-2"/>
        </w:rPr>
        <w:t xml:space="preserve"> </w:t>
      </w:r>
      <w:r>
        <w:t>the Bimberi audit,</w:t>
      </w:r>
      <w:r>
        <w:rPr>
          <w:spacing w:val="-1"/>
        </w:rPr>
        <w:t xml:space="preserve"> </w:t>
      </w:r>
      <w:r>
        <w:t>the</w:t>
      </w:r>
      <w:r>
        <w:rPr>
          <w:spacing w:val="-1"/>
        </w:rPr>
        <w:t xml:space="preserve"> </w:t>
      </w:r>
      <w:r>
        <w:t>Commission</w:t>
      </w:r>
      <w:r>
        <w:rPr>
          <w:spacing w:val="-1"/>
        </w:rPr>
        <w:t xml:space="preserve"> </w:t>
      </w:r>
      <w:r>
        <w:t>found</w:t>
      </w:r>
      <w:r>
        <w:rPr>
          <w:spacing w:val="-2"/>
        </w:rPr>
        <w:t xml:space="preserve"> </w:t>
      </w:r>
      <w:r>
        <w:t>that</w:t>
      </w:r>
      <w:r>
        <w:rPr>
          <w:spacing w:val="-2"/>
        </w:rPr>
        <w:t xml:space="preserve"> </w:t>
      </w:r>
      <w:r>
        <w:t>many</w:t>
      </w:r>
      <w:r>
        <w:rPr>
          <w:spacing w:val="-1"/>
        </w:rPr>
        <w:t xml:space="preserve"> </w:t>
      </w:r>
      <w:r>
        <w:t>policies</w:t>
      </w:r>
      <w:r>
        <w:rPr>
          <w:spacing w:val="-1"/>
        </w:rPr>
        <w:t xml:space="preserve"> </w:t>
      </w:r>
      <w:r>
        <w:t>and</w:t>
      </w:r>
      <w:r>
        <w:rPr>
          <w:spacing w:val="-1"/>
        </w:rPr>
        <w:t xml:space="preserve"> </w:t>
      </w:r>
      <w:r>
        <w:t xml:space="preserve">procedures had changed significantly in the six years since the 2005 Quamby Audit. These changes reflected the recommendations of that Audit, and the requirements of the </w:t>
      </w:r>
      <w:r>
        <w:rPr>
          <w:i/>
        </w:rPr>
        <w:t xml:space="preserve">Human Rights Act 2019 </w:t>
      </w:r>
      <w:r>
        <w:t>(ACT).</w:t>
      </w:r>
      <w:r>
        <w:rPr>
          <w:vertAlign w:val="superscript"/>
        </w:rPr>
        <w:t>230</w:t>
      </w:r>
      <w:r>
        <w:t xml:space="preserve"> The Commission also noted that the construction of Bimberi was motivated, in part, by the desire for a Centre that could better provide a human rights compliant environment.</w:t>
      </w:r>
      <w:r>
        <w:rPr>
          <w:vertAlign w:val="superscript"/>
        </w:rPr>
        <w:t>231</w:t>
      </w:r>
    </w:p>
    <w:p w14:paraId="7CB25F35" w14:textId="77777777" w:rsidR="008A4099" w:rsidRDefault="006A6EE2">
      <w:pPr>
        <w:pStyle w:val="Heading4"/>
        <w:spacing w:before="228"/>
        <w:jc w:val="both"/>
      </w:pPr>
      <w:bookmarkStart w:id="21" w:name="_TOC_250039"/>
      <w:r>
        <w:t>Housing</w:t>
      </w:r>
      <w:r>
        <w:rPr>
          <w:spacing w:val="-3"/>
        </w:rPr>
        <w:t xml:space="preserve"> </w:t>
      </w:r>
      <w:r>
        <w:t>and</w:t>
      </w:r>
      <w:r>
        <w:rPr>
          <w:spacing w:val="-2"/>
        </w:rPr>
        <w:t xml:space="preserve"> </w:t>
      </w:r>
      <w:r>
        <w:t>homelessness</w:t>
      </w:r>
      <w:r>
        <w:rPr>
          <w:spacing w:val="-3"/>
        </w:rPr>
        <w:t xml:space="preserve"> </w:t>
      </w:r>
      <w:r>
        <w:t>and</w:t>
      </w:r>
      <w:r>
        <w:rPr>
          <w:spacing w:val="-2"/>
        </w:rPr>
        <w:t xml:space="preserve"> </w:t>
      </w:r>
      <w:r>
        <w:t>the</w:t>
      </w:r>
      <w:r>
        <w:rPr>
          <w:spacing w:val="-2"/>
        </w:rPr>
        <w:t xml:space="preserve"> </w:t>
      </w:r>
      <w:r>
        <w:t>rights</w:t>
      </w:r>
      <w:r>
        <w:rPr>
          <w:spacing w:val="-3"/>
        </w:rPr>
        <w:t xml:space="preserve"> </w:t>
      </w:r>
      <w:r>
        <w:t>of</w:t>
      </w:r>
      <w:bookmarkEnd w:id="21"/>
      <w:r>
        <w:rPr>
          <w:spacing w:val="-2"/>
        </w:rPr>
        <w:t xml:space="preserve"> tenants</w:t>
      </w:r>
    </w:p>
    <w:p w14:paraId="7CB25F36" w14:textId="77777777" w:rsidR="008A4099" w:rsidRDefault="006A6EE2">
      <w:pPr>
        <w:pStyle w:val="ListParagraph"/>
        <w:numPr>
          <w:ilvl w:val="2"/>
          <w:numId w:val="6"/>
        </w:numPr>
        <w:tabs>
          <w:tab w:val="left" w:pos="879"/>
        </w:tabs>
        <w:spacing w:before="262" w:line="244" w:lineRule="auto"/>
        <w:ind w:right="674" w:firstLine="0"/>
        <w:jc w:val="both"/>
      </w:pPr>
      <w:r>
        <w:t>In</w:t>
      </w:r>
      <w:r>
        <w:rPr>
          <w:spacing w:val="-2"/>
        </w:rPr>
        <w:t xml:space="preserve"> </w:t>
      </w:r>
      <w:r>
        <w:t>the</w:t>
      </w:r>
      <w:r>
        <w:rPr>
          <w:spacing w:val="-2"/>
        </w:rPr>
        <w:t xml:space="preserve"> </w:t>
      </w:r>
      <w:r>
        <w:t>Review</w:t>
      </w:r>
      <w:r>
        <w:rPr>
          <w:spacing w:val="-2"/>
        </w:rPr>
        <w:t xml:space="preserve"> </w:t>
      </w:r>
      <w:r>
        <w:t>Period,</w:t>
      </w:r>
      <w:r>
        <w:rPr>
          <w:spacing w:val="-2"/>
        </w:rPr>
        <w:t xml:space="preserve"> </w:t>
      </w:r>
      <w:r>
        <w:t>housing</w:t>
      </w:r>
      <w:r>
        <w:rPr>
          <w:spacing w:val="-2"/>
        </w:rPr>
        <w:t xml:space="preserve"> </w:t>
      </w:r>
      <w:r>
        <w:t>affordability,</w:t>
      </w:r>
      <w:r>
        <w:rPr>
          <w:spacing w:val="-2"/>
        </w:rPr>
        <w:t xml:space="preserve"> </w:t>
      </w:r>
      <w:r>
        <w:t>homelessness,</w:t>
      </w:r>
      <w:r>
        <w:rPr>
          <w:spacing w:val="-2"/>
        </w:rPr>
        <w:t xml:space="preserve"> </w:t>
      </w:r>
      <w:r>
        <w:t>and</w:t>
      </w:r>
      <w:r>
        <w:rPr>
          <w:spacing w:val="-5"/>
        </w:rPr>
        <w:t xml:space="preserve"> </w:t>
      </w:r>
      <w:r>
        <w:t>the</w:t>
      </w:r>
      <w:r>
        <w:rPr>
          <w:spacing w:val="-4"/>
        </w:rPr>
        <w:t xml:space="preserve"> </w:t>
      </w:r>
      <w:r>
        <w:t>rights</w:t>
      </w:r>
      <w:r>
        <w:rPr>
          <w:spacing w:val="-2"/>
        </w:rPr>
        <w:t xml:space="preserve"> </w:t>
      </w:r>
      <w:r>
        <w:t>of</w:t>
      </w:r>
      <w:r>
        <w:rPr>
          <w:spacing w:val="-2"/>
        </w:rPr>
        <w:t xml:space="preserve"> </w:t>
      </w:r>
      <w:r>
        <w:t>tenants</w:t>
      </w:r>
      <w:r>
        <w:rPr>
          <w:spacing w:val="-2"/>
        </w:rPr>
        <w:t xml:space="preserve"> </w:t>
      </w:r>
      <w:r>
        <w:t>have</w:t>
      </w:r>
      <w:r>
        <w:rPr>
          <w:spacing w:val="-2"/>
        </w:rPr>
        <w:t xml:space="preserve"> </w:t>
      </w:r>
      <w:r>
        <w:t>been identified as issues of concern in Tasmania. A Legislative Council Select Committee on Housing Affordability found in 2008 that housing affordability had declined significantly in Tasmania, leading to</w:t>
      </w:r>
      <w:r>
        <w:rPr>
          <w:spacing w:val="-10"/>
        </w:rPr>
        <w:t xml:space="preserve"> </w:t>
      </w:r>
      <w:r>
        <w:t>issues</w:t>
      </w:r>
      <w:r>
        <w:rPr>
          <w:spacing w:val="-9"/>
        </w:rPr>
        <w:t xml:space="preserve"> </w:t>
      </w:r>
      <w:r>
        <w:t>with</w:t>
      </w:r>
      <w:r>
        <w:rPr>
          <w:spacing w:val="-10"/>
        </w:rPr>
        <w:t xml:space="preserve"> </w:t>
      </w:r>
      <w:r>
        <w:t>housing</w:t>
      </w:r>
      <w:r>
        <w:rPr>
          <w:spacing w:val="-10"/>
        </w:rPr>
        <w:t xml:space="preserve"> </w:t>
      </w:r>
      <w:r>
        <w:t>availability</w:t>
      </w:r>
      <w:r>
        <w:rPr>
          <w:spacing w:val="-10"/>
        </w:rPr>
        <w:t xml:space="preserve"> </w:t>
      </w:r>
      <w:r>
        <w:t>and</w:t>
      </w:r>
      <w:r>
        <w:rPr>
          <w:spacing w:val="-9"/>
        </w:rPr>
        <w:t xml:space="preserve"> </w:t>
      </w:r>
      <w:r>
        <w:t>homelessness.</w:t>
      </w:r>
      <w:r>
        <w:rPr>
          <w:vertAlign w:val="superscript"/>
        </w:rPr>
        <w:t>232</w:t>
      </w:r>
      <w:r>
        <w:rPr>
          <w:spacing w:val="-9"/>
        </w:rPr>
        <w:t xml:space="preserve"> </w:t>
      </w:r>
      <w:r>
        <w:t>This</w:t>
      </w:r>
      <w:r>
        <w:rPr>
          <w:spacing w:val="-8"/>
        </w:rPr>
        <w:t xml:space="preserve"> </w:t>
      </w:r>
      <w:r>
        <w:t>remains</w:t>
      </w:r>
      <w:r>
        <w:rPr>
          <w:spacing w:val="-8"/>
        </w:rPr>
        <w:t xml:space="preserve"> </w:t>
      </w:r>
      <w:r>
        <w:t>the</w:t>
      </w:r>
      <w:r>
        <w:rPr>
          <w:spacing w:val="-12"/>
        </w:rPr>
        <w:t xml:space="preserve"> </w:t>
      </w:r>
      <w:r>
        <w:t>case,</w:t>
      </w:r>
      <w:r>
        <w:rPr>
          <w:spacing w:val="-10"/>
        </w:rPr>
        <w:t xml:space="preserve"> </w:t>
      </w:r>
      <w:r>
        <w:t>as</w:t>
      </w:r>
      <w:r>
        <w:rPr>
          <w:spacing w:val="-9"/>
        </w:rPr>
        <w:t xml:space="preserve"> </w:t>
      </w:r>
      <w:r>
        <w:t>evidenced</w:t>
      </w:r>
      <w:r>
        <w:rPr>
          <w:spacing w:val="-9"/>
        </w:rPr>
        <w:t xml:space="preserve"> </w:t>
      </w:r>
      <w:r>
        <w:t>by</w:t>
      </w:r>
      <w:r>
        <w:rPr>
          <w:spacing w:val="-10"/>
        </w:rPr>
        <w:t xml:space="preserve"> </w:t>
      </w:r>
      <w:r>
        <w:t>a</w:t>
      </w:r>
      <w:r>
        <w:rPr>
          <w:spacing w:val="-8"/>
        </w:rPr>
        <w:t xml:space="preserve"> </w:t>
      </w:r>
      <w:r>
        <w:t>House of</w:t>
      </w:r>
      <w:r>
        <w:rPr>
          <w:spacing w:val="-14"/>
        </w:rPr>
        <w:t xml:space="preserve"> </w:t>
      </w:r>
      <w:r>
        <w:t>Assembly</w:t>
      </w:r>
      <w:r>
        <w:rPr>
          <w:spacing w:val="-14"/>
        </w:rPr>
        <w:t xml:space="preserve"> </w:t>
      </w:r>
      <w:r>
        <w:t>Select</w:t>
      </w:r>
      <w:r>
        <w:rPr>
          <w:spacing w:val="-14"/>
        </w:rPr>
        <w:t xml:space="preserve"> </w:t>
      </w:r>
      <w:r>
        <w:t>Committee</w:t>
      </w:r>
      <w:r>
        <w:rPr>
          <w:spacing w:val="-13"/>
        </w:rPr>
        <w:t xml:space="preserve"> </w:t>
      </w:r>
      <w:r>
        <w:t>on</w:t>
      </w:r>
      <w:r>
        <w:rPr>
          <w:spacing w:val="-14"/>
        </w:rPr>
        <w:t xml:space="preserve"> </w:t>
      </w:r>
      <w:r>
        <w:t>Housing</w:t>
      </w:r>
      <w:r>
        <w:rPr>
          <w:spacing w:val="-14"/>
        </w:rPr>
        <w:t xml:space="preserve"> </w:t>
      </w:r>
      <w:r>
        <w:t>Affordability</w:t>
      </w:r>
      <w:r>
        <w:rPr>
          <w:spacing w:val="-14"/>
        </w:rPr>
        <w:t xml:space="preserve"> </w:t>
      </w:r>
      <w:r>
        <w:t>in</w:t>
      </w:r>
      <w:r>
        <w:rPr>
          <w:spacing w:val="-13"/>
        </w:rPr>
        <w:t xml:space="preserve"> </w:t>
      </w:r>
      <w:r>
        <w:t>2020.</w:t>
      </w:r>
      <w:r>
        <w:rPr>
          <w:vertAlign w:val="superscript"/>
        </w:rPr>
        <w:t>233</w:t>
      </w:r>
      <w:r>
        <w:rPr>
          <w:spacing w:val="-14"/>
        </w:rPr>
        <w:t xml:space="preserve"> </w:t>
      </w:r>
      <w:r>
        <w:t>Concerns</w:t>
      </w:r>
      <w:r>
        <w:rPr>
          <w:spacing w:val="-14"/>
        </w:rPr>
        <w:t xml:space="preserve"> </w:t>
      </w:r>
      <w:r>
        <w:t>have</w:t>
      </w:r>
      <w:r>
        <w:rPr>
          <w:spacing w:val="-14"/>
        </w:rPr>
        <w:t xml:space="preserve"> </w:t>
      </w:r>
      <w:r>
        <w:t>also</w:t>
      </w:r>
      <w:r>
        <w:rPr>
          <w:spacing w:val="-13"/>
        </w:rPr>
        <w:t xml:space="preserve"> </w:t>
      </w:r>
      <w:r>
        <w:t>been</w:t>
      </w:r>
      <w:r>
        <w:rPr>
          <w:spacing w:val="-14"/>
        </w:rPr>
        <w:t xml:space="preserve"> </w:t>
      </w:r>
      <w:r>
        <w:t>expressed by the Tenants’ Union about the rights of public housing tenants. The Tenants’ Union noted case law from Victoria and the ACT establishing that social housing landlords must act in a way that is compatible with human rights:</w:t>
      </w:r>
    </w:p>
    <w:p w14:paraId="7CB25F37" w14:textId="77777777" w:rsidR="008A4099" w:rsidRDefault="006A6EE2">
      <w:pPr>
        <w:pStyle w:val="BodyText"/>
        <w:spacing w:before="153"/>
        <w:rPr>
          <w:sz w:val="20"/>
        </w:rPr>
      </w:pPr>
      <w:r>
        <w:rPr>
          <w:noProof/>
        </w:rPr>
        <mc:AlternateContent>
          <mc:Choice Requires="wps">
            <w:drawing>
              <wp:anchor distT="0" distB="0" distL="0" distR="0" simplePos="0" relativeHeight="487605760" behindDoc="1" locked="0" layoutInCell="1" allowOverlap="1" wp14:anchorId="7CB2661F" wp14:editId="7CB26620">
                <wp:simplePos x="0" y="0"/>
                <wp:positionH relativeFrom="page">
                  <wp:posOffset>914704</wp:posOffset>
                </wp:positionH>
                <wp:positionV relativeFrom="paragraph">
                  <wp:posOffset>258517</wp:posOffset>
                </wp:positionV>
                <wp:extent cx="1829435" cy="762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CF13DC" id="Graphic 77" o:spid="_x0000_s1026" style="position:absolute;margin-left:1in;margin-top:20.35pt;width:144.05pt;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" path="m1829054,l,,,7620r1829054,l1829054,xe" fillcolor="black" stroked="f">
                <v:path arrowok="t"/>
                <w10:wrap type="topAndBottom" anchorx="page"/>
              </v:shape>
            </w:pict>
          </mc:Fallback>
        </mc:AlternateContent>
      </w:r>
    </w:p>
    <w:p w14:paraId="7CB25F38" w14:textId="77777777" w:rsidR="008A4099" w:rsidRDefault="006A6EE2">
      <w:pPr>
        <w:spacing w:before="115" w:line="244" w:lineRule="auto"/>
        <w:ind w:left="160" w:right="680"/>
        <w:rPr>
          <w:sz w:val="18"/>
        </w:rPr>
      </w:pPr>
      <w:r>
        <w:rPr>
          <w:sz w:val="18"/>
          <w:vertAlign w:val="superscript"/>
        </w:rPr>
        <w:t>225</w:t>
      </w:r>
      <w:r>
        <w:rPr>
          <w:sz w:val="18"/>
        </w:rPr>
        <w:t xml:space="preserve"> </w:t>
      </w:r>
      <w:r>
        <w:rPr>
          <w:i/>
          <w:sz w:val="18"/>
        </w:rPr>
        <w:t>Youth</w:t>
      </w:r>
      <w:r>
        <w:rPr>
          <w:i/>
          <w:spacing w:val="-5"/>
          <w:sz w:val="18"/>
        </w:rPr>
        <w:t xml:space="preserve"> </w:t>
      </w:r>
      <w:r>
        <w:rPr>
          <w:i/>
          <w:sz w:val="18"/>
        </w:rPr>
        <w:t>Justice</w:t>
      </w:r>
      <w:r>
        <w:rPr>
          <w:i/>
          <w:spacing w:val="-7"/>
          <w:sz w:val="18"/>
        </w:rPr>
        <w:t xml:space="preserve"> </w:t>
      </w:r>
      <w:r>
        <w:rPr>
          <w:i/>
          <w:sz w:val="18"/>
        </w:rPr>
        <w:t>Amendment</w:t>
      </w:r>
      <w:r>
        <w:rPr>
          <w:i/>
          <w:spacing w:val="-6"/>
          <w:sz w:val="18"/>
        </w:rPr>
        <w:t xml:space="preserve"> </w:t>
      </w:r>
      <w:r>
        <w:rPr>
          <w:i/>
          <w:sz w:val="18"/>
        </w:rPr>
        <w:t>(Searches</w:t>
      </w:r>
      <w:r>
        <w:rPr>
          <w:i/>
          <w:spacing w:val="-7"/>
          <w:sz w:val="18"/>
        </w:rPr>
        <w:t xml:space="preserve"> </w:t>
      </w:r>
      <w:r>
        <w:rPr>
          <w:i/>
          <w:sz w:val="18"/>
        </w:rPr>
        <w:t>in</w:t>
      </w:r>
      <w:r>
        <w:rPr>
          <w:i/>
          <w:spacing w:val="-5"/>
          <w:sz w:val="18"/>
        </w:rPr>
        <w:t xml:space="preserve"> </w:t>
      </w:r>
      <w:r>
        <w:rPr>
          <w:i/>
          <w:sz w:val="18"/>
        </w:rPr>
        <w:t>Custody)</w:t>
      </w:r>
      <w:r>
        <w:rPr>
          <w:i/>
          <w:spacing w:val="-6"/>
          <w:sz w:val="18"/>
        </w:rPr>
        <w:t xml:space="preserve"> </w:t>
      </w:r>
      <w:r>
        <w:rPr>
          <w:i/>
          <w:sz w:val="18"/>
        </w:rPr>
        <w:t>Act</w:t>
      </w:r>
      <w:r>
        <w:rPr>
          <w:i/>
          <w:spacing w:val="-3"/>
          <w:sz w:val="18"/>
        </w:rPr>
        <w:t xml:space="preserve"> </w:t>
      </w:r>
      <w:r>
        <w:rPr>
          <w:i/>
          <w:sz w:val="18"/>
        </w:rPr>
        <w:t>2022</w:t>
      </w:r>
      <w:r>
        <w:rPr>
          <w:i/>
          <w:spacing w:val="-7"/>
          <w:sz w:val="18"/>
        </w:rPr>
        <w:t xml:space="preserve"> </w:t>
      </w:r>
      <w:r>
        <w:rPr>
          <w:sz w:val="18"/>
        </w:rPr>
        <w:t>(Tas)</w:t>
      </w:r>
      <w:r>
        <w:rPr>
          <w:spacing w:val="-6"/>
          <w:sz w:val="18"/>
        </w:rPr>
        <w:t xml:space="preserve"> </w:t>
      </w:r>
      <w:r>
        <w:rPr>
          <w:sz w:val="18"/>
        </w:rPr>
        <w:t>s</w:t>
      </w:r>
      <w:r>
        <w:rPr>
          <w:spacing w:val="-8"/>
          <w:sz w:val="18"/>
        </w:rPr>
        <w:t xml:space="preserve"> </w:t>
      </w:r>
      <w:r>
        <w:rPr>
          <w:sz w:val="18"/>
        </w:rPr>
        <w:t>6,</w:t>
      </w:r>
      <w:r>
        <w:rPr>
          <w:spacing w:val="-6"/>
          <w:sz w:val="18"/>
        </w:rPr>
        <w:t xml:space="preserve"> </w:t>
      </w:r>
      <w:r>
        <w:rPr>
          <w:sz w:val="18"/>
        </w:rPr>
        <w:t>which</w:t>
      </w:r>
      <w:r>
        <w:rPr>
          <w:spacing w:val="-5"/>
          <w:sz w:val="18"/>
        </w:rPr>
        <w:t xml:space="preserve"> </w:t>
      </w:r>
      <w:r>
        <w:rPr>
          <w:sz w:val="18"/>
        </w:rPr>
        <w:t>inserts</w:t>
      </w:r>
      <w:r>
        <w:rPr>
          <w:spacing w:val="-7"/>
          <w:sz w:val="18"/>
        </w:rPr>
        <w:t xml:space="preserve"> </w:t>
      </w:r>
      <w:r>
        <w:rPr>
          <w:sz w:val="18"/>
        </w:rPr>
        <w:t>a</w:t>
      </w:r>
      <w:r>
        <w:rPr>
          <w:spacing w:val="-7"/>
          <w:sz w:val="18"/>
        </w:rPr>
        <w:t xml:space="preserve"> </w:t>
      </w:r>
      <w:r>
        <w:rPr>
          <w:sz w:val="18"/>
        </w:rPr>
        <w:t>new</w:t>
      </w:r>
      <w:r>
        <w:rPr>
          <w:spacing w:val="-7"/>
          <w:sz w:val="18"/>
        </w:rPr>
        <w:t xml:space="preserve"> </w:t>
      </w:r>
      <w:r>
        <w:rPr>
          <w:sz w:val="18"/>
        </w:rPr>
        <w:t>Division</w:t>
      </w:r>
      <w:r>
        <w:rPr>
          <w:spacing w:val="-7"/>
          <w:sz w:val="18"/>
        </w:rPr>
        <w:t xml:space="preserve"> </w:t>
      </w:r>
      <w:r>
        <w:rPr>
          <w:sz w:val="18"/>
        </w:rPr>
        <w:t>3</w:t>
      </w:r>
      <w:r>
        <w:rPr>
          <w:spacing w:val="-5"/>
          <w:sz w:val="18"/>
        </w:rPr>
        <w:t xml:space="preserve"> </w:t>
      </w:r>
      <w:r>
        <w:rPr>
          <w:sz w:val="18"/>
        </w:rPr>
        <w:t>into</w:t>
      </w:r>
      <w:r>
        <w:rPr>
          <w:spacing w:val="-7"/>
          <w:sz w:val="18"/>
        </w:rPr>
        <w:t xml:space="preserve"> </w:t>
      </w:r>
      <w:r>
        <w:rPr>
          <w:sz w:val="18"/>
        </w:rPr>
        <w:t>Part</w:t>
      </w:r>
      <w:r>
        <w:rPr>
          <w:spacing w:val="-7"/>
          <w:sz w:val="18"/>
        </w:rPr>
        <w:t xml:space="preserve"> </w:t>
      </w:r>
      <w:r>
        <w:rPr>
          <w:sz w:val="18"/>
        </w:rPr>
        <w:t>3</w:t>
      </w:r>
      <w:r>
        <w:rPr>
          <w:spacing w:val="-7"/>
          <w:sz w:val="18"/>
        </w:rPr>
        <w:t xml:space="preserve"> </w:t>
      </w:r>
      <w:r>
        <w:rPr>
          <w:sz w:val="18"/>
        </w:rPr>
        <w:t>of</w:t>
      </w:r>
      <w:r>
        <w:rPr>
          <w:spacing w:val="-6"/>
          <w:sz w:val="18"/>
        </w:rPr>
        <w:t xml:space="preserve"> </w:t>
      </w:r>
      <w:r>
        <w:rPr>
          <w:sz w:val="18"/>
        </w:rPr>
        <w:t>the</w:t>
      </w:r>
      <w:r>
        <w:rPr>
          <w:spacing w:val="-3"/>
          <w:sz w:val="18"/>
        </w:rPr>
        <w:t xml:space="preserve"> </w:t>
      </w:r>
      <w:r>
        <w:rPr>
          <w:i/>
          <w:sz w:val="18"/>
        </w:rPr>
        <w:t xml:space="preserve">Youth Justice Act 1997 </w:t>
      </w:r>
      <w:r>
        <w:rPr>
          <w:sz w:val="18"/>
        </w:rPr>
        <w:t>(Tas).</w:t>
      </w:r>
    </w:p>
    <w:p w14:paraId="7CB25F39" w14:textId="77777777" w:rsidR="008A4099" w:rsidRDefault="006A6EE2">
      <w:pPr>
        <w:spacing w:before="14" w:line="242" w:lineRule="auto"/>
        <w:ind w:left="160" w:right="681"/>
        <w:rPr>
          <w:sz w:val="18"/>
        </w:rPr>
      </w:pPr>
      <w:r>
        <w:rPr>
          <w:sz w:val="18"/>
          <w:vertAlign w:val="superscript"/>
        </w:rPr>
        <w:t>226</w:t>
      </w:r>
      <w:r>
        <w:rPr>
          <w:spacing w:val="-8"/>
          <w:sz w:val="18"/>
        </w:rPr>
        <w:t xml:space="preserve"> </w:t>
      </w:r>
      <w:r>
        <w:rPr>
          <w:i/>
          <w:sz w:val="18"/>
        </w:rPr>
        <w:t>Commission</w:t>
      </w:r>
      <w:r>
        <w:rPr>
          <w:i/>
          <w:spacing w:val="-7"/>
          <w:sz w:val="18"/>
        </w:rPr>
        <w:t xml:space="preserve"> </w:t>
      </w:r>
      <w:r>
        <w:rPr>
          <w:i/>
          <w:sz w:val="18"/>
        </w:rPr>
        <w:t>of</w:t>
      </w:r>
      <w:r>
        <w:rPr>
          <w:i/>
          <w:spacing w:val="-8"/>
          <w:sz w:val="18"/>
        </w:rPr>
        <w:t xml:space="preserve"> </w:t>
      </w:r>
      <w:r>
        <w:rPr>
          <w:i/>
          <w:sz w:val="18"/>
        </w:rPr>
        <w:t>Inquiry</w:t>
      </w:r>
      <w:r>
        <w:rPr>
          <w:i/>
          <w:spacing w:val="-9"/>
          <w:sz w:val="18"/>
        </w:rPr>
        <w:t xml:space="preserve"> </w:t>
      </w:r>
      <w:r>
        <w:rPr>
          <w:i/>
          <w:sz w:val="18"/>
        </w:rPr>
        <w:t>into</w:t>
      </w:r>
      <w:r>
        <w:rPr>
          <w:i/>
          <w:spacing w:val="-7"/>
          <w:sz w:val="18"/>
        </w:rPr>
        <w:t xml:space="preserve"> </w:t>
      </w:r>
      <w:r>
        <w:rPr>
          <w:i/>
          <w:sz w:val="18"/>
        </w:rPr>
        <w:t>the</w:t>
      </w:r>
      <w:r>
        <w:rPr>
          <w:i/>
          <w:spacing w:val="-9"/>
          <w:sz w:val="18"/>
        </w:rPr>
        <w:t xml:space="preserve"> </w:t>
      </w:r>
      <w:r>
        <w:rPr>
          <w:i/>
          <w:sz w:val="18"/>
        </w:rPr>
        <w:t>Tasmanian</w:t>
      </w:r>
      <w:r>
        <w:rPr>
          <w:i/>
          <w:spacing w:val="-7"/>
          <w:sz w:val="18"/>
        </w:rPr>
        <w:t xml:space="preserve"> </w:t>
      </w:r>
      <w:r>
        <w:rPr>
          <w:i/>
          <w:sz w:val="18"/>
        </w:rPr>
        <w:t>Government’s</w:t>
      </w:r>
      <w:r>
        <w:rPr>
          <w:i/>
          <w:spacing w:val="-8"/>
          <w:sz w:val="18"/>
        </w:rPr>
        <w:t xml:space="preserve"> </w:t>
      </w:r>
      <w:r>
        <w:rPr>
          <w:i/>
          <w:sz w:val="18"/>
        </w:rPr>
        <w:t>Responses</w:t>
      </w:r>
      <w:r>
        <w:rPr>
          <w:i/>
          <w:spacing w:val="-9"/>
          <w:sz w:val="18"/>
        </w:rPr>
        <w:t xml:space="preserve"> </w:t>
      </w:r>
      <w:r>
        <w:rPr>
          <w:i/>
          <w:sz w:val="18"/>
        </w:rPr>
        <w:t>to</w:t>
      </w:r>
      <w:r>
        <w:rPr>
          <w:i/>
          <w:spacing w:val="-7"/>
          <w:sz w:val="18"/>
        </w:rPr>
        <w:t xml:space="preserve"> </w:t>
      </w:r>
      <w:r>
        <w:rPr>
          <w:i/>
          <w:sz w:val="18"/>
        </w:rPr>
        <w:t>Child</w:t>
      </w:r>
      <w:r>
        <w:rPr>
          <w:i/>
          <w:spacing w:val="-9"/>
          <w:sz w:val="18"/>
        </w:rPr>
        <w:t xml:space="preserve"> </w:t>
      </w:r>
      <w:r>
        <w:rPr>
          <w:i/>
          <w:sz w:val="18"/>
        </w:rPr>
        <w:t>Sexual</w:t>
      </w:r>
      <w:r>
        <w:rPr>
          <w:i/>
          <w:spacing w:val="-8"/>
          <w:sz w:val="18"/>
        </w:rPr>
        <w:t xml:space="preserve"> </w:t>
      </w:r>
      <w:r>
        <w:rPr>
          <w:i/>
          <w:sz w:val="18"/>
        </w:rPr>
        <w:t>Abuse</w:t>
      </w:r>
      <w:r>
        <w:rPr>
          <w:i/>
          <w:spacing w:val="-9"/>
          <w:sz w:val="18"/>
        </w:rPr>
        <w:t xml:space="preserve"> </w:t>
      </w:r>
      <w:r>
        <w:rPr>
          <w:i/>
          <w:sz w:val="18"/>
        </w:rPr>
        <w:t>in</w:t>
      </w:r>
      <w:r>
        <w:rPr>
          <w:i/>
          <w:spacing w:val="-7"/>
          <w:sz w:val="18"/>
        </w:rPr>
        <w:t xml:space="preserve"> </w:t>
      </w:r>
      <w:r>
        <w:rPr>
          <w:i/>
          <w:sz w:val="18"/>
        </w:rPr>
        <w:t>Institutional</w:t>
      </w:r>
      <w:r>
        <w:rPr>
          <w:i/>
          <w:spacing w:val="-8"/>
          <w:sz w:val="18"/>
        </w:rPr>
        <w:t xml:space="preserve"> </w:t>
      </w:r>
      <w:r>
        <w:rPr>
          <w:i/>
          <w:sz w:val="18"/>
        </w:rPr>
        <w:t>Settings</w:t>
      </w:r>
      <w:r>
        <w:rPr>
          <w:i/>
          <w:spacing w:val="-9"/>
          <w:sz w:val="18"/>
        </w:rPr>
        <w:t xml:space="preserve"> </w:t>
      </w:r>
      <w:r>
        <w:rPr>
          <w:i/>
          <w:sz w:val="18"/>
        </w:rPr>
        <w:t>Report. Volume</w:t>
      </w:r>
      <w:r>
        <w:rPr>
          <w:i/>
          <w:spacing w:val="-1"/>
          <w:sz w:val="18"/>
        </w:rPr>
        <w:t xml:space="preserve"> </w:t>
      </w:r>
      <w:r>
        <w:rPr>
          <w:i/>
          <w:sz w:val="18"/>
        </w:rPr>
        <w:t xml:space="preserve">5: Children in Youth Detention </w:t>
      </w:r>
      <w:r>
        <w:rPr>
          <w:sz w:val="18"/>
        </w:rPr>
        <w:t>(Report, August 2023) &lt;https://</w:t>
      </w:r>
      <w:hyperlink r:id="rId106">
        <w:r>
          <w:rPr>
            <w:sz w:val="18"/>
          </w:rPr>
          <w:t>www.commissionofinquiry.tas.gov.au/</w:t>
        </w:r>
      </w:hyperlink>
      <w:r>
        <w:rPr>
          <w:spacing w:val="80"/>
          <w:w w:val="150"/>
          <w:sz w:val="18"/>
          <w:u w:val="single"/>
        </w:rPr>
        <w:t xml:space="preserve"> </w:t>
      </w:r>
      <w:r>
        <w:rPr>
          <w:sz w:val="18"/>
        </w:rPr>
        <w:t xml:space="preserve">data/assets/ </w:t>
      </w:r>
      <w:r>
        <w:rPr>
          <w:spacing w:val="-2"/>
          <w:sz w:val="18"/>
        </w:rPr>
        <w:t>pdf_file/0007/722860/COI_Volume-5_ChildrenInYouthDetention.pdf&gt;.</w:t>
      </w:r>
    </w:p>
    <w:p w14:paraId="7CB25F3A" w14:textId="77777777" w:rsidR="008A4099" w:rsidRDefault="006A6EE2">
      <w:pPr>
        <w:spacing w:before="16" w:line="242" w:lineRule="auto"/>
        <w:ind w:left="160" w:right="673"/>
        <w:jc w:val="both"/>
        <w:rPr>
          <w:sz w:val="18"/>
        </w:rPr>
      </w:pPr>
      <w:r>
        <w:rPr>
          <w:sz w:val="18"/>
          <w:vertAlign w:val="superscript"/>
        </w:rPr>
        <w:t>227</w:t>
      </w:r>
      <w:r>
        <w:rPr>
          <w:spacing w:val="-12"/>
          <w:sz w:val="18"/>
        </w:rPr>
        <w:t xml:space="preserve"> </w:t>
      </w:r>
      <w:r>
        <w:rPr>
          <w:sz w:val="18"/>
        </w:rPr>
        <w:t>Human</w:t>
      </w:r>
      <w:r>
        <w:rPr>
          <w:spacing w:val="-11"/>
          <w:sz w:val="18"/>
        </w:rPr>
        <w:t xml:space="preserve"> </w:t>
      </w:r>
      <w:r>
        <w:rPr>
          <w:sz w:val="18"/>
        </w:rPr>
        <w:t>Rights</w:t>
      </w:r>
      <w:r>
        <w:rPr>
          <w:spacing w:val="-11"/>
          <w:sz w:val="18"/>
        </w:rPr>
        <w:t xml:space="preserve"> </w:t>
      </w:r>
      <w:r>
        <w:rPr>
          <w:sz w:val="18"/>
        </w:rPr>
        <w:t>and</w:t>
      </w:r>
      <w:r>
        <w:rPr>
          <w:spacing w:val="-11"/>
          <w:sz w:val="18"/>
        </w:rPr>
        <w:t xml:space="preserve"> </w:t>
      </w:r>
      <w:r>
        <w:rPr>
          <w:sz w:val="18"/>
        </w:rPr>
        <w:t>Discrimination</w:t>
      </w:r>
      <w:r>
        <w:rPr>
          <w:spacing w:val="-12"/>
          <w:sz w:val="18"/>
        </w:rPr>
        <w:t xml:space="preserve"> </w:t>
      </w:r>
      <w:r>
        <w:rPr>
          <w:sz w:val="18"/>
        </w:rPr>
        <w:t>Commissioner,</w:t>
      </w:r>
      <w:r>
        <w:rPr>
          <w:spacing w:val="-11"/>
          <w:sz w:val="18"/>
        </w:rPr>
        <w:t xml:space="preserve"> </w:t>
      </w:r>
      <w:r>
        <w:rPr>
          <w:sz w:val="18"/>
        </w:rPr>
        <w:t>ACT,</w:t>
      </w:r>
      <w:r>
        <w:rPr>
          <w:spacing w:val="-11"/>
          <w:sz w:val="18"/>
        </w:rPr>
        <w:t xml:space="preserve"> </w:t>
      </w:r>
      <w:r>
        <w:rPr>
          <w:sz w:val="18"/>
        </w:rPr>
        <w:t>(2005)</w:t>
      </w:r>
      <w:r>
        <w:rPr>
          <w:spacing w:val="-11"/>
          <w:sz w:val="18"/>
        </w:rPr>
        <w:t xml:space="preserve"> </w:t>
      </w:r>
      <w:r>
        <w:rPr>
          <w:i/>
          <w:sz w:val="18"/>
        </w:rPr>
        <w:t>Human</w:t>
      </w:r>
      <w:r>
        <w:rPr>
          <w:i/>
          <w:spacing w:val="-12"/>
          <w:sz w:val="18"/>
        </w:rPr>
        <w:t xml:space="preserve"> </w:t>
      </w:r>
      <w:r>
        <w:rPr>
          <w:i/>
          <w:sz w:val="18"/>
        </w:rPr>
        <w:t>Rights</w:t>
      </w:r>
      <w:r>
        <w:rPr>
          <w:i/>
          <w:spacing w:val="-11"/>
          <w:sz w:val="18"/>
        </w:rPr>
        <w:t xml:space="preserve"> </w:t>
      </w:r>
      <w:r>
        <w:rPr>
          <w:i/>
          <w:sz w:val="18"/>
        </w:rPr>
        <w:t>Audit</w:t>
      </w:r>
      <w:r>
        <w:rPr>
          <w:i/>
          <w:spacing w:val="-11"/>
          <w:sz w:val="18"/>
        </w:rPr>
        <w:t xml:space="preserve"> </w:t>
      </w:r>
      <w:r>
        <w:rPr>
          <w:i/>
          <w:sz w:val="18"/>
        </w:rPr>
        <w:t>of</w:t>
      </w:r>
      <w:r>
        <w:rPr>
          <w:i/>
          <w:spacing w:val="-11"/>
          <w:sz w:val="18"/>
        </w:rPr>
        <w:t xml:space="preserve"> </w:t>
      </w:r>
      <w:r>
        <w:rPr>
          <w:i/>
          <w:sz w:val="18"/>
        </w:rPr>
        <w:t>the</w:t>
      </w:r>
      <w:r>
        <w:rPr>
          <w:i/>
          <w:spacing w:val="-12"/>
          <w:sz w:val="18"/>
        </w:rPr>
        <w:t xml:space="preserve"> </w:t>
      </w:r>
      <w:r>
        <w:rPr>
          <w:i/>
          <w:sz w:val="18"/>
        </w:rPr>
        <w:t>Quamby</w:t>
      </w:r>
      <w:r>
        <w:rPr>
          <w:i/>
          <w:spacing w:val="-11"/>
          <w:sz w:val="18"/>
        </w:rPr>
        <w:t xml:space="preserve"> </w:t>
      </w:r>
      <w:r>
        <w:rPr>
          <w:i/>
          <w:sz w:val="18"/>
        </w:rPr>
        <w:t>Youth</w:t>
      </w:r>
      <w:r>
        <w:rPr>
          <w:i/>
          <w:spacing w:val="-11"/>
          <w:sz w:val="18"/>
        </w:rPr>
        <w:t xml:space="preserve"> </w:t>
      </w:r>
      <w:r>
        <w:rPr>
          <w:i/>
          <w:sz w:val="18"/>
        </w:rPr>
        <w:t>Detention</w:t>
      </w:r>
      <w:r>
        <w:rPr>
          <w:i/>
          <w:spacing w:val="-11"/>
          <w:sz w:val="18"/>
        </w:rPr>
        <w:t xml:space="preserve"> </w:t>
      </w:r>
      <w:r>
        <w:rPr>
          <w:i/>
          <w:sz w:val="18"/>
        </w:rPr>
        <w:t xml:space="preserve">Centre </w:t>
      </w:r>
      <w:r>
        <w:rPr>
          <w:sz w:val="18"/>
        </w:rPr>
        <w:t>(ACT Human Rights Commission, 2005) &lt;https://</w:t>
      </w:r>
      <w:hyperlink r:id="rId107">
        <w:r>
          <w:rPr>
            <w:sz w:val="18"/>
          </w:rPr>
          <w:t>www.hrc.act.gov.au/</w:t>
        </w:r>
      </w:hyperlink>
      <w:r>
        <w:rPr>
          <w:sz w:val="18"/>
          <w:u w:val="single"/>
        </w:rPr>
        <w:t xml:space="preserve"> </w:t>
      </w:r>
      <w:r>
        <w:rPr>
          <w:sz w:val="18"/>
        </w:rPr>
        <w:t xml:space="preserve">data/assets/pdf_file/0008/2375819/Audit-of- </w:t>
      </w:r>
      <w:r>
        <w:rPr>
          <w:spacing w:val="-2"/>
          <w:sz w:val="18"/>
        </w:rPr>
        <w:t>Quamby-2005.pdf&gt;.</w:t>
      </w:r>
    </w:p>
    <w:p w14:paraId="7CB25F3B" w14:textId="77777777" w:rsidR="008A4099" w:rsidRDefault="006A6EE2">
      <w:pPr>
        <w:spacing w:before="16" w:line="244" w:lineRule="auto"/>
        <w:ind w:left="160" w:right="681"/>
        <w:jc w:val="both"/>
        <w:rPr>
          <w:sz w:val="18"/>
        </w:rPr>
      </w:pPr>
      <w:r>
        <w:rPr>
          <w:sz w:val="18"/>
          <w:vertAlign w:val="superscript"/>
        </w:rPr>
        <w:t>228</w:t>
      </w:r>
      <w:r>
        <w:rPr>
          <w:sz w:val="18"/>
        </w:rPr>
        <w:t xml:space="preserve"> ACT Human Rights Commission, ACT, </w:t>
      </w:r>
      <w:r>
        <w:rPr>
          <w:i/>
          <w:sz w:val="18"/>
        </w:rPr>
        <w:t>Human Rights Audit on the Operation of ACT Correctional Facilities under Corrections</w:t>
      </w:r>
      <w:r>
        <w:rPr>
          <w:i/>
          <w:spacing w:val="-2"/>
          <w:sz w:val="18"/>
        </w:rPr>
        <w:t xml:space="preserve"> </w:t>
      </w:r>
      <w:r>
        <w:rPr>
          <w:i/>
          <w:sz w:val="18"/>
        </w:rPr>
        <w:t>Legislation</w:t>
      </w:r>
      <w:r>
        <w:rPr>
          <w:i/>
          <w:spacing w:val="-2"/>
          <w:sz w:val="18"/>
        </w:rPr>
        <w:t xml:space="preserve"> </w:t>
      </w:r>
      <w:r>
        <w:rPr>
          <w:i/>
          <w:sz w:val="18"/>
        </w:rPr>
        <w:t>ACT</w:t>
      </w:r>
      <w:r>
        <w:rPr>
          <w:i/>
          <w:spacing w:val="-1"/>
          <w:sz w:val="18"/>
        </w:rPr>
        <w:t xml:space="preserve"> </w:t>
      </w:r>
      <w:r>
        <w:rPr>
          <w:sz w:val="18"/>
        </w:rPr>
        <w:t>(ACT</w:t>
      </w:r>
      <w:r>
        <w:rPr>
          <w:spacing w:val="-1"/>
          <w:sz w:val="18"/>
        </w:rPr>
        <w:t xml:space="preserve"> </w:t>
      </w:r>
      <w:r>
        <w:rPr>
          <w:sz w:val="18"/>
        </w:rPr>
        <w:t>Human Rights</w:t>
      </w:r>
      <w:r>
        <w:rPr>
          <w:spacing w:val="-2"/>
          <w:sz w:val="18"/>
        </w:rPr>
        <w:t xml:space="preserve"> </w:t>
      </w:r>
      <w:r>
        <w:rPr>
          <w:sz w:val="18"/>
        </w:rPr>
        <w:t>Commission,</w:t>
      </w:r>
      <w:r>
        <w:rPr>
          <w:spacing w:val="-4"/>
          <w:sz w:val="18"/>
        </w:rPr>
        <w:t xml:space="preserve"> </w:t>
      </w:r>
      <w:r>
        <w:rPr>
          <w:sz w:val="18"/>
        </w:rPr>
        <w:t>2007)</w:t>
      </w:r>
      <w:r>
        <w:rPr>
          <w:spacing w:val="-1"/>
          <w:sz w:val="18"/>
        </w:rPr>
        <w:t xml:space="preserve"> </w:t>
      </w:r>
      <w:r>
        <w:rPr>
          <w:sz w:val="18"/>
        </w:rPr>
        <w:t>&lt;</w:t>
      </w:r>
      <w:r>
        <w:rPr>
          <w:spacing w:val="-5"/>
          <w:sz w:val="18"/>
        </w:rPr>
        <w:t xml:space="preserve"> </w:t>
      </w:r>
      <w:r>
        <w:rPr>
          <w:sz w:val="18"/>
        </w:rPr>
        <w:t>https://</w:t>
      </w:r>
      <w:hyperlink r:id="rId108">
        <w:r>
          <w:rPr>
            <w:sz w:val="18"/>
          </w:rPr>
          <w:t>www.hrc.act.gov.au/</w:t>
        </w:r>
      </w:hyperlink>
      <w:r>
        <w:rPr>
          <w:spacing w:val="80"/>
          <w:w w:val="150"/>
          <w:sz w:val="18"/>
        </w:rPr>
        <w:t xml:space="preserve"> </w:t>
      </w:r>
      <w:r>
        <w:rPr>
          <w:sz w:val="18"/>
        </w:rPr>
        <w:t>data/assets/pdf_file/0</w:t>
      </w:r>
    </w:p>
    <w:p w14:paraId="7CB25F3C" w14:textId="77777777" w:rsidR="008A4099" w:rsidRDefault="006A6EE2">
      <w:pPr>
        <w:spacing w:line="205" w:lineRule="exact"/>
        <w:ind w:left="160"/>
        <w:rPr>
          <w:sz w:val="18"/>
        </w:rPr>
      </w:pPr>
      <w:r>
        <w:rPr>
          <w:spacing w:val="-2"/>
          <w:sz w:val="18"/>
        </w:rPr>
        <w:t>019/2306170/Audit-on-the-Operation-of-ACT-Correctional-Facilities-2007.pdf&gt;.</w:t>
      </w:r>
    </w:p>
    <w:p w14:paraId="7CB25F3D" w14:textId="77777777" w:rsidR="008A4099" w:rsidRDefault="006A6EE2">
      <w:pPr>
        <w:spacing w:before="19" w:line="242" w:lineRule="auto"/>
        <w:ind w:left="160" w:right="676"/>
        <w:jc w:val="both"/>
        <w:rPr>
          <w:sz w:val="18"/>
        </w:rPr>
      </w:pPr>
      <w:r>
        <w:rPr>
          <w:sz w:val="18"/>
          <w:vertAlign w:val="superscript"/>
        </w:rPr>
        <w:t>229</w:t>
      </w:r>
      <w:r>
        <w:rPr>
          <w:sz w:val="18"/>
        </w:rPr>
        <w:t xml:space="preserve"> ACT Human Rights</w:t>
      </w:r>
      <w:r>
        <w:rPr>
          <w:spacing w:val="-2"/>
          <w:sz w:val="18"/>
        </w:rPr>
        <w:t xml:space="preserve"> </w:t>
      </w:r>
      <w:r>
        <w:rPr>
          <w:sz w:val="18"/>
        </w:rPr>
        <w:t xml:space="preserve">Commission, ACT, </w:t>
      </w:r>
      <w:r>
        <w:rPr>
          <w:i/>
          <w:sz w:val="18"/>
        </w:rPr>
        <w:t>The ACT</w:t>
      </w:r>
      <w:r>
        <w:rPr>
          <w:i/>
          <w:spacing w:val="-1"/>
          <w:sz w:val="18"/>
        </w:rPr>
        <w:t xml:space="preserve"> </w:t>
      </w:r>
      <w:r>
        <w:rPr>
          <w:i/>
          <w:sz w:val="18"/>
        </w:rPr>
        <w:t>Youth</w:t>
      </w:r>
      <w:r>
        <w:rPr>
          <w:i/>
          <w:spacing w:val="-1"/>
          <w:sz w:val="18"/>
        </w:rPr>
        <w:t xml:space="preserve"> </w:t>
      </w:r>
      <w:r>
        <w:rPr>
          <w:i/>
          <w:sz w:val="18"/>
        </w:rPr>
        <w:t>Justice</w:t>
      </w:r>
      <w:r>
        <w:rPr>
          <w:i/>
          <w:spacing w:val="-3"/>
          <w:sz w:val="18"/>
        </w:rPr>
        <w:t xml:space="preserve"> </w:t>
      </w:r>
      <w:r>
        <w:rPr>
          <w:i/>
          <w:sz w:val="18"/>
        </w:rPr>
        <w:t>System: A Report</w:t>
      </w:r>
      <w:r>
        <w:rPr>
          <w:i/>
          <w:spacing w:val="-2"/>
          <w:sz w:val="18"/>
        </w:rPr>
        <w:t xml:space="preserve"> </w:t>
      </w:r>
      <w:r>
        <w:rPr>
          <w:i/>
          <w:sz w:val="18"/>
        </w:rPr>
        <w:t>to</w:t>
      </w:r>
      <w:r>
        <w:rPr>
          <w:i/>
          <w:spacing w:val="-1"/>
          <w:sz w:val="18"/>
        </w:rPr>
        <w:t xml:space="preserve"> </w:t>
      </w:r>
      <w:r>
        <w:rPr>
          <w:i/>
          <w:sz w:val="18"/>
        </w:rPr>
        <w:t>the ACT</w:t>
      </w:r>
      <w:r>
        <w:rPr>
          <w:i/>
          <w:spacing w:val="-1"/>
          <w:sz w:val="18"/>
        </w:rPr>
        <w:t xml:space="preserve"> </w:t>
      </w:r>
      <w:r>
        <w:rPr>
          <w:i/>
          <w:sz w:val="18"/>
        </w:rPr>
        <w:t>Legislative Assembly</w:t>
      </w:r>
      <w:r>
        <w:rPr>
          <w:i/>
          <w:spacing w:val="-2"/>
          <w:sz w:val="18"/>
        </w:rPr>
        <w:t xml:space="preserve"> </w:t>
      </w:r>
      <w:r>
        <w:rPr>
          <w:i/>
          <w:sz w:val="18"/>
        </w:rPr>
        <w:t>by the ACT Human Rights Commissio</w:t>
      </w:r>
      <w:r>
        <w:rPr>
          <w:sz w:val="18"/>
        </w:rPr>
        <w:t>n (ACT Human Rights Commission, 2011)</w:t>
      </w:r>
      <w:r>
        <w:rPr>
          <w:spacing w:val="-3"/>
          <w:sz w:val="18"/>
        </w:rPr>
        <w:t xml:space="preserve"> </w:t>
      </w:r>
      <w:r>
        <w:rPr>
          <w:sz w:val="18"/>
        </w:rPr>
        <w:t>&lt;https://</w:t>
      </w:r>
      <w:hyperlink r:id="rId109">
        <w:r>
          <w:rPr>
            <w:sz w:val="18"/>
          </w:rPr>
          <w:t>www.ojp.gov/ncjrs/virtual-</w:t>
        </w:r>
      </w:hyperlink>
      <w:r>
        <w:rPr>
          <w:sz w:val="18"/>
        </w:rPr>
        <w:t xml:space="preserve"> library/abstracts/act-youth-justice-system-2011-report-act-legislative-assembly-act &gt;.</w:t>
      </w:r>
    </w:p>
    <w:p w14:paraId="7CB25F3E" w14:textId="77777777" w:rsidR="008A4099" w:rsidRDefault="006A6EE2">
      <w:pPr>
        <w:spacing w:before="16"/>
        <w:ind w:left="160"/>
        <w:jc w:val="both"/>
        <w:rPr>
          <w:sz w:val="18"/>
        </w:rPr>
      </w:pPr>
      <w:r>
        <w:rPr>
          <w:sz w:val="18"/>
          <w:vertAlign w:val="superscript"/>
        </w:rPr>
        <w:t>230</w:t>
      </w:r>
      <w:r>
        <w:rPr>
          <w:spacing w:val="3"/>
          <w:sz w:val="18"/>
        </w:rPr>
        <w:t xml:space="preserve"> </w:t>
      </w:r>
      <w:r>
        <w:rPr>
          <w:sz w:val="18"/>
        </w:rPr>
        <w:t>Ibid</w:t>
      </w:r>
      <w:r>
        <w:rPr>
          <w:spacing w:val="3"/>
          <w:sz w:val="18"/>
        </w:rPr>
        <w:t xml:space="preserve"> </w:t>
      </w:r>
      <w:r>
        <w:rPr>
          <w:sz w:val="18"/>
        </w:rPr>
        <w:t>[2</w:t>
      </w:r>
      <w:r>
        <w:rPr>
          <w:spacing w:val="3"/>
          <w:sz w:val="18"/>
        </w:rPr>
        <w:t xml:space="preserve"> </w:t>
      </w:r>
      <w:r>
        <w:rPr>
          <w:sz w:val="18"/>
        </w:rPr>
        <w:t>7.11]</w:t>
      </w:r>
      <w:r>
        <w:rPr>
          <w:spacing w:val="1"/>
          <w:sz w:val="18"/>
        </w:rPr>
        <w:t xml:space="preserve"> </w:t>
      </w:r>
      <w:r>
        <w:rPr>
          <w:spacing w:val="-5"/>
          <w:sz w:val="18"/>
        </w:rPr>
        <w:t>61.</w:t>
      </w:r>
    </w:p>
    <w:p w14:paraId="7CB25F3F" w14:textId="77777777" w:rsidR="008A4099" w:rsidRDefault="006A6EE2">
      <w:pPr>
        <w:spacing w:before="24"/>
        <w:ind w:left="160"/>
        <w:jc w:val="both"/>
        <w:rPr>
          <w:sz w:val="18"/>
        </w:rPr>
      </w:pPr>
      <w:r>
        <w:rPr>
          <w:sz w:val="18"/>
          <w:vertAlign w:val="superscript"/>
        </w:rPr>
        <w:t>231</w:t>
      </w:r>
      <w:r>
        <w:rPr>
          <w:spacing w:val="3"/>
          <w:sz w:val="18"/>
        </w:rPr>
        <w:t xml:space="preserve"> </w:t>
      </w:r>
      <w:r>
        <w:rPr>
          <w:sz w:val="18"/>
        </w:rPr>
        <w:t>Ibid</w:t>
      </w:r>
      <w:r>
        <w:rPr>
          <w:spacing w:val="3"/>
          <w:sz w:val="18"/>
        </w:rPr>
        <w:t xml:space="preserve"> </w:t>
      </w:r>
      <w:r>
        <w:rPr>
          <w:sz w:val="18"/>
        </w:rPr>
        <w:t>[2</w:t>
      </w:r>
      <w:r>
        <w:rPr>
          <w:spacing w:val="3"/>
          <w:sz w:val="18"/>
        </w:rPr>
        <w:t xml:space="preserve"> </w:t>
      </w:r>
      <w:r>
        <w:rPr>
          <w:sz w:val="18"/>
        </w:rPr>
        <w:t>7.12]</w:t>
      </w:r>
      <w:r>
        <w:rPr>
          <w:spacing w:val="1"/>
          <w:sz w:val="18"/>
        </w:rPr>
        <w:t xml:space="preserve"> </w:t>
      </w:r>
      <w:r>
        <w:rPr>
          <w:spacing w:val="-5"/>
          <w:sz w:val="18"/>
        </w:rPr>
        <w:t>61.</w:t>
      </w:r>
    </w:p>
    <w:p w14:paraId="7CB25F40" w14:textId="77777777" w:rsidR="008A4099" w:rsidRDefault="006A6EE2">
      <w:pPr>
        <w:spacing w:before="23"/>
        <w:ind w:left="160" w:right="673"/>
        <w:jc w:val="both"/>
        <w:rPr>
          <w:sz w:val="18"/>
        </w:rPr>
      </w:pPr>
      <w:r>
        <w:rPr>
          <w:sz w:val="18"/>
          <w:vertAlign w:val="superscript"/>
        </w:rPr>
        <w:t>232</w:t>
      </w:r>
      <w:r>
        <w:rPr>
          <w:sz w:val="18"/>
        </w:rPr>
        <w:t xml:space="preserve"> Legislative Council Select Committee on Housing Affordability in Tasmania, </w:t>
      </w:r>
      <w:r>
        <w:rPr>
          <w:i/>
          <w:sz w:val="18"/>
        </w:rPr>
        <w:t xml:space="preserve">Housing Affordability in Tasmania </w:t>
      </w:r>
      <w:r>
        <w:rPr>
          <w:sz w:val="18"/>
        </w:rPr>
        <w:t xml:space="preserve">(2008) referred to in House of Assembly Select Committee on Housing Affordability, </w:t>
      </w:r>
      <w:r>
        <w:rPr>
          <w:i/>
          <w:sz w:val="18"/>
        </w:rPr>
        <w:t>Final Report on Inquiry into Housing Affordability</w:t>
      </w:r>
      <w:r>
        <w:rPr>
          <w:i/>
          <w:spacing w:val="-3"/>
          <w:sz w:val="18"/>
        </w:rPr>
        <w:t xml:space="preserve"> </w:t>
      </w:r>
      <w:r>
        <w:rPr>
          <w:sz w:val="18"/>
        </w:rPr>
        <w:t>(2020)</w:t>
      </w:r>
      <w:r>
        <w:rPr>
          <w:spacing w:val="-6"/>
          <w:sz w:val="18"/>
        </w:rPr>
        <w:t xml:space="preserve"> </w:t>
      </w:r>
      <w:r>
        <w:rPr>
          <w:sz w:val="18"/>
        </w:rPr>
        <w:t>14</w:t>
      </w:r>
      <w:r>
        <w:rPr>
          <w:spacing w:val="-3"/>
          <w:sz w:val="18"/>
        </w:rPr>
        <w:t xml:space="preserve"> </w:t>
      </w:r>
      <w:r>
        <w:rPr>
          <w:sz w:val="18"/>
        </w:rPr>
        <w:t>&lt;https://</w:t>
      </w:r>
      <w:hyperlink r:id="rId110">
        <w:r>
          <w:rPr>
            <w:sz w:val="18"/>
          </w:rPr>
          <w:t>www.parliament.tas.gov.au/</w:t>
        </w:r>
      </w:hyperlink>
      <w:r>
        <w:rPr>
          <w:spacing w:val="40"/>
          <w:sz w:val="18"/>
          <w:u w:val="single"/>
        </w:rPr>
        <w:t xml:space="preserve"> </w:t>
      </w:r>
      <w:r>
        <w:rPr>
          <w:sz w:val="18"/>
        </w:rPr>
        <w:t xml:space="preserve">data/assets/pdf_file/0030/58980/ha20select20committee20on2 </w:t>
      </w:r>
      <w:r>
        <w:rPr>
          <w:spacing w:val="-2"/>
          <w:sz w:val="18"/>
        </w:rPr>
        <w:t>0housing20affordability20-20final20report.pdf&gt;.</w:t>
      </w:r>
    </w:p>
    <w:p w14:paraId="7CB25F41" w14:textId="77777777" w:rsidR="008A4099" w:rsidRDefault="006A6EE2">
      <w:pPr>
        <w:spacing w:before="22"/>
        <w:ind w:left="160"/>
        <w:jc w:val="both"/>
        <w:rPr>
          <w:sz w:val="18"/>
        </w:rPr>
      </w:pPr>
      <w:r>
        <w:rPr>
          <w:sz w:val="18"/>
          <w:vertAlign w:val="superscript"/>
        </w:rPr>
        <w:t>233</w:t>
      </w:r>
      <w:r>
        <w:rPr>
          <w:spacing w:val="-9"/>
          <w:sz w:val="18"/>
        </w:rPr>
        <w:t xml:space="preserve"> </w:t>
      </w:r>
      <w:r>
        <w:rPr>
          <w:sz w:val="18"/>
        </w:rPr>
        <w:t>House</w:t>
      </w:r>
      <w:r>
        <w:rPr>
          <w:spacing w:val="-11"/>
          <w:sz w:val="18"/>
        </w:rPr>
        <w:t xml:space="preserve"> </w:t>
      </w:r>
      <w:r>
        <w:rPr>
          <w:sz w:val="18"/>
        </w:rPr>
        <w:t>of</w:t>
      </w:r>
      <w:r>
        <w:rPr>
          <w:spacing w:val="-8"/>
          <w:sz w:val="18"/>
        </w:rPr>
        <w:t xml:space="preserve"> </w:t>
      </w:r>
      <w:r>
        <w:rPr>
          <w:sz w:val="18"/>
        </w:rPr>
        <w:t>Assembly</w:t>
      </w:r>
      <w:r>
        <w:rPr>
          <w:spacing w:val="-9"/>
          <w:sz w:val="18"/>
        </w:rPr>
        <w:t xml:space="preserve"> </w:t>
      </w:r>
      <w:r>
        <w:rPr>
          <w:sz w:val="18"/>
        </w:rPr>
        <w:t>Select</w:t>
      </w:r>
      <w:r>
        <w:rPr>
          <w:spacing w:val="-8"/>
          <w:sz w:val="18"/>
        </w:rPr>
        <w:t xml:space="preserve"> </w:t>
      </w:r>
      <w:r>
        <w:rPr>
          <w:sz w:val="18"/>
        </w:rPr>
        <w:t>Committee</w:t>
      </w:r>
      <w:r>
        <w:rPr>
          <w:spacing w:val="-9"/>
          <w:sz w:val="18"/>
        </w:rPr>
        <w:t xml:space="preserve"> </w:t>
      </w:r>
      <w:r>
        <w:rPr>
          <w:sz w:val="18"/>
        </w:rPr>
        <w:t>on</w:t>
      </w:r>
      <w:r>
        <w:rPr>
          <w:spacing w:val="-9"/>
          <w:sz w:val="18"/>
        </w:rPr>
        <w:t xml:space="preserve"> </w:t>
      </w:r>
      <w:r>
        <w:rPr>
          <w:sz w:val="18"/>
        </w:rPr>
        <w:t>Housing</w:t>
      </w:r>
      <w:r>
        <w:rPr>
          <w:spacing w:val="-7"/>
          <w:sz w:val="18"/>
        </w:rPr>
        <w:t xml:space="preserve"> </w:t>
      </w:r>
      <w:r>
        <w:rPr>
          <w:sz w:val="18"/>
        </w:rPr>
        <w:t>Affordability,</w:t>
      </w:r>
      <w:r>
        <w:rPr>
          <w:spacing w:val="-4"/>
          <w:sz w:val="18"/>
        </w:rPr>
        <w:t xml:space="preserve"> </w:t>
      </w:r>
      <w:r>
        <w:rPr>
          <w:i/>
          <w:sz w:val="18"/>
        </w:rPr>
        <w:t>Final</w:t>
      </w:r>
      <w:r>
        <w:rPr>
          <w:i/>
          <w:spacing w:val="-10"/>
          <w:sz w:val="18"/>
        </w:rPr>
        <w:t xml:space="preserve"> </w:t>
      </w:r>
      <w:r>
        <w:rPr>
          <w:i/>
          <w:sz w:val="18"/>
        </w:rPr>
        <w:t>Report</w:t>
      </w:r>
      <w:r>
        <w:rPr>
          <w:i/>
          <w:spacing w:val="-11"/>
          <w:sz w:val="18"/>
        </w:rPr>
        <w:t xml:space="preserve"> </w:t>
      </w:r>
      <w:r>
        <w:rPr>
          <w:i/>
          <w:sz w:val="18"/>
        </w:rPr>
        <w:t>on</w:t>
      </w:r>
      <w:r>
        <w:rPr>
          <w:i/>
          <w:spacing w:val="-7"/>
          <w:sz w:val="18"/>
        </w:rPr>
        <w:t xml:space="preserve"> </w:t>
      </w:r>
      <w:r>
        <w:rPr>
          <w:i/>
          <w:sz w:val="18"/>
        </w:rPr>
        <w:t>Inquiry</w:t>
      </w:r>
      <w:r>
        <w:rPr>
          <w:i/>
          <w:spacing w:val="-9"/>
          <w:sz w:val="18"/>
        </w:rPr>
        <w:t xml:space="preserve"> </w:t>
      </w:r>
      <w:r>
        <w:rPr>
          <w:i/>
          <w:sz w:val="18"/>
        </w:rPr>
        <w:t>into</w:t>
      </w:r>
      <w:r>
        <w:rPr>
          <w:i/>
          <w:spacing w:val="-9"/>
          <w:sz w:val="18"/>
        </w:rPr>
        <w:t xml:space="preserve"> </w:t>
      </w:r>
      <w:r>
        <w:rPr>
          <w:i/>
          <w:sz w:val="18"/>
        </w:rPr>
        <w:t>Housing</w:t>
      </w:r>
      <w:r>
        <w:rPr>
          <w:i/>
          <w:spacing w:val="-7"/>
          <w:sz w:val="18"/>
        </w:rPr>
        <w:t xml:space="preserve"> </w:t>
      </w:r>
      <w:r>
        <w:rPr>
          <w:i/>
          <w:sz w:val="18"/>
        </w:rPr>
        <w:t>Affordability</w:t>
      </w:r>
      <w:r>
        <w:rPr>
          <w:i/>
          <w:spacing w:val="-5"/>
          <w:sz w:val="18"/>
        </w:rPr>
        <w:t xml:space="preserve"> </w:t>
      </w:r>
      <w:r>
        <w:rPr>
          <w:spacing w:val="-2"/>
          <w:sz w:val="18"/>
        </w:rPr>
        <w:t>(2020)</w:t>
      </w:r>
    </w:p>
    <w:p w14:paraId="7CB25F42" w14:textId="77777777" w:rsidR="008A4099" w:rsidRDefault="006A6EE2">
      <w:pPr>
        <w:spacing w:before="4"/>
        <w:ind w:left="160" w:right="675"/>
        <w:jc w:val="both"/>
        <w:rPr>
          <w:sz w:val="18"/>
        </w:rPr>
      </w:pPr>
      <w:r>
        <w:rPr>
          <w:sz w:val="18"/>
        </w:rPr>
        <w:t>14.</w:t>
      </w:r>
      <w:r>
        <w:rPr>
          <w:spacing w:val="-8"/>
          <w:sz w:val="18"/>
        </w:rPr>
        <w:t xml:space="preserve"> </w:t>
      </w:r>
      <w:r>
        <w:rPr>
          <w:sz w:val="18"/>
        </w:rPr>
        <w:t>Tasmania’s</w:t>
      </w:r>
      <w:r>
        <w:rPr>
          <w:spacing w:val="-9"/>
          <w:sz w:val="18"/>
        </w:rPr>
        <w:t xml:space="preserve"> </w:t>
      </w:r>
      <w:r>
        <w:rPr>
          <w:sz w:val="18"/>
        </w:rPr>
        <w:t>rental</w:t>
      </w:r>
      <w:r>
        <w:rPr>
          <w:spacing w:val="-8"/>
          <w:sz w:val="18"/>
        </w:rPr>
        <w:t xml:space="preserve"> </w:t>
      </w:r>
      <w:r>
        <w:rPr>
          <w:sz w:val="18"/>
        </w:rPr>
        <w:t>market</w:t>
      </w:r>
      <w:r>
        <w:rPr>
          <w:spacing w:val="-9"/>
          <w:sz w:val="18"/>
        </w:rPr>
        <w:t xml:space="preserve"> </w:t>
      </w:r>
      <w:r>
        <w:rPr>
          <w:sz w:val="18"/>
        </w:rPr>
        <w:t>has</w:t>
      </w:r>
      <w:r>
        <w:rPr>
          <w:spacing w:val="-9"/>
          <w:sz w:val="18"/>
        </w:rPr>
        <w:t xml:space="preserve"> </w:t>
      </w:r>
      <w:r>
        <w:rPr>
          <w:sz w:val="18"/>
        </w:rPr>
        <w:t>been</w:t>
      </w:r>
      <w:r>
        <w:rPr>
          <w:spacing w:val="-8"/>
          <w:sz w:val="18"/>
        </w:rPr>
        <w:t xml:space="preserve"> </w:t>
      </w:r>
      <w:r>
        <w:rPr>
          <w:sz w:val="18"/>
        </w:rPr>
        <w:t>marked</w:t>
      </w:r>
      <w:r>
        <w:rPr>
          <w:spacing w:val="-8"/>
          <w:sz w:val="18"/>
        </w:rPr>
        <w:t xml:space="preserve"> </w:t>
      </w:r>
      <w:r>
        <w:rPr>
          <w:sz w:val="18"/>
        </w:rPr>
        <w:t>by</w:t>
      </w:r>
      <w:r>
        <w:rPr>
          <w:spacing w:val="-8"/>
          <w:sz w:val="18"/>
        </w:rPr>
        <w:t xml:space="preserve"> </w:t>
      </w:r>
      <w:r>
        <w:rPr>
          <w:sz w:val="18"/>
        </w:rPr>
        <w:t>long</w:t>
      </w:r>
      <w:r>
        <w:rPr>
          <w:spacing w:val="-8"/>
          <w:sz w:val="18"/>
        </w:rPr>
        <w:t xml:space="preserve"> </w:t>
      </w:r>
      <w:r>
        <w:rPr>
          <w:sz w:val="18"/>
        </w:rPr>
        <w:t>periods</w:t>
      </w:r>
      <w:r>
        <w:rPr>
          <w:spacing w:val="-9"/>
          <w:sz w:val="18"/>
        </w:rPr>
        <w:t xml:space="preserve"> </w:t>
      </w:r>
      <w:r>
        <w:rPr>
          <w:sz w:val="18"/>
        </w:rPr>
        <w:t>of</w:t>
      </w:r>
      <w:r>
        <w:rPr>
          <w:spacing w:val="-8"/>
          <w:sz w:val="18"/>
        </w:rPr>
        <w:t xml:space="preserve"> </w:t>
      </w:r>
      <w:r>
        <w:rPr>
          <w:sz w:val="18"/>
        </w:rPr>
        <w:t>very</w:t>
      </w:r>
      <w:r>
        <w:rPr>
          <w:spacing w:val="-8"/>
          <w:sz w:val="18"/>
        </w:rPr>
        <w:t xml:space="preserve"> </w:t>
      </w:r>
      <w:r>
        <w:rPr>
          <w:sz w:val="18"/>
        </w:rPr>
        <w:t>low</w:t>
      </w:r>
      <w:r>
        <w:rPr>
          <w:spacing w:val="-9"/>
          <w:sz w:val="18"/>
        </w:rPr>
        <w:t xml:space="preserve"> </w:t>
      </w:r>
      <w:r>
        <w:rPr>
          <w:sz w:val="18"/>
        </w:rPr>
        <w:t>vacancy</w:t>
      </w:r>
      <w:r>
        <w:rPr>
          <w:spacing w:val="-8"/>
          <w:sz w:val="18"/>
        </w:rPr>
        <w:t xml:space="preserve"> </w:t>
      </w:r>
      <w:r>
        <w:rPr>
          <w:sz w:val="18"/>
        </w:rPr>
        <w:t>rates</w:t>
      </w:r>
      <w:r>
        <w:rPr>
          <w:spacing w:val="-9"/>
          <w:sz w:val="18"/>
        </w:rPr>
        <w:t xml:space="preserve"> </w:t>
      </w:r>
      <w:r>
        <w:rPr>
          <w:sz w:val="18"/>
        </w:rPr>
        <w:t>and</w:t>
      </w:r>
      <w:r>
        <w:rPr>
          <w:spacing w:val="-8"/>
          <w:sz w:val="18"/>
        </w:rPr>
        <w:t xml:space="preserve"> </w:t>
      </w:r>
      <w:r>
        <w:rPr>
          <w:sz w:val="18"/>
        </w:rPr>
        <w:t>declining</w:t>
      </w:r>
      <w:r>
        <w:rPr>
          <w:spacing w:val="-8"/>
          <w:sz w:val="18"/>
        </w:rPr>
        <w:t xml:space="preserve"> </w:t>
      </w:r>
      <w:r>
        <w:rPr>
          <w:sz w:val="18"/>
        </w:rPr>
        <w:t>availability,</w:t>
      </w:r>
      <w:r>
        <w:rPr>
          <w:spacing w:val="-8"/>
          <w:sz w:val="18"/>
        </w:rPr>
        <w:t xml:space="preserve"> </w:t>
      </w:r>
      <w:r>
        <w:rPr>
          <w:sz w:val="18"/>
        </w:rPr>
        <w:t>with</w:t>
      </w:r>
      <w:r>
        <w:rPr>
          <w:spacing w:val="-8"/>
          <w:sz w:val="18"/>
        </w:rPr>
        <w:t xml:space="preserve"> </w:t>
      </w:r>
      <w:r>
        <w:rPr>
          <w:sz w:val="18"/>
        </w:rPr>
        <w:t>many prospective</w:t>
      </w:r>
      <w:r>
        <w:rPr>
          <w:spacing w:val="-3"/>
          <w:sz w:val="18"/>
        </w:rPr>
        <w:t xml:space="preserve"> </w:t>
      </w:r>
      <w:r>
        <w:rPr>
          <w:sz w:val="18"/>
        </w:rPr>
        <w:t>tenants</w:t>
      </w:r>
      <w:r>
        <w:rPr>
          <w:spacing w:val="-4"/>
          <w:sz w:val="18"/>
        </w:rPr>
        <w:t xml:space="preserve"> </w:t>
      </w:r>
      <w:r>
        <w:rPr>
          <w:sz w:val="18"/>
        </w:rPr>
        <w:t>unable</w:t>
      </w:r>
      <w:r>
        <w:rPr>
          <w:spacing w:val="-5"/>
          <w:sz w:val="18"/>
        </w:rPr>
        <w:t xml:space="preserve"> </w:t>
      </w:r>
      <w:r>
        <w:rPr>
          <w:sz w:val="18"/>
        </w:rPr>
        <w:t>to</w:t>
      </w:r>
      <w:r>
        <w:rPr>
          <w:spacing w:val="-1"/>
          <w:sz w:val="18"/>
        </w:rPr>
        <w:t xml:space="preserve"> </w:t>
      </w:r>
      <w:r>
        <w:rPr>
          <w:sz w:val="18"/>
        </w:rPr>
        <w:t>secure</w:t>
      </w:r>
      <w:r>
        <w:rPr>
          <w:spacing w:val="-3"/>
          <w:sz w:val="18"/>
        </w:rPr>
        <w:t xml:space="preserve"> </w:t>
      </w:r>
      <w:r>
        <w:rPr>
          <w:sz w:val="18"/>
        </w:rPr>
        <w:t>accommodation:</w:t>
      </w:r>
      <w:r>
        <w:rPr>
          <w:spacing w:val="-2"/>
          <w:sz w:val="18"/>
        </w:rPr>
        <w:t xml:space="preserve"> </w:t>
      </w:r>
      <w:r>
        <w:rPr>
          <w:sz w:val="18"/>
        </w:rPr>
        <w:t>see</w:t>
      </w:r>
      <w:r>
        <w:rPr>
          <w:spacing w:val="-3"/>
          <w:sz w:val="18"/>
        </w:rPr>
        <w:t xml:space="preserve"> </w:t>
      </w:r>
      <w:r>
        <w:rPr>
          <w:sz w:val="18"/>
        </w:rPr>
        <w:t>Jacqueline</w:t>
      </w:r>
      <w:r>
        <w:rPr>
          <w:spacing w:val="-3"/>
          <w:sz w:val="18"/>
        </w:rPr>
        <w:t xml:space="preserve"> </w:t>
      </w:r>
      <w:r>
        <w:rPr>
          <w:sz w:val="18"/>
        </w:rPr>
        <w:t>De</w:t>
      </w:r>
      <w:r>
        <w:rPr>
          <w:spacing w:val="-3"/>
          <w:sz w:val="18"/>
        </w:rPr>
        <w:t xml:space="preserve"> </w:t>
      </w:r>
      <w:r>
        <w:rPr>
          <w:sz w:val="18"/>
        </w:rPr>
        <w:t>Vries et</w:t>
      </w:r>
      <w:r>
        <w:rPr>
          <w:spacing w:val="-2"/>
          <w:sz w:val="18"/>
        </w:rPr>
        <w:t xml:space="preserve"> </w:t>
      </w:r>
      <w:r>
        <w:rPr>
          <w:sz w:val="18"/>
        </w:rPr>
        <w:t>al,</w:t>
      </w:r>
      <w:r>
        <w:rPr>
          <w:spacing w:val="-1"/>
          <w:sz w:val="18"/>
        </w:rPr>
        <w:t xml:space="preserve"> </w:t>
      </w:r>
      <w:r>
        <w:rPr>
          <w:i/>
          <w:sz w:val="18"/>
        </w:rPr>
        <w:t>The</w:t>
      </w:r>
      <w:r>
        <w:rPr>
          <w:i/>
          <w:spacing w:val="-3"/>
          <w:sz w:val="18"/>
        </w:rPr>
        <w:t xml:space="preserve"> </w:t>
      </w:r>
      <w:r>
        <w:rPr>
          <w:i/>
          <w:sz w:val="18"/>
        </w:rPr>
        <w:t>Tasmanian</w:t>
      </w:r>
      <w:r>
        <w:rPr>
          <w:i/>
          <w:spacing w:val="-3"/>
          <w:sz w:val="18"/>
        </w:rPr>
        <w:t xml:space="preserve"> </w:t>
      </w:r>
      <w:r>
        <w:rPr>
          <w:i/>
          <w:sz w:val="18"/>
        </w:rPr>
        <w:t>Housing</w:t>
      </w:r>
      <w:r>
        <w:rPr>
          <w:i/>
          <w:spacing w:val="-3"/>
          <w:sz w:val="18"/>
        </w:rPr>
        <w:t xml:space="preserve"> </w:t>
      </w:r>
      <w:r>
        <w:rPr>
          <w:i/>
          <w:sz w:val="18"/>
        </w:rPr>
        <w:t>Market:</w:t>
      </w:r>
      <w:r>
        <w:rPr>
          <w:i/>
          <w:spacing w:val="-2"/>
          <w:sz w:val="18"/>
        </w:rPr>
        <w:t xml:space="preserve"> </w:t>
      </w:r>
      <w:r>
        <w:rPr>
          <w:i/>
          <w:sz w:val="18"/>
        </w:rPr>
        <w:t xml:space="preserve">Update 2020-21 </w:t>
      </w:r>
      <w:r>
        <w:rPr>
          <w:sz w:val="18"/>
        </w:rPr>
        <w:t>(Housing and Community Research Unit, University of Tasmania, June 2021) 33.</w:t>
      </w:r>
    </w:p>
    <w:p w14:paraId="7CB25F43"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F44" w14:textId="77777777" w:rsidR="008A4099" w:rsidRDefault="008A4099">
      <w:pPr>
        <w:pStyle w:val="BodyText"/>
        <w:spacing w:before="196"/>
      </w:pPr>
    </w:p>
    <w:p w14:paraId="7CB25F45" w14:textId="77777777" w:rsidR="008A4099" w:rsidRDefault="006A6EE2">
      <w:pPr>
        <w:pStyle w:val="BodyText"/>
        <w:spacing w:before="1" w:line="278" w:lineRule="auto"/>
        <w:ind w:left="868" w:right="1340"/>
        <w:jc w:val="both"/>
      </w:pPr>
      <w:r>
        <w:t>In the case of social housing tenants and transitional housing tenants, human rights legislation</w:t>
      </w:r>
      <w:r>
        <w:rPr>
          <w:spacing w:val="-13"/>
        </w:rPr>
        <w:t xml:space="preserve"> </w:t>
      </w:r>
      <w:r>
        <w:t>has</w:t>
      </w:r>
      <w:r>
        <w:rPr>
          <w:spacing w:val="-12"/>
        </w:rPr>
        <w:t xml:space="preserve"> </w:t>
      </w:r>
      <w:r>
        <w:t>ensured</w:t>
      </w:r>
      <w:r>
        <w:rPr>
          <w:spacing w:val="-13"/>
        </w:rPr>
        <w:t xml:space="preserve"> </w:t>
      </w:r>
      <w:r>
        <w:t>greater</w:t>
      </w:r>
      <w:r>
        <w:rPr>
          <w:spacing w:val="-12"/>
        </w:rPr>
        <w:t xml:space="preserve"> </w:t>
      </w:r>
      <w:r>
        <w:t>protection</w:t>
      </w:r>
      <w:r>
        <w:rPr>
          <w:spacing w:val="-13"/>
        </w:rPr>
        <w:t xml:space="preserve"> </w:t>
      </w:r>
      <w:r>
        <w:t>of</w:t>
      </w:r>
      <w:r>
        <w:rPr>
          <w:spacing w:val="-12"/>
        </w:rPr>
        <w:t xml:space="preserve"> </w:t>
      </w:r>
      <w:r>
        <w:t>tenants’</w:t>
      </w:r>
      <w:r>
        <w:rPr>
          <w:spacing w:val="-12"/>
        </w:rPr>
        <w:t xml:space="preserve"> </w:t>
      </w:r>
      <w:r>
        <w:t>right</w:t>
      </w:r>
      <w:r>
        <w:rPr>
          <w:spacing w:val="-12"/>
        </w:rPr>
        <w:t xml:space="preserve"> </w:t>
      </w:r>
      <w:r>
        <w:t>to</w:t>
      </w:r>
      <w:r>
        <w:rPr>
          <w:spacing w:val="-13"/>
        </w:rPr>
        <w:t xml:space="preserve"> </w:t>
      </w:r>
      <w:r>
        <w:t>adequate</w:t>
      </w:r>
      <w:r>
        <w:rPr>
          <w:spacing w:val="-13"/>
        </w:rPr>
        <w:t xml:space="preserve"> </w:t>
      </w:r>
      <w:r>
        <w:t>housing. This</w:t>
      </w:r>
      <w:r>
        <w:rPr>
          <w:spacing w:val="-12"/>
        </w:rPr>
        <w:t xml:space="preserve"> </w:t>
      </w:r>
      <w:r>
        <w:t>can be</w:t>
      </w:r>
      <w:r>
        <w:rPr>
          <w:spacing w:val="40"/>
        </w:rPr>
        <w:t xml:space="preserve"> </w:t>
      </w:r>
      <w:r>
        <w:t>contrasted</w:t>
      </w:r>
      <w:r>
        <w:rPr>
          <w:spacing w:val="40"/>
        </w:rPr>
        <w:t xml:space="preserve"> </w:t>
      </w:r>
      <w:r>
        <w:t>with</w:t>
      </w:r>
      <w:r>
        <w:rPr>
          <w:spacing w:val="40"/>
        </w:rPr>
        <w:t xml:space="preserve"> </w:t>
      </w:r>
      <w:r>
        <w:t>Tasmania</w:t>
      </w:r>
      <w:r>
        <w:rPr>
          <w:spacing w:val="40"/>
        </w:rPr>
        <w:t xml:space="preserve"> </w:t>
      </w:r>
      <w:r>
        <w:t>which</w:t>
      </w:r>
      <w:r>
        <w:rPr>
          <w:spacing w:val="40"/>
        </w:rPr>
        <w:t xml:space="preserve"> </w:t>
      </w:r>
      <w:r>
        <w:t>does</w:t>
      </w:r>
      <w:r>
        <w:rPr>
          <w:spacing w:val="40"/>
        </w:rPr>
        <w:t xml:space="preserve"> </w:t>
      </w:r>
      <w:r>
        <w:t>not</w:t>
      </w:r>
      <w:r>
        <w:rPr>
          <w:spacing w:val="40"/>
        </w:rPr>
        <w:t xml:space="preserve"> </w:t>
      </w:r>
      <w:r>
        <w:t>have</w:t>
      </w:r>
      <w:r>
        <w:rPr>
          <w:spacing w:val="40"/>
        </w:rPr>
        <w:t xml:space="preserve"> </w:t>
      </w:r>
      <w:r>
        <w:t>the</w:t>
      </w:r>
      <w:r>
        <w:rPr>
          <w:spacing w:val="40"/>
        </w:rPr>
        <w:t xml:space="preserve"> </w:t>
      </w:r>
      <w:r>
        <w:t>same</w:t>
      </w:r>
      <w:r>
        <w:rPr>
          <w:spacing w:val="40"/>
        </w:rPr>
        <w:t xml:space="preserve"> </w:t>
      </w:r>
      <w:r>
        <w:t>human</w:t>
      </w:r>
      <w:r>
        <w:rPr>
          <w:spacing w:val="40"/>
        </w:rPr>
        <w:t xml:space="preserve"> </w:t>
      </w:r>
      <w:r>
        <w:t>rights protections</w:t>
      </w:r>
      <w:r>
        <w:rPr>
          <w:spacing w:val="-2"/>
        </w:rPr>
        <w:t xml:space="preserve"> </w:t>
      </w:r>
      <w:r>
        <w:t>and where policies currently in place increase the risk that disadvantaged tenants</w:t>
      </w:r>
      <w:r>
        <w:rPr>
          <w:spacing w:val="-14"/>
        </w:rPr>
        <w:t xml:space="preserve"> </w:t>
      </w:r>
      <w:r>
        <w:t>are</w:t>
      </w:r>
      <w:r>
        <w:rPr>
          <w:spacing w:val="-14"/>
        </w:rPr>
        <w:t xml:space="preserve"> </w:t>
      </w:r>
      <w:r>
        <w:t>placed</w:t>
      </w:r>
      <w:r>
        <w:rPr>
          <w:spacing w:val="-14"/>
        </w:rPr>
        <w:t xml:space="preserve"> </w:t>
      </w:r>
      <w:r>
        <w:t>in</w:t>
      </w:r>
      <w:r>
        <w:rPr>
          <w:spacing w:val="-13"/>
        </w:rPr>
        <w:t xml:space="preserve"> </w:t>
      </w:r>
      <w:r>
        <w:t>a</w:t>
      </w:r>
      <w:r>
        <w:rPr>
          <w:spacing w:val="-14"/>
        </w:rPr>
        <w:t xml:space="preserve"> </w:t>
      </w:r>
      <w:r>
        <w:t>revolving</w:t>
      </w:r>
      <w:r>
        <w:rPr>
          <w:spacing w:val="-14"/>
        </w:rPr>
        <w:t xml:space="preserve"> </w:t>
      </w:r>
      <w:r>
        <w:t>cycle</w:t>
      </w:r>
      <w:r>
        <w:rPr>
          <w:spacing w:val="-14"/>
        </w:rPr>
        <w:t xml:space="preserve"> </w:t>
      </w:r>
      <w:r>
        <w:t>of</w:t>
      </w:r>
      <w:r>
        <w:rPr>
          <w:spacing w:val="-13"/>
        </w:rPr>
        <w:t xml:space="preserve"> </w:t>
      </w:r>
      <w:r>
        <w:t>homelessness</w:t>
      </w:r>
      <w:r>
        <w:rPr>
          <w:spacing w:val="-14"/>
        </w:rPr>
        <w:t xml:space="preserve"> </w:t>
      </w:r>
      <w:r>
        <w:t>and</w:t>
      </w:r>
      <w:r>
        <w:rPr>
          <w:spacing w:val="-11"/>
        </w:rPr>
        <w:t xml:space="preserve"> </w:t>
      </w:r>
      <w:r>
        <w:t>emergency</w:t>
      </w:r>
      <w:r>
        <w:rPr>
          <w:spacing w:val="-14"/>
        </w:rPr>
        <w:t xml:space="preserve"> </w:t>
      </w:r>
      <w:r>
        <w:t>accommodation. In</w:t>
      </w:r>
      <w:r>
        <w:rPr>
          <w:spacing w:val="-14"/>
        </w:rPr>
        <w:t xml:space="preserve"> </w:t>
      </w:r>
      <w:r>
        <w:t>turn,</w:t>
      </w:r>
      <w:r>
        <w:rPr>
          <w:spacing w:val="-14"/>
        </w:rPr>
        <w:t xml:space="preserve"> </w:t>
      </w:r>
      <w:r>
        <w:t>this</w:t>
      </w:r>
      <w:r>
        <w:rPr>
          <w:spacing w:val="-14"/>
        </w:rPr>
        <w:t xml:space="preserve"> </w:t>
      </w:r>
      <w:r>
        <w:t>increases</w:t>
      </w:r>
      <w:r>
        <w:rPr>
          <w:spacing w:val="-13"/>
        </w:rPr>
        <w:t xml:space="preserve"> </w:t>
      </w:r>
      <w:r>
        <w:t>the</w:t>
      </w:r>
      <w:r>
        <w:rPr>
          <w:spacing w:val="-14"/>
        </w:rPr>
        <w:t xml:space="preserve"> </w:t>
      </w:r>
      <w:r>
        <w:t>risk</w:t>
      </w:r>
      <w:r>
        <w:rPr>
          <w:spacing w:val="-14"/>
        </w:rPr>
        <w:t xml:space="preserve"> </w:t>
      </w:r>
      <w:r>
        <w:t>of</w:t>
      </w:r>
      <w:r>
        <w:rPr>
          <w:spacing w:val="-14"/>
        </w:rPr>
        <w:t xml:space="preserve"> </w:t>
      </w:r>
      <w:r>
        <w:t>admission</w:t>
      </w:r>
      <w:r>
        <w:rPr>
          <w:spacing w:val="-13"/>
        </w:rPr>
        <w:t xml:space="preserve"> </w:t>
      </w:r>
      <w:r>
        <w:t>to</w:t>
      </w:r>
      <w:r>
        <w:rPr>
          <w:spacing w:val="-14"/>
        </w:rPr>
        <w:t xml:space="preserve"> </w:t>
      </w:r>
      <w:r>
        <w:t>the</w:t>
      </w:r>
      <w:r>
        <w:rPr>
          <w:spacing w:val="-14"/>
        </w:rPr>
        <w:t xml:space="preserve"> </w:t>
      </w:r>
      <w:r>
        <w:t>mental</w:t>
      </w:r>
      <w:r>
        <w:rPr>
          <w:spacing w:val="-14"/>
        </w:rPr>
        <w:t xml:space="preserve"> </w:t>
      </w:r>
      <w:r>
        <w:t>health</w:t>
      </w:r>
      <w:r>
        <w:rPr>
          <w:spacing w:val="-13"/>
        </w:rPr>
        <w:t xml:space="preserve"> </w:t>
      </w:r>
      <w:r>
        <w:t>care</w:t>
      </w:r>
      <w:r>
        <w:rPr>
          <w:spacing w:val="-14"/>
        </w:rPr>
        <w:t xml:space="preserve"> </w:t>
      </w:r>
      <w:r>
        <w:t>system</w:t>
      </w:r>
      <w:r>
        <w:rPr>
          <w:spacing w:val="-14"/>
        </w:rPr>
        <w:t xml:space="preserve"> </w:t>
      </w:r>
      <w:r>
        <w:t>or</w:t>
      </w:r>
      <w:r>
        <w:rPr>
          <w:spacing w:val="-14"/>
        </w:rPr>
        <w:t xml:space="preserve"> </w:t>
      </w:r>
      <w:r>
        <w:t>corrective services, and for children in those tenants’ care, the child protection system.</w:t>
      </w:r>
      <w:r>
        <w:rPr>
          <w:vertAlign w:val="superscript"/>
        </w:rPr>
        <w:t>234</w:t>
      </w:r>
    </w:p>
    <w:p w14:paraId="7CB25F46" w14:textId="77777777" w:rsidR="008A4099" w:rsidRDefault="006A6EE2">
      <w:pPr>
        <w:pStyle w:val="ListParagraph"/>
        <w:numPr>
          <w:ilvl w:val="2"/>
          <w:numId w:val="6"/>
        </w:numPr>
        <w:tabs>
          <w:tab w:val="left" w:pos="879"/>
        </w:tabs>
        <w:spacing w:before="241" w:line="242" w:lineRule="auto"/>
        <w:ind w:right="674" w:firstLine="0"/>
        <w:jc w:val="both"/>
      </w:pPr>
      <w:r>
        <w:t xml:space="preserve">In Victoria, under the framework of a human rights enactment, legislation has been passed reflecting an engagement with human rights as applicable to rental accommodation. The </w:t>
      </w:r>
      <w:r>
        <w:rPr>
          <w:i/>
        </w:rPr>
        <w:t xml:space="preserve">Residential Tenancies Amendment Act 2018 </w:t>
      </w:r>
      <w:r>
        <w:t>(Vic) was introduced following community consultation around housing quality, security, affordability, the rights and responsibility of renters and landlords, and accessible</w:t>
      </w:r>
      <w:r>
        <w:rPr>
          <w:spacing w:val="-10"/>
        </w:rPr>
        <w:t xml:space="preserve"> </w:t>
      </w:r>
      <w:r>
        <w:t>and</w:t>
      </w:r>
      <w:r>
        <w:rPr>
          <w:spacing w:val="-8"/>
        </w:rPr>
        <w:t xml:space="preserve"> </w:t>
      </w:r>
      <w:r>
        <w:t>effective</w:t>
      </w:r>
      <w:r>
        <w:rPr>
          <w:spacing w:val="-8"/>
        </w:rPr>
        <w:t xml:space="preserve"> </w:t>
      </w:r>
      <w:r>
        <w:t>options</w:t>
      </w:r>
      <w:r>
        <w:rPr>
          <w:spacing w:val="-10"/>
        </w:rPr>
        <w:t xml:space="preserve"> </w:t>
      </w:r>
      <w:r>
        <w:t>for</w:t>
      </w:r>
      <w:r>
        <w:rPr>
          <w:spacing w:val="-10"/>
        </w:rPr>
        <w:t xml:space="preserve"> </w:t>
      </w:r>
      <w:r>
        <w:t>dispute</w:t>
      </w:r>
      <w:r>
        <w:rPr>
          <w:spacing w:val="-8"/>
        </w:rPr>
        <w:t xml:space="preserve"> </w:t>
      </w:r>
      <w:r>
        <w:t>resolution.</w:t>
      </w:r>
      <w:r>
        <w:rPr>
          <w:position w:val="7"/>
          <w:sz w:val="13"/>
        </w:rPr>
        <w:t>235</w:t>
      </w:r>
      <w:r>
        <w:rPr>
          <w:spacing w:val="14"/>
          <w:position w:val="7"/>
          <w:sz w:val="13"/>
        </w:rPr>
        <w:t xml:space="preserve"> </w:t>
      </w:r>
      <w:r>
        <w:t>The</w:t>
      </w:r>
      <w:r>
        <w:rPr>
          <w:spacing w:val="-8"/>
        </w:rPr>
        <w:t xml:space="preserve"> </w:t>
      </w:r>
      <w:r>
        <w:t>statement</w:t>
      </w:r>
      <w:r>
        <w:rPr>
          <w:spacing w:val="-7"/>
        </w:rPr>
        <w:t xml:space="preserve"> </w:t>
      </w:r>
      <w:r>
        <w:t>of</w:t>
      </w:r>
      <w:r>
        <w:rPr>
          <w:spacing w:val="-6"/>
        </w:rPr>
        <w:t xml:space="preserve"> </w:t>
      </w:r>
      <w:r>
        <w:t>compatibility</w:t>
      </w:r>
      <w:r>
        <w:rPr>
          <w:spacing w:val="-8"/>
        </w:rPr>
        <w:t xml:space="preserve"> </w:t>
      </w:r>
      <w:r>
        <w:t>accompanying the</w:t>
      </w:r>
      <w:r>
        <w:rPr>
          <w:spacing w:val="-6"/>
        </w:rPr>
        <w:t xml:space="preserve"> </w:t>
      </w:r>
      <w:r>
        <w:t>Bill</w:t>
      </w:r>
      <w:r>
        <w:rPr>
          <w:spacing w:val="-8"/>
        </w:rPr>
        <w:t xml:space="preserve"> </w:t>
      </w:r>
      <w:r>
        <w:t>enacted</w:t>
      </w:r>
      <w:r>
        <w:rPr>
          <w:spacing w:val="-8"/>
        </w:rPr>
        <w:t xml:space="preserve"> </w:t>
      </w:r>
      <w:r>
        <w:t>in</w:t>
      </w:r>
      <w:r>
        <w:rPr>
          <w:spacing w:val="-6"/>
        </w:rPr>
        <w:t xml:space="preserve"> </w:t>
      </w:r>
      <w:r>
        <w:t>this</w:t>
      </w:r>
      <w:r>
        <w:rPr>
          <w:spacing w:val="-5"/>
        </w:rPr>
        <w:t xml:space="preserve"> </w:t>
      </w:r>
      <w:r>
        <w:t>Act</w:t>
      </w:r>
      <w:r>
        <w:rPr>
          <w:spacing w:val="-8"/>
        </w:rPr>
        <w:t xml:space="preserve"> </w:t>
      </w:r>
      <w:r>
        <w:t>provided</w:t>
      </w:r>
      <w:r>
        <w:rPr>
          <w:spacing w:val="-6"/>
        </w:rPr>
        <w:t xml:space="preserve"> </w:t>
      </w:r>
      <w:r>
        <w:t>a</w:t>
      </w:r>
      <w:r>
        <w:rPr>
          <w:spacing w:val="-6"/>
        </w:rPr>
        <w:t xml:space="preserve"> </w:t>
      </w:r>
      <w:r>
        <w:t>detailed</w:t>
      </w:r>
      <w:r>
        <w:rPr>
          <w:spacing w:val="-6"/>
        </w:rPr>
        <w:t xml:space="preserve"> </w:t>
      </w:r>
      <w:r>
        <w:t>weighing</w:t>
      </w:r>
      <w:r>
        <w:rPr>
          <w:spacing w:val="-6"/>
        </w:rPr>
        <w:t xml:space="preserve"> </w:t>
      </w:r>
      <w:r>
        <w:t>of</w:t>
      </w:r>
      <w:r>
        <w:rPr>
          <w:spacing w:val="-5"/>
        </w:rPr>
        <w:t xml:space="preserve"> </w:t>
      </w:r>
      <w:r>
        <w:t>the</w:t>
      </w:r>
      <w:r>
        <w:rPr>
          <w:spacing w:val="-6"/>
        </w:rPr>
        <w:t xml:space="preserve"> </w:t>
      </w:r>
      <w:r>
        <w:t>rights</w:t>
      </w:r>
      <w:r>
        <w:rPr>
          <w:spacing w:val="-5"/>
        </w:rPr>
        <w:t xml:space="preserve"> </w:t>
      </w:r>
      <w:r>
        <w:t>of</w:t>
      </w:r>
      <w:r>
        <w:rPr>
          <w:spacing w:val="-8"/>
        </w:rPr>
        <w:t xml:space="preserve"> </w:t>
      </w:r>
      <w:r>
        <w:t>tenants</w:t>
      </w:r>
      <w:r>
        <w:rPr>
          <w:spacing w:val="-8"/>
        </w:rPr>
        <w:t xml:space="preserve"> </w:t>
      </w:r>
      <w:r>
        <w:t>to</w:t>
      </w:r>
      <w:r>
        <w:rPr>
          <w:spacing w:val="-9"/>
        </w:rPr>
        <w:t xml:space="preserve"> </w:t>
      </w:r>
      <w:r>
        <w:t>privacy,</w:t>
      </w:r>
      <w:r>
        <w:rPr>
          <w:spacing w:val="-6"/>
        </w:rPr>
        <w:t xml:space="preserve"> </w:t>
      </w:r>
      <w:r>
        <w:t>dignity,</w:t>
      </w:r>
      <w:r>
        <w:rPr>
          <w:spacing w:val="-9"/>
        </w:rPr>
        <w:t xml:space="preserve"> </w:t>
      </w:r>
      <w:r>
        <w:t>and family</w:t>
      </w:r>
      <w:r>
        <w:rPr>
          <w:spacing w:val="-12"/>
        </w:rPr>
        <w:t xml:space="preserve"> </w:t>
      </w:r>
      <w:r>
        <w:t>against</w:t>
      </w:r>
      <w:r>
        <w:rPr>
          <w:spacing w:val="-13"/>
        </w:rPr>
        <w:t xml:space="preserve"> </w:t>
      </w:r>
      <w:r>
        <w:t>the</w:t>
      </w:r>
      <w:r>
        <w:rPr>
          <w:spacing w:val="-14"/>
        </w:rPr>
        <w:t xml:space="preserve"> </w:t>
      </w:r>
      <w:r>
        <w:t>property</w:t>
      </w:r>
      <w:r>
        <w:rPr>
          <w:spacing w:val="-13"/>
        </w:rPr>
        <w:t xml:space="preserve"> </w:t>
      </w:r>
      <w:r>
        <w:t>rights</w:t>
      </w:r>
      <w:r>
        <w:rPr>
          <w:spacing w:val="-14"/>
        </w:rPr>
        <w:t xml:space="preserve"> </w:t>
      </w:r>
      <w:r>
        <w:t>of</w:t>
      </w:r>
      <w:r>
        <w:rPr>
          <w:spacing w:val="-12"/>
        </w:rPr>
        <w:t xml:space="preserve"> </w:t>
      </w:r>
      <w:r>
        <w:t>landlords,</w:t>
      </w:r>
      <w:r>
        <w:rPr>
          <w:spacing w:val="-11"/>
        </w:rPr>
        <w:t xml:space="preserve"> </w:t>
      </w:r>
      <w:r>
        <w:t>and</w:t>
      </w:r>
      <w:r>
        <w:rPr>
          <w:spacing w:val="-12"/>
        </w:rPr>
        <w:t xml:space="preserve"> </w:t>
      </w:r>
      <w:r>
        <w:t>an</w:t>
      </w:r>
      <w:r>
        <w:rPr>
          <w:spacing w:val="-12"/>
        </w:rPr>
        <w:t xml:space="preserve"> </w:t>
      </w:r>
      <w:r>
        <w:t>explanation</w:t>
      </w:r>
      <w:r>
        <w:rPr>
          <w:spacing w:val="-14"/>
        </w:rPr>
        <w:t xml:space="preserve"> </w:t>
      </w:r>
      <w:r>
        <w:t>for</w:t>
      </w:r>
      <w:r>
        <w:rPr>
          <w:spacing w:val="-13"/>
        </w:rPr>
        <w:t xml:space="preserve"> </w:t>
      </w:r>
      <w:r>
        <w:t>the</w:t>
      </w:r>
      <w:r>
        <w:rPr>
          <w:spacing w:val="-14"/>
        </w:rPr>
        <w:t xml:space="preserve"> </w:t>
      </w:r>
      <w:r>
        <w:t>balance</w:t>
      </w:r>
      <w:r>
        <w:rPr>
          <w:spacing w:val="-11"/>
        </w:rPr>
        <w:t xml:space="preserve"> </w:t>
      </w:r>
      <w:r>
        <w:t>achieved</w:t>
      </w:r>
      <w:r>
        <w:rPr>
          <w:spacing w:val="-14"/>
        </w:rPr>
        <w:t xml:space="preserve"> </w:t>
      </w:r>
      <w:r>
        <w:t>by</w:t>
      </w:r>
      <w:r>
        <w:rPr>
          <w:spacing w:val="-13"/>
        </w:rPr>
        <w:t xml:space="preserve"> </w:t>
      </w:r>
      <w:r>
        <w:t>the</w:t>
      </w:r>
      <w:r>
        <w:rPr>
          <w:spacing w:val="-14"/>
        </w:rPr>
        <w:t xml:space="preserve"> </w:t>
      </w:r>
      <w:r>
        <w:t>Fairer Rental Bill.</w:t>
      </w:r>
      <w:r>
        <w:rPr>
          <w:vertAlign w:val="superscript"/>
        </w:rPr>
        <w:t>236</w:t>
      </w:r>
    </w:p>
    <w:p w14:paraId="7CB25F47" w14:textId="77777777" w:rsidR="008A4099" w:rsidRDefault="006A6EE2">
      <w:pPr>
        <w:pStyle w:val="Heading4"/>
        <w:spacing w:before="234"/>
      </w:pPr>
      <w:bookmarkStart w:id="22" w:name="_TOC_250038"/>
      <w:r>
        <w:t>Religious</w:t>
      </w:r>
      <w:r>
        <w:rPr>
          <w:spacing w:val="-4"/>
        </w:rPr>
        <w:t xml:space="preserve"> </w:t>
      </w:r>
      <w:r>
        <w:t>freedom</w:t>
      </w:r>
      <w:r>
        <w:rPr>
          <w:spacing w:val="-3"/>
        </w:rPr>
        <w:t xml:space="preserve"> </w:t>
      </w:r>
      <w:r>
        <w:t>and</w:t>
      </w:r>
      <w:r>
        <w:rPr>
          <w:spacing w:val="-3"/>
        </w:rPr>
        <w:t xml:space="preserve"> </w:t>
      </w:r>
      <w:r>
        <w:t>freedom</w:t>
      </w:r>
      <w:r>
        <w:rPr>
          <w:spacing w:val="-3"/>
        </w:rPr>
        <w:t xml:space="preserve"> </w:t>
      </w:r>
      <w:r>
        <w:t>from</w:t>
      </w:r>
      <w:bookmarkEnd w:id="22"/>
      <w:r>
        <w:rPr>
          <w:spacing w:val="-2"/>
        </w:rPr>
        <w:t xml:space="preserve"> discrimination</w:t>
      </w:r>
    </w:p>
    <w:p w14:paraId="7CB25F48" w14:textId="77777777" w:rsidR="008A4099" w:rsidRDefault="006A6EE2">
      <w:pPr>
        <w:pStyle w:val="ListParagraph"/>
        <w:numPr>
          <w:ilvl w:val="2"/>
          <w:numId w:val="6"/>
        </w:numPr>
        <w:tabs>
          <w:tab w:val="left" w:pos="879"/>
        </w:tabs>
        <w:spacing w:before="262" w:line="244" w:lineRule="auto"/>
        <w:ind w:right="674" w:firstLine="0"/>
        <w:jc w:val="both"/>
      </w:pPr>
      <w:r>
        <w:t>Most Australian jurisdictions prohibit discrimination on the basis of religion in their anti- discrimination</w:t>
      </w:r>
      <w:r>
        <w:rPr>
          <w:spacing w:val="-2"/>
        </w:rPr>
        <w:t xml:space="preserve"> </w:t>
      </w:r>
      <w:r>
        <w:t>legislation.</w:t>
      </w:r>
      <w:r>
        <w:rPr>
          <w:vertAlign w:val="superscript"/>
        </w:rPr>
        <w:t>237</w:t>
      </w:r>
      <w:r>
        <w:t xml:space="preserve"> Discrimination laws in all Australian jurisdictions provide exceptions for religious bodies (including schools), permitting them to discriminate on the basis of religion in employing people or admitting people to their institutions, where the discrimination is reasonably necessary to conform to the doctrines, tenets, beliefs, and principles of the religion.</w:t>
      </w:r>
      <w:r>
        <w:rPr>
          <w:vertAlign w:val="superscript"/>
        </w:rPr>
        <w:t>238</w:t>
      </w:r>
      <w:r>
        <w:t xml:space="preserve"> The exemption of religious bodies from anti-discrimination laws has been an ongoing source of public controversy at both State and national levels. Most recently, controversy has centred on how</w:t>
      </w:r>
      <w:r>
        <w:rPr>
          <w:spacing w:val="40"/>
        </w:rPr>
        <w:t xml:space="preserve"> </w:t>
      </w:r>
      <w:r>
        <w:t>the apparent conflict between the right to religious freedom and the right to be free from discrimination has manifested around the right to freedom of speech and religious expression.</w:t>
      </w:r>
      <w:r>
        <w:rPr>
          <w:color w:val="212121"/>
          <w:vertAlign w:val="superscript"/>
        </w:rPr>
        <w:t>239</w:t>
      </w:r>
      <w:r>
        <w:rPr>
          <w:color w:val="212121"/>
        </w:rPr>
        <w:t xml:space="preserve"> In relation to freedom of religious expression,</w:t>
      </w:r>
      <w:r>
        <w:rPr>
          <w:color w:val="212121"/>
          <w:spacing w:val="-4"/>
        </w:rPr>
        <w:t xml:space="preserve"> </w:t>
      </w:r>
      <w:r>
        <w:rPr>
          <w:color w:val="212121"/>
        </w:rPr>
        <w:t>the</w:t>
      </w:r>
      <w:r>
        <w:rPr>
          <w:color w:val="212121"/>
          <w:spacing w:val="-3"/>
        </w:rPr>
        <w:t xml:space="preserve"> </w:t>
      </w:r>
      <w:r>
        <w:rPr>
          <w:color w:val="212121"/>
        </w:rPr>
        <w:t>focus</w:t>
      </w:r>
      <w:r>
        <w:rPr>
          <w:color w:val="212121"/>
          <w:spacing w:val="-1"/>
        </w:rPr>
        <w:t xml:space="preserve"> </w:t>
      </w:r>
      <w:r>
        <w:rPr>
          <w:color w:val="212121"/>
        </w:rPr>
        <w:t>has</w:t>
      </w:r>
      <w:r>
        <w:rPr>
          <w:color w:val="212121"/>
          <w:spacing w:val="-1"/>
        </w:rPr>
        <w:t xml:space="preserve"> </w:t>
      </w:r>
      <w:r>
        <w:rPr>
          <w:color w:val="212121"/>
        </w:rPr>
        <w:t>been</w:t>
      </w:r>
      <w:r>
        <w:rPr>
          <w:color w:val="212121"/>
          <w:spacing w:val="-1"/>
        </w:rPr>
        <w:t xml:space="preserve"> </w:t>
      </w:r>
      <w:r>
        <w:rPr>
          <w:color w:val="212121"/>
        </w:rPr>
        <w:t>broadly</w:t>
      </w:r>
      <w:r>
        <w:rPr>
          <w:color w:val="212121"/>
          <w:spacing w:val="-1"/>
        </w:rPr>
        <w:t xml:space="preserve"> </w:t>
      </w:r>
      <w:r>
        <w:rPr>
          <w:color w:val="212121"/>
        </w:rPr>
        <w:t>on</w:t>
      </w:r>
      <w:r>
        <w:rPr>
          <w:color w:val="212121"/>
          <w:spacing w:val="-4"/>
        </w:rPr>
        <w:t xml:space="preserve"> </w:t>
      </w:r>
      <w:r>
        <w:rPr>
          <w:color w:val="212121"/>
        </w:rPr>
        <w:t>the</w:t>
      </w:r>
      <w:r>
        <w:rPr>
          <w:color w:val="212121"/>
          <w:spacing w:val="-1"/>
        </w:rPr>
        <w:t xml:space="preserve"> </w:t>
      </w:r>
      <w:r>
        <w:rPr>
          <w:color w:val="212121"/>
        </w:rPr>
        <w:t>rights</w:t>
      </w:r>
      <w:r>
        <w:rPr>
          <w:color w:val="212121"/>
          <w:spacing w:val="-1"/>
        </w:rPr>
        <w:t xml:space="preserve"> </w:t>
      </w:r>
      <w:r>
        <w:rPr>
          <w:color w:val="212121"/>
        </w:rPr>
        <w:t>of</w:t>
      </w:r>
      <w:r>
        <w:rPr>
          <w:color w:val="212121"/>
          <w:spacing w:val="-3"/>
        </w:rPr>
        <w:t xml:space="preserve"> </w:t>
      </w:r>
      <w:r>
        <w:rPr>
          <w:color w:val="212121"/>
        </w:rPr>
        <w:t>religious</w:t>
      </w:r>
      <w:r>
        <w:rPr>
          <w:color w:val="212121"/>
          <w:spacing w:val="-3"/>
        </w:rPr>
        <w:t xml:space="preserve"> </w:t>
      </w:r>
      <w:r>
        <w:rPr>
          <w:color w:val="212121"/>
        </w:rPr>
        <w:t>bodies</w:t>
      </w:r>
      <w:r>
        <w:rPr>
          <w:color w:val="212121"/>
          <w:spacing w:val="-3"/>
        </w:rPr>
        <w:t xml:space="preserve"> </w:t>
      </w:r>
      <w:r>
        <w:rPr>
          <w:color w:val="212121"/>
        </w:rPr>
        <w:t>to</w:t>
      </w:r>
      <w:r>
        <w:rPr>
          <w:color w:val="212121"/>
          <w:spacing w:val="-4"/>
        </w:rPr>
        <w:t xml:space="preserve"> </w:t>
      </w:r>
      <w:r>
        <w:rPr>
          <w:color w:val="212121"/>
        </w:rPr>
        <w:t>conduct</w:t>
      </w:r>
      <w:r>
        <w:rPr>
          <w:color w:val="212121"/>
          <w:spacing w:val="-2"/>
        </w:rPr>
        <w:t xml:space="preserve"> </w:t>
      </w:r>
      <w:r>
        <w:rPr>
          <w:color w:val="212121"/>
        </w:rPr>
        <w:t>their</w:t>
      </w:r>
      <w:r>
        <w:rPr>
          <w:color w:val="212121"/>
          <w:spacing w:val="-3"/>
        </w:rPr>
        <w:t xml:space="preserve"> </w:t>
      </w:r>
      <w:r>
        <w:rPr>
          <w:color w:val="212121"/>
        </w:rPr>
        <w:t>affairs</w:t>
      </w:r>
      <w:r>
        <w:rPr>
          <w:color w:val="212121"/>
          <w:spacing w:val="-3"/>
        </w:rPr>
        <w:t xml:space="preserve"> </w:t>
      </w:r>
      <w:r>
        <w:rPr>
          <w:color w:val="212121"/>
        </w:rPr>
        <w:t>in</w:t>
      </w:r>
      <w:r>
        <w:rPr>
          <w:color w:val="212121"/>
          <w:spacing w:val="-1"/>
        </w:rPr>
        <w:t xml:space="preserve"> </w:t>
      </w:r>
      <w:r>
        <w:rPr>
          <w:color w:val="212121"/>
        </w:rPr>
        <w:t>ways that would normally be regarded as discriminatory but which, they argue, enable them to act freely in accordance</w:t>
      </w:r>
      <w:r>
        <w:rPr>
          <w:color w:val="212121"/>
          <w:spacing w:val="-7"/>
        </w:rPr>
        <w:t xml:space="preserve"> </w:t>
      </w:r>
      <w:r>
        <w:rPr>
          <w:color w:val="212121"/>
        </w:rPr>
        <w:t>with</w:t>
      </w:r>
      <w:r>
        <w:rPr>
          <w:color w:val="212121"/>
          <w:spacing w:val="-7"/>
        </w:rPr>
        <w:t xml:space="preserve"> </w:t>
      </w:r>
      <w:r>
        <w:rPr>
          <w:color w:val="212121"/>
        </w:rPr>
        <w:t>their</w:t>
      </w:r>
      <w:r>
        <w:rPr>
          <w:color w:val="212121"/>
          <w:spacing w:val="-9"/>
        </w:rPr>
        <w:t xml:space="preserve"> </w:t>
      </w:r>
      <w:r>
        <w:rPr>
          <w:color w:val="212121"/>
        </w:rPr>
        <w:t>fundamental</w:t>
      </w:r>
      <w:r>
        <w:rPr>
          <w:color w:val="212121"/>
          <w:spacing w:val="-6"/>
        </w:rPr>
        <w:t xml:space="preserve"> </w:t>
      </w:r>
      <w:r>
        <w:rPr>
          <w:color w:val="212121"/>
        </w:rPr>
        <w:t>tenets</w:t>
      </w:r>
      <w:r>
        <w:rPr>
          <w:color w:val="212121"/>
          <w:spacing w:val="-6"/>
        </w:rPr>
        <w:t xml:space="preserve"> </w:t>
      </w:r>
      <w:r>
        <w:rPr>
          <w:color w:val="212121"/>
        </w:rPr>
        <w:t>and</w:t>
      </w:r>
      <w:r>
        <w:rPr>
          <w:color w:val="212121"/>
          <w:spacing w:val="-7"/>
        </w:rPr>
        <w:t xml:space="preserve"> </w:t>
      </w:r>
      <w:r>
        <w:rPr>
          <w:color w:val="212121"/>
        </w:rPr>
        <w:t>beliefs.</w:t>
      </w:r>
      <w:r>
        <w:rPr>
          <w:color w:val="212121"/>
          <w:spacing w:val="-6"/>
        </w:rPr>
        <w:t xml:space="preserve"> </w:t>
      </w:r>
      <w:r>
        <w:rPr>
          <w:color w:val="212121"/>
        </w:rPr>
        <w:t>This</w:t>
      </w:r>
      <w:r>
        <w:rPr>
          <w:color w:val="212121"/>
          <w:spacing w:val="-6"/>
        </w:rPr>
        <w:t xml:space="preserve"> </w:t>
      </w:r>
      <w:r>
        <w:rPr>
          <w:color w:val="212121"/>
        </w:rPr>
        <w:t>aspect</w:t>
      </w:r>
      <w:r>
        <w:rPr>
          <w:color w:val="212121"/>
          <w:spacing w:val="-6"/>
        </w:rPr>
        <w:t xml:space="preserve"> </w:t>
      </w:r>
      <w:r>
        <w:rPr>
          <w:color w:val="212121"/>
        </w:rPr>
        <w:t>of</w:t>
      </w:r>
      <w:r>
        <w:rPr>
          <w:color w:val="212121"/>
          <w:spacing w:val="-9"/>
        </w:rPr>
        <w:t xml:space="preserve"> </w:t>
      </w:r>
      <w:r>
        <w:rPr>
          <w:color w:val="212121"/>
        </w:rPr>
        <w:t>the</w:t>
      </w:r>
      <w:r>
        <w:rPr>
          <w:color w:val="212121"/>
          <w:spacing w:val="-7"/>
        </w:rPr>
        <w:t xml:space="preserve"> </w:t>
      </w:r>
      <w:r>
        <w:rPr>
          <w:color w:val="212121"/>
        </w:rPr>
        <w:t>controversy</w:t>
      </w:r>
      <w:r>
        <w:rPr>
          <w:color w:val="212121"/>
          <w:spacing w:val="-7"/>
        </w:rPr>
        <w:t xml:space="preserve"> </w:t>
      </w:r>
      <w:r>
        <w:rPr>
          <w:color w:val="212121"/>
        </w:rPr>
        <w:t>arose</w:t>
      </w:r>
      <w:r>
        <w:rPr>
          <w:color w:val="212121"/>
          <w:spacing w:val="-7"/>
        </w:rPr>
        <w:t xml:space="preserve"> </w:t>
      </w:r>
      <w:r>
        <w:rPr>
          <w:color w:val="212121"/>
        </w:rPr>
        <w:t>most</w:t>
      </w:r>
      <w:r>
        <w:rPr>
          <w:color w:val="212121"/>
          <w:spacing w:val="-6"/>
        </w:rPr>
        <w:t xml:space="preserve"> </w:t>
      </w:r>
      <w:r>
        <w:rPr>
          <w:color w:val="212121"/>
        </w:rPr>
        <w:t>acutely in</w:t>
      </w:r>
      <w:r>
        <w:rPr>
          <w:color w:val="212121"/>
          <w:spacing w:val="19"/>
        </w:rPr>
        <w:t xml:space="preserve"> </w:t>
      </w:r>
      <w:r>
        <w:rPr>
          <w:color w:val="212121"/>
        </w:rPr>
        <w:t>relation</w:t>
      </w:r>
      <w:r>
        <w:rPr>
          <w:color w:val="212121"/>
          <w:spacing w:val="19"/>
        </w:rPr>
        <w:t xml:space="preserve"> </w:t>
      </w:r>
      <w:r>
        <w:rPr>
          <w:color w:val="212121"/>
        </w:rPr>
        <w:t>to</w:t>
      </w:r>
      <w:r>
        <w:rPr>
          <w:color w:val="212121"/>
          <w:spacing w:val="19"/>
        </w:rPr>
        <w:t xml:space="preserve"> </w:t>
      </w:r>
      <w:r>
        <w:rPr>
          <w:color w:val="212121"/>
        </w:rPr>
        <w:t>the</w:t>
      </w:r>
      <w:r>
        <w:rPr>
          <w:color w:val="212121"/>
          <w:spacing w:val="19"/>
        </w:rPr>
        <w:t xml:space="preserve"> </w:t>
      </w:r>
      <w:r>
        <w:rPr>
          <w:color w:val="212121"/>
        </w:rPr>
        <w:t>marriage</w:t>
      </w:r>
      <w:r>
        <w:rPr>
          <w:color w:val="212121"/>
          <w:spacing w:val="17"/>
        </w:rPr>
        <w:t xml:space="preserve"> </w:t>
      </w:r>
      <w:r>
        <w:rPr>
          <w:color w:val="212121"/>
        </w:rPr>
        <w:t>equality</w:t>
      </w:r>
      <w:r>
        <w:rPr>
          <w:color w:val="212121"/>
          <w:spacing w:val="19"/>
        </w:rPr>
        <w:t xml:space="preserve"> </w:t>
      </w:r>
      <w:r>
        <w:rPr>
          <w:color w:val="212121"/>
        </w:rPr>
        <w:t>debate</w:t>
      </w:r>
      <w:r>
        <w:rPr>
          <w:color w:val="212121"/>
          <w:spacing w:val="19"/>
        </w:rPr>
        <w:t xml:space="preserve"> </w:t>
      </w:r>
      <w:r>
        <w:rPr>
          <w:color w:val="212121"/>
        </w:rPr>
        <w:t>and</w:t>
      </w:r>
      <w:r>
        <w:rPr>
          <w:color w:val="212121"/>
          <w:spacing w:val="17"/>
        </w:rPr>
        <w:t xml:space="preserve"> </w:t>
      </w:r>
      <w:r>
        <w:rPr>
          <w:color w:val="212121"/>
        </w:rPr>
        <w:t>later</w:t>
      </w:r>
      <w:r>
        <w:rPr>
          <w:color w:val="212121"/>
          <w:spacing w:val="20"/>
        </w:rPr>
        <w:t xml:space="preserve"> </w:t>
      </w:r>
      <w:r>
        <w:rPr>
          <w:color w:val="212121"/>
        </w:rPr>
        <w:t>in</w:t>
      </w:r>
      <w:r>
        <w:rPr>
          <w:color w:val="212121"/>
          <w:spacing w:val="19"/>
        </w:rPr>
        <w:t xml:space="preserve"> </w:t>
      </w:r>
      <w:r>
        <w:rPr>
          <w:color w:val="212121"/>
        </w:rPr>
        <w:t>relation</w:t>
      </w:r>
      <w:r>
        <w:rPr>
          <w:color w:val="212121"/>
          <w:spacing w:val="17"/>
        </w:rPr>
        <w:t xml:space="preserve"> </w:t>
      </w:r>
      <w:r>
        <w:rPr>
          <w:color w:val="212121"/>
        </w:rPr>
        <w:t>to</w:t>
      </w:r>
      <w:r>
        <w:rPr>
          <w:color w:val="212121"/>
          <w:spacing w:val="17"/>
        </w:rPr>
        <w:t xml:space="preserve"> </w:t>
      </w:r>
      <w:r>
        <w:rPr>
          <w:color w:val="212121"/>
        </w:rPr>
        <w:t>the</w:t>
      </w:r>
      <w:r>
        <w:rPr>
          <w:color w:val="212121"/>
          <w:spacing w:val="19"/>
        </w:rPr>
        <w:t xml:space="preserve"> </w:t>
      </w:r>
      <w:r>
        <w:rPr>
          <w:color w:val="212121"/>
        </w:rPr>
        <w:t>Commonwealth</w:t>
      </w:r>
      <w:r>
        <w:rPr>
          <w:color w:val="212121"/>
          <w:spacing w:val="19"/>
        </w:rPr>
        <w:t xml:space="preserve"> </w:t>
      </w:r>
      <w:r>
        <w:rPr>
          <w:color w:val="212121"/>
        </w:rPr>
        <w:t>government’s</w:t>
      </w:r>
    </w:p>
    <w:p w14:paraId="7CB25F49" w14:textId="77777777" w:rsidR="008A4099" w:rsidRDefault="006A6EE2">
      <w:pPr>
        <w:pStyle w:val="BodyText"/>
        <w:spacing w:before="197"/>
        <w:rPr>
          <w:sz w:val="20"/>
        </w:rPr>
      </w:pPr>
      <w:r>
        <w:rPr>
          <w:noProof/>
        </w:rPr>
        <mc:AlternateContent>
          <mc:Choice Requires="wps">
            <w:drawing>
              <wp:anchor distT="0" distB="0" distL="0" distR="0" simplePos="0" relativeHeight="487606272" behindDoc="1" locked="0" layoutInCell="1" allowOverlap="1" wp14:anchorId="7CB26621" wp14:editId="7CB26622">
                <wp:simplePos x="0" y="0"/>
                <wp:positionH relativeFrom="page">
                  <wp:posOffset>914704</wp:posOffset>
                </wp:positionH>
                <wp:positionV relativeFrom="paragraph">
                  <wp:posOffset>286581</wp:posOffset>
                </wp:positionV>
                <wp:extent cx="1829435" cy="762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711965" id="Graphic 78" o:spid="_x0000_s1026" style="position:absolute;margin-left:1in;margin-top:22.55pt;width:144.05pt;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" path="m1829054,l,,,7620r1829054,l1829054,xe" fillcolor="black" stroked="f">
                <v:path arrowok="t"/>
                <w10:wrap type="topAndBottom" anchorx="page"/>
              </v:shape>
            </w:pict>
          </mc:Fallback>
        </mc:AlternateContent>
      </w:r>
    </w:p>
    <w:p w14:paraId="7CB25F4A" w14:textId="77777777" w:rsidR="008A4099" w:rsidRDefault="006A6EE2">
      <w:pPr>
        <w:spacing w:before="115" w:line="244" w:lineRule="auto"/>
        <w:ind w:left="160" w:right="682"/>
        <w:jc w:val="both"/>
        <w:rPr>
          <w:sz w:val="18"/>
        </w:rPr>
      </w:pPr>
      <w:r>
        <w:rPr>
          <w:sz w:val="18"/>
          <w:vertAlign w:val="superscript"/>
        </w:rPr>
        <w:t>234</w:t>
      </w:r>
      <w:r>
        <w:rPr>
          <w:sz w:val="18"/>
        </w:rPr>
        <w:t xml:space="preserve"> Advice provided by the Tenants’ Union of Tasmania. (Appendix C contains a list of all those who provided advice to the TLRI pursuant to requesting that the Institute prepare this Report.)</w:t>
      </w:r>
    </w:p>
    <w:p w14:paraId="7CB25F4B" w14:textId="77777777" w:rsidR="008A4099" w:rsidRDefault="006A6EE2">
      <w:pPr>
        <w:spacing w:before="14" w:line="244" w:lineRule="auto"/>
        <w:ind w:left="160" w:right="676"/>
        <w:jc w:val="both"/>
        <w:rPr>
          <w:sz w:val="18"/>
        </w:rPr>
      </w:pPr>
      <w:r>
        <w:rPr>
          <w:sz w:val="18"/>
          <w:vertAlign w:val="superscript"/>
        </w:rPr>
        <w:t>235</w:t>
      </w:r>
      <w:r>
        <w:rPr>
          <w:sz w:val="18"/>
        </w:rPr>
        <w:t xml:space="preserve"> State Government of Victoria, </w:t>
      </w:r>
      <w:r>
        <w:rPr>
          <w:i/>
          <w:sz w:val="18"/>
        </w:rPr>
        <w:t xml:space="preserve">Residential Tenancies Act Review: Laying the Groundwork </w:t>
      </w:r>
      <w:r>
        <w:rPr>
          <w:sz w:val="18"/>
        </w:rPr>
        <w:t xml:space="preserve">– </w:t>
      </w:r>
      <w:r>
        <w:rPr>
          <w:i/>
          <w:sz w:val="18"/>
        </w:rPr>
        <w:t xml:space="preserve">Consultation Paper </w:t>
      </w:r>
      <w:r>
        <w:rPr>
          <w:sz w:val="18"/>
        </w:rPr>
        <w:t>(Fairer Safer Housing, 2015) 2 &lt;https://engage.vic.gov.au/download/document/1839&gt;.</w:t>
      </w:r>
    </w:p>
    <w:p w14:paraId="7CB25F4C" w14:textId="77777777" w:rsidR="008A4099" w:rsidRDefault="006A6EE2">
      <w:pPr>
        <w:spacing w:before="15"/>
        <w:ind w:left="160"/>
        <w:jc w:val="both"/>
        <w:rPr>
          <w:sz w:val="18"/>
        </w:rPr>
      </w:pPr>
      <w:r>
        <w:rPr>
          <w:sz w:val="18"/>
          <w:vertAlign w:val="superscript"/>
        </w:rPr>
        <w:t>236</w:t>
      </w:r>
      <w:r>
        <w:rPr>
          <w:spacing w:val="52"/>
          <w:sz w:val="18"/>
        </w:rPr>
        <w:t xml:space="preserve"> </w:t>
      </w:r>
      <w:r>
        <w:rPr>
          <w:sz w:val="18"/>
        </w:rPr>
        <w:t>Minister</w:t>
      </w:r>
      <w:r>
        <w:rPr>
          <w:spacing w:val="52"/>
          <w:sz w:val="18"/>
        </w:rPr>
        <w:t xml:space="preserve"> </w:t>
      </w:r>
      <w:r>
        <w:rPr>
          <w:sz w:val="18"/>
        </w:rPr>
        <w:t>for</w:t>
      </w:r>
      <w:r>
        <w:rPr>
          <w:spacing w:val="50"/>
          <w:sz w:val="18"/>
        </w:rPr>
        <w:t xml:space="preserve"> </w:t>
      </w:r>
      <w:r>
        <w:rPr>
          <w:sz w:val="18"/>
        </w:rPr>
        <w:t>Consumer</w:t>
      </w:r>
      <w:r>
        <w:rPr>
          <w:spacing w:val="53"/>
          <w:sz w:val="18"/>
        </w:rPr>
        <w:t xml:space="preserve"> </w:t>
      </w:r>
      <w:r>
        <w:rPr>
          <w:sz w:val="18"/>
        </w:rPr>
        <w:t>Affairs,</w:t>
      </w:r>
      <w:r>
        <w:rPr>
          <w:spacing w:val="53"/>
          <w:sz w:val="18"/>
        </w:rPr>
        <w:t xml:space="preserve"> </w:t>
      </w:r>
      <w:r>
        <w:rPr>
          <w:sz w:val="18"/>
        </w:rPr>
        <w:t>Gaming</w:t>
      </w:r>
      <w:r>
        <w:rPr>
          <w:spacing w:val="53"/>
          <w:sz w:val="18"/>
        </w:rPr>
        <w:t xml:space="preserve"> </w:t>
      </w:r>
      <w:r>
        <w:rPr>
          <w:sz w:val="18"/>
        </w:rPr>
        <w:t>and</w:t>
      </w:r>
      <w:r>
        <w:rPr>
          <w:spacing w:val="54"/>
          <w:sz w:val="18"/>
        </w:rPr>
        <w:t xml:space="preserve"> </w:t>
      </w:r>
      <w:r>
        <w:rPr>
          <w:sz w:val="18"/>
        </w:rPr>
        <w:t>Liquor</w:t>
      </w:r>
      <w:r>
        <w:rPr>
          <w:spacing w:val="50"/>
          <w:sz w:val="18"/>
        </w:rPr>
        <w:t xml:space="preserve"> </w:t>
      </w:r>
      <w:r>
        <w:rPr>
          <w:sz w:val="18"/>
        </w:rPr>
        <w:t>Regulation,</w:t>
      </w:r>
      <w:r>
        <w:rPr>
          <w:spacing w:val="3"/>
          <w:sz w:val="18"/>
        </w:rPr>
        <w:t xml:space="preserve"> </w:t>
      </w:r>
      <w:r>
        <w:rPr>
          <w:sz w:val="18"/>
        </w:rPr>
        <w:t>Statement</w:t>
      </w:r>
      <w:r>
        <w:rPr>
          <w:spacing w:val="53"/>
          <w:sz w:val="18"/>
        </w:rPr>
        <w:t xml:space="preserve"> </w:t>
      </w:r>
      <w:r>
        <w:rPr>
          <w:sz w:val="18"/>
        </w:rPr>
        <w:t>of</w:t>
      </w:r>
      <w:r>
        <w:rPr>
          <w:spacing w:val="50"/>
          <w:sz w:val="18"/>
        </w:rPr>
        <w:t xml:space="preserve"> </w:t>
      </w:r>
      <w:r>
        <w:rPr>
          <w:sz w:val="18"/>
        </w:rPr>
        <w:t>Compatibility</w:t>
      </w:r>
      <w:r>
        <w:rPr>
          <w:spacing w:val="48"/>
          <w:sz w:val="18"/>
        </w:rPr>
        <w:t xml:space="preserve"> </w:t>
      </w:r>
      <w:r>
        <w:rPr>
          <w:sz w:val="18"/>
        </w:rPr>
        <w:t>with</w:t>
      </w:r>
      <w:r>
        <w:rPr>
          <w:spacing w:val="54"/>
          <w:sz w:val="18"/>
        </w:rPr>
        <w:t xml:space="preserve"> </w:t>
      </w:r>
      <w:r>
        <w:rPr>
          <w:sz w:val="18"/>
        </w:rPr>
        <w:t>Human</w:t>
      </w:r>
      <w:r>
        <w:rPr>
          <w:spacing w:val="52"/>
          <w:sz w:val="18"/>
        </w:rPr>
        <w:t xml:space="preserve"> </w:t>
      </w:r>
      <w:r>
        <w:rPr>
          <w:spacing w:val="-2"/>
          <w:sz w:val="18"/>
        </w:rPr>
        <w:t>Rights:</w:t>
      </w:r>
    </w:p>
    <w:p w14:paraId="7CB25F4D" w14:textId="77777777" w:rsidR="008A4099" w:rsidRDefault="006A6EE2">
      <w:pPr>
        <w:spacing w:before="4" w:line="207" w:lineRule="exact"/>
        <w:ind w:left="160"/>
        <w:jc w:val="both"/>
        <w:rPr>
          <w:sz w:val="18"/>
        </w:rPr>
      </w:pPr>
      <w:r>
        <w:rPr>
          <w:i/>
          <w:sz w:val="18"/>
        </w:rPr>
        <w:t>Residential</w:t>
      </w:r>
      <w:r>
        <w:rPr>
          <w:i/>
          <w:spacing w:val="6"/>
          <w:sz w:val="18"/>
        </w:rPr>
        <w:t xml:space="preserve"> </w:t>
      </w:r>
      <w:r>
        <w:rPr>
          <w:i/>
          <w:sz w:val="18"/>
        </w:rPr>
        <w:t>Tenancies</w:t>
      </w:r>
      <w:r>
        <w:rPr>
          <w:i/>
          <w:spacing w:val="8"/>
          <w:sz w:val="18"/>
        </w:rPr>
        <w:t xml:space="preserve"> </w:t>
      </w:r>
      <w:r>
        <w:rPr>
          <w:i/>
          <w:sz w:val="18"/>
        </w:rPr>
        <w:t>Amendment</w:t>
      </w:r>
      <w:r>
        <w:rPr>
          <w:i/>
          <w:spacing w:val="9"/>
          <w:sz w:val="18"/>
        </w:rPr>
        <w:t xml:space="preserve"> </w:t>
      </w:r>
      <w:r>
        <w:rPr>
          <w:i/>
          <w:sz w:val="18"/>
        </w:rPr>
        <w:t>Act</w:t>
      </w:r>
      <w:r>
        <w:rPr>
          <w:i/>
          <w:spacing w:val="8"/>
          <w:sz w:val="18"/>
        </w:rPr>
        <w:t xml:space="preserve"> </w:t>
      </w:r>
      <w:r>
        <w:rPr>
          <w:i/>
          <w:sz w:val="18"/>
        </w:rPr>
        <w:t>2018</w:t>
      </w:r>
      <w:r>
        <w:rPr>
          <w:i/>
          <w:spacing w:val="11"/>
          <w:sz w:val="18"/>
        </w:rPr>
        <w:t xml:space="preserve"> </w:t>
      </w:r>
      <w:r>
        <w:rPr>
          <w:sz w:val="18"/>
        </w:rPr>
        <w:t>(Vic),</w:t>
      </w:r>
      <w:r>
        <w:rPr>
          <w:spacing w:val="8"/>
          <w:sz w:val="18"/>
        </w:rPr>
        <w:t xml:space="preserve"> </w:t>
      </w:r>
      <w:r>
        <w:rPr>
          <w:sz w:val="18"/>
        </w:rPr>
        <w:t>tabled</w:t>
      </w:r>
      <w:r>
        <w:rPr>
          <w:spacing w:val="10"/>
          <w:sz w:val="18"/>
        </w:rPr>
        <w:t xml:space="preserve"> </w:t>
      </w:r>
      <w:r>
        <w:rPr>
          <w:sz w:val="18"/>
        </w:rPr>
        <w:t>9</w:t>
      </w:r>
      <w:r>
        <w:rPr>
          <w:spacing w:val="10"/>
          <w:sz w:val="18"/>
        </w:rPr>
        <w:t xml:space="preserve"> </w:t>
      </w:r>
      <w:r>
        <w:rPr>
          <w:sz w:val="18"/>
        </w:rPr>
        <w:t>August</w:t>
      </w:r>
      <w:r>
        <w:rPr>
          <w:spacing w:val="6"/>
          <w:sz w:val="18"/>
        </w:rPr>
        <w:t xml:space="preserve"> </w:t>
      </w:r>
      <w:r>
        <w:rPr>
          <w:sz w:val="18"/>
        </w:rPr>
        <w:t>2018.</w:t>
      </w:r>
      <w:r>
        <w:rPr>
          <w:spacing w:val="6"/>
          <w:sz w:val="18"/>
        </w:rPr>
        <w:t xml:space="preserve"> </w:t>
      </w:r>
      <w:r>
        <w:rPr>
          <w:sz w:val="18"/>
        </w:rPr>
        <w:t>Victoria,</w:t>
      </w:r>
      <w:r>
        <w:rPr>
          <w:spacing w:val="12"/>
          <w:sz w:val="18"/>
        </w:rPr>
        <w:t xml:space="preserve"> </w:t>
      </w:r>
      <w:r>
        <w:rPr>
          <w:i/>
          <w:sz w:val="18"/>
        </w:rPr>
        <w:t>Parliamentary</w:t>
      </w:r>
      <w:r>
        <w:rPr>
          <w:i/>
          <w:spacing w:val="8"/>
          <w:sz w:val="18"/>
        </w:rPr>
        <w:t xml:space="preserve"> </w:t>
      </w:r>
      <w:r>
        <w:rPr>
          <w:i/>
          <w:sz w:val="18"/>
        </w:rPr>
        <w:t>Debates</w:t>
      </w:r>
      <w:r>
        <w:rPr>
          <w:sz w:val="18"/>
        </w:rPr>
        <w:t>,</w:t>
      </w:r>
      <w:r>
        <w:rPr>
          <w:spacing w:val="8"/>
          <w:sz w:val="18"/>
        </w:rPr>
        <w:t xml:space="preserve"> </w:t>
      </w:r>
      <w:r>
        <w:rPr>
          <w:sz w:val="18"/>
        </w:rPr>
        <w:t>9</w:t>
      </w:r>
      <w:r>
        <w:rPr>
          <w:spacing w:val="10"/>
          <w:sz w:val="18"/>
        </w:rPr>
        <w:t xml:space="preserve"> </w:t>
      </w:r>
      <w:r>
        <w:rPr>
          <w:sz w:val="18"/>
        </w:rPr>
        <w:t>August</w:t>
      </w:r>
      <w:r>
        <w:rPr>
          <w:spacing w:val="8"/>
          <w:sz w:val="18"/>
        </w:rPr>
        <w:t xml:space="preserve"> </w:t>
      </w:r>
      <w:r>
        <w:rPr>
          <w:spacing w:val="-2"/>
          <w:sz w:val="18"/>
        </w:rPr>
        <w:t>2018,</w:t>
      </w:r>
    </w:p>
    <w:p w14:paraId="7CB25F4E" w14:textId="77777777" w:rsidR="008A4099" w:rsidRDefault="006A6EE2">
      <w:pPr>
        <w:spacing w:line="207" w:lineRule="exact"/>
        <w:ind w:left="160"/>
        <w:jc w:val="both"/>
        <w:rPr>
          <w:sz w:val="18"/>
        </w:rPr>
      </w:pPr>
      <w:r>
        <w:rPr>
          <w:sz w:val="18"/>
        </w:rPr>
        <w:t>2731</w:t>
      </w:r>
      <w:r>
        <w:rPr>
          <w:spacing w:val="-2"/>
          <w:sz w:val="18"/>
        </w:rPr>
        <w:t xml:space="preserve"> </w:t>
      </w:r>
      <w:r>
        <w:rPr>
          <w:sz w:val="18"/>
        </w:rPr>
        <w:t>(Marlene</w:t>
      </w:r>
      <w:r>
        <w:rPr>
          <w:spacing w:val="-2"/>
          <w:sz w:val="18"/>
        </w:rPr>
        <w:t xml:space="preserve"> Kairouz).</w:t>
      </w:r>
    </w:p>
    <w:p w14:paraId="7CB25F4F" w14:textId="77777777" w:rsidR="008A4099" w:rsidRDefault="006A6EE2">
      <w:pPr>
        <w:spacing w:before="19" w:line="242" w:lineRule="auto"/>
        <w:ind w:left="160" w:right="671"/>
        <w:jc w:val="both"/>
        <w:rPr>
          <w:sz w:val="18"/>
        </w:rPr>
      </w:pPr>
      <w:r>
        <w:rPr>
          <w:sz w:val="18"/>
          <w:vertAlign w:val="superscript"/>
        </w:rPr>
        <w:t>237</w:t>
      </w:r>
      <w:r>
        <w:rPr>
          <w:spacing w:val="-3"/>
          <w:sz w:val="18"/>
        </w:rPr>
        <w:t xml:space="preserve"> </w:t>
      </w:r>
      <w:r>
        <w:rPr>
          <w:i/>
          <w:sz w:val="18"/>
        </w:rPr>
        <w:t>Discrimination</w:t>
      </w:r>
      <w:r>
        <w:rPr>
          <w:i/>
          <w:spacing w:val="-2"/>
          <w:sz w:val="18"/>
        </w:rPr>
        <w:t xml:space="preserve"> </w:t>
      </w:r>
      <w:r>
        <w:rPr>
          <w:i/>
          <w:sz w:val="18"/>
        </w:rPr>
        <w:t>Act</w:t>
      </w:r>
      <w:r>
        <w:rPr>
          <w:i/>
          <w:spacing w:val="-3"/>
          <w:sz w:val="18"/>
        </w:rPr>
        <w:t xml:space="preserve"> </w:t>
      </w:r>
      <w:r>
        <w:rPr>
          <w:i/>
          <w:sz w:val="18"/>
        </w:rPr>
        <w:t>1991</w:t>
      </w:r>
      <w:r>
        <w:rPr>
          <w:i/>
          <w:spacing w:val="-1"/>
          <w:sz w:val="18"/>
        </w:rPr>
        <w:t xml:space="preserve"> </w:t>
      </w:r>
      <w:r>
        <w:rPr>
          <w:sz w:val="18"/>
        </w:rPr>
        <w:t>(ACT)</w:t>
      </w:r>
      <w:r>
        <w:rPr>
          <w:spacing w:val="-3"/>
          <w:sz w:val="18"/>
        </w:rPr>
        <w:t xml:space="preserve"> </w:t>
      </w:r>
      <w:r>
        <w:rPr>
          <w:sz w:val="18"/>
        </w:rPr>
        <w:t>ss</w:t>
      </w:r>
      <w:r>
        <w:rPr>
          <w:spacing w:val="-4"/>
          <w:sz w:val="18"/>
        </w:rPr>
        <w:t xml:space="preserve"> </w:t>
      </w:r>
      <w:r>
        <w:rPr>
          <w:sz w:val="18"/>
        </w:rPr>
        <w:t>7(t)</w:t>
      </w:r>
      <w:r>
        <w:rPr>
          <w:spacing w:val="-3"/>
          <w:sz w:val="18"/>
        </w:rPr>
        <w:t xml:space="preserve"> </w:t>
      </w:r>
      <w:r>
        <w:rPr>
          <w:sz w:val="18"/>
        </w:rPr>
        <w:t>&amp;</w:t>
      </w:r>
      <w:r>
        <w:rPr>
          <w:spacing w:val="-4"/>
          <w:sz w:val="18"/>
        </w:rPr>
        <w:t xml:space="preserve"> </w:t>
      </w:r>
      <w:r>
        <w:rPr>
          <w:sz w:val="18"/>
        </w:rPr>
        <w:t>Pt</w:t>
      </w:r>
      <w:r>
        <w:rPr>
          <w:spacing w:val="-3"/>
          <w:sz w:val="18"/>
        </w:rPr>
        <w:t xml:space="preserve"> </w:t>
      </w:r>
      <w:r>
        <w:rPr>
          <w:sz w:val="18"/>
        </w:rPr>
        <w:t>3;</w:t>
      </w:r>
      <w:r>
        <w:rPr>
          <w:spacing w:val="-2"/>
          <w:sz w:val="18"/>
        </w:rPr>
        <w:t xml:space="preserve"> </w:t>
      </w:r>
      <w:r>
        <w:rPr>
          <w:i/>
          <w:sz w:val="18"/>
        </w:rPr>
        <w:t>Anti-Discrimination</w:t>
      </w:r>
      <w:r>
        <w:rPr>
          <w:i/>
          <w:spacing w:val="-2"/>
          <w:sz w:val="18"/>
        </w:rPr>
        <w:t xml:space="preserve"> </w:t>
      </w:r>
      <w:r>
        <w:rPr>
          <w:i/>
          <w:sz w:val="18"/>
        </w:rPr>
        <w:t>Act</w:t>
      </w:r>
      <w:r>
        <w:rPr>
          <w:i/>
          <w:spacing w:val="-2"/>
          <w:sz w:val="18"/>
        </w:rPr>
        <w:t xml:space="preserve"> </w:t>
      </w:r>
      <w:r>
        <w:rPr>
          <w:sz w:val="18"/>
        </w:rPr>
        <w:t>(NT)</w:t>
      </w:r>
      <w:r>
        <w:rPr>
          <w:spacing w:val="-3"/>
          <w:sz w:val="18"/>
        </w:rPr>
        <w:t xml:space="preserve"> </w:t>
      </w:r>
      <w:r>
        <w:rPr>
          <w:sz w:val="18"/>
        </w:rPr>
        <w:t>s</w:t>
      </w:r>
      <w:r>
        <w:rPr>
          <w:spacing w:val="-4"/>
          <w:sz w:val="18"/>
        </w:rPr>
        <w:t xml:space="preserve"> </w:t>
      </w:r>
      <w:r>
        <w:rPr>
          <w:sz w:val="18"/>
        </w:rPr>
        <w:t>19(m);</w:t>
      </w:r>
      <w:r>
        <w:rPr>
          <w:spacing w:val="-3"/>
          <w:sz w:val="18"/>
        </w:rPr>
        <w:t xml:space="preserve"> </w:t>
      </w:r>
      <w:r>
        <w:rPr>
          <w:i/>
          <w:sz w:val="18"/>
        </w:rPr>
        <w:t>Anti-Discrimination</w:t>
      </w:r>
      <w:r>
        <w:rPr>
          <w:i/>
          <w:spacing w:val="-5"/>
          <w:sz w:val="18"/>
        </w:rPr>
        <w:t xml:space="preserve"> </w:t>
      </w:r>
      <w:r>
        <w:rPr>
          <w:i/>
          <w:sz w:val="18"/>
        </w:rPr>
        <w:t>Act</w:t>
      </w:r>
      <w:r>
        <w:rPr>
          <w:i/>
          <w:spacing w:val="-3"/>
          <w:sz w:val="18"/>
        </w:rPr>
        <w:t xml:space="preserve"> </w:t>
      </w:r>
      <w:r>
        <w:rPr>
          <w:i/>
          <w:sz w:val="18"/>
        </w:rPr>
        <w:t>1991</w:t>
      </w:r>
      <w:r>
        <w:rPr>
          <w:i/>
          <w:spacing w:val="-1"/>
          <w:sz w:val="18"/>
        </w:rPr>
        <w:t xml:space="preserve"> </w:t>
      </w:r>
      <w:r>
        <w:rPr>
          <w:sz w:val="18"/>
        </w:rPr>
        <w:t>(Qld) s</w:t>
      </w:r>
      <w:r>
        <w:rPr>
          <w:spacing w:val="-9"/>
          <w:sz w:val="18"/>
        </w:rPr>
        <w:t xml:space="preserve"> </w:t>
      </w:r>
      <w:r>
        <w:rPr>
          <w:sz w:val="18"/>
        </w:rPr>
        <w:t>7(i);</w:t>
      </w:r>
      <w:r>
        <w:rPr>
          <w:spacing w:val="-7"/>
          <w:sz w:val="18"/>
        </w:rPr>
        <w:t xml:space="preserve"> </w:t>
      </w:r>
      <w:r>
        <w:rPr>
          <w:i/>
          <w:sz w:val="18"/>
        </w:rPr>
        <w:t>Anti-Discrimination</w:t>
      </w:r>
      <w:r>
        <w:rPr>
          <w:i/>
          <w:spacing w:val="-7"/>
          <w:sz w:val="18"/>
        </w:rPr>
        <w:t xml:space="preserve"> </w:t>
      </w:r>
      <w:r>
        <w:rPr>
          <w:i/>
          <w:sz w:val="18"/>
        </w:rPr>
        <w:t>Act</w:t>
      </w:r>
      <w:r>
        <w:rPr>
          <w:i/>
          <w:spacing w:val="-10"/>
          <w:sz w:val="18"/>
        </w:rPr>
        <w:t xml:space="preserve"> </w:t>
      </w:r>
      <w:r>
        <w:rPr>
          <w:i/>
          <w:sz w:val="18"/>
        </w:rPr>
        <w:t>1998</w:t>
      </w:r>
      <w:r>
        <w:rPr>
          <w:i/>
          <w:spacing w:val="-5"/>
          <w:sz w:val="18"/>
        </w:rPr>
        <w:t xml:space="preserve"> </w:t>
      </w:r>
      <w:r>
        <w:rPr>
          <w:sz w:val="18"/>
        </w:rPr>
        <w:t>(Tas)</w:t>
      </w:r>
      <w:r>
        <w:rPr>
          <w:spacing w:val="-8"/>
          <w:sz w:val="18"/>
        </w:rPr>
        <w:t xml:space="preserve"> </w:t>
      </w:r>
      <w:r>
        <w:rPr>
          <w:sz w:val="18"/>
        </w:rPr>
        <w:t>s</w:t>
      </w:r>
      <w:r>
        <w:rPr>
          <w:spacing w:val="-9"/>
          <w:sz w:val="18"/>
        </w:rPr>
        <w:t xml:space="preserve"> </w:t>
      </w:r>
      <w:r>
        <w:rPr>
          <w:sz w:val="18"/>
        </w:rPr>
        <w:t>16(o)</w:t>
      </w:r>
      <w:r>
        <w:rPr>
          <w:spacing w:val="-8"/>
          <w:sz w:val="18"/>
        </w:rPr>
        <w:t xml:space="preserve"> </w:t>
      </w:r>
      <w:r>
        <w:rPr>
          <w:sz w:val="18"/>
        </w:rPr>
        <w:t>&amp;</w:t>
      </w:r>
      <w:r>
        <w:rPr>
          <w:spacing w:val="-9"/>
          <w:sz w:val="18"/>
        </w:rPr>
        <w:t xml:space="preserve"> </w:t>
      </w:r>
      <w:r>
        <w:rPr>
          <w:sz w:val="18"/>
        </w:rPr>
        <w:t>(p);</w:t>
      </w:r>
      <w:r>
        <w:rPr>
          <w:spacing w:val="-7"/>
          <w:sz w:val="18"/>
        </w:rPr>
        <w:t xml:space="preserve"> </w:t>
      </w:r>
      <w:r>
        <w:rPr>
          <w:i/>
          <w:sz w:val="18"/>
        </w:rPr>
        <w:t>Equal</w:t>
      </w:r>
      <w:r>
        <w:rPr>
          <w:i/>
          <w:spacing w:val="-8"/>
          <w:sz w:val="18"/>
        </w:rPr>
        <w:t xml:space="preserve"> </w:t>
      </w:r>
      <w:r>
        <w:rPr>
          <w:i/>
          <w:sz w:val="18"/>
        </w:rPr>
        <w:t>Opportunity</w:t>
      </w:r>
      <w:r>
        <w:rPr>
          <w:i/>
          <w:spacing w:val="-9"/>
          <w:sz w:val="18"/>
        </w:rPr>
        <w:t xml:space="preserve"> </w:t>
      </w:r>
      <w:r>
        <w:rPr>
          <w:i/>
          <w:sz w:val="18"/>
        </w:rPr>
        <w:t>Act</w:t>
      </w:r>
      <w:r>
        <w:rPr>
          <w:i/>
          <w:spacing w:val="-8"/>
          <w:sz w:val="18"/>
        </w:rPr>
        <w:t xml:space="preserve"> </w:t>
      </w:r>
      <w:r>
        <w:rPr>
          <w:i/>
          <w:sz w:val="18"/>
        </w:rPr>
        <w:t>1995</w:t>
      </w:r>
      <w:r>
        <w:rPr>
          <w:i/>
          <w:spacing w:val="-5"/>
          <w:sz w:val="18"/>
        </w:rPr>
        <w:t xml:space="preserve"> </w:t>
      </w:r>
      <w:r>
        <w:rPr>
          <w:sz w:val="18"/>
        </w:rPr>
        <w:t>(Vic)</w:t>
      </w:r>
      <w:r>
        <w:rPr>
          <w:spacing w:val="-8"/>
          <w:sz w:val="18"/>
        </w:rPr>
        <w:t xml:space="preserve"> </w:t>
      </w:r>
      <w:r>
        <w:rPr>
          <w:sz w:val="18"/>
        </w:rPr>
        <w:t>s</w:t>
      </w:r>
      <w:r>
        <w:rPr>
          <w:spacing w:val="-1"/>
          <w:sz w:val="18"/>
        </w:rPr>
        <w:t xml:space="preserve"> </w:t>
      </w:r>
      <w:r>
        <w:rPr>
          <w:sz w:val="18"/>
        </w:rPr>
        <w:t>6(n)</w:t>
      </w:r>
      <w:r>
        <w:rPr>
          <w:spacing w:val="-8"/>
          <w:sz w:val="18"/>
        </w:rPr>
        <w:t xml:space="preserve"> </w:t>
      </w:r>
      <w:r>
        <w:rPr>
          <w:sz w:val="18"/>
        </w:rPr>
        <w:t>&amp;</w:t>
      </w:r>
      <w:r>
        <w:rPr>
          <w:spacing w:val="-9"/>
          <w:sz w:val="18"/>
        </w:rPr>
        <w:t xml:space="preserve"> </w:t>
      </w:r>
      <w:r>
        <w:rPr>
          <w:sz w:val="18"/>
        </w:rPr>
        <w:t>Part</w:t>
      </w:r>
      <w:r>
        <w:rPr>
          <w:spacing w:val="-8"/>
          <w:sz w:val="18"/>
        </w:rPr>
        <w:t xml:space="preserve"> </w:t>
      </w:r>
      <w:r>
        <w:rPr>
          <w:sz w:val="18"/>
        </w:rPr>
        <w:t>4;</w:t>
      </w:r>
      <w:r>
        <w:rPr>
          <w:spacing w:val="-7"/>
          <w:sz w:val="18"/>
        </w:rPr>
        <w:t xml:space="preserve"> </w:t>
      </w:r>
      <w:r>
        <w:rPr>
          <w:i/>
          <w:sz w:val="18"/>
        </w:rPr>
        <w:t>Equal</w:t>
      </w:r>
      <w:r>
        <w:rPr>
          <w:i/>
          <w:spacing w:val="-8"/>
          <w:sz w:val="18"/>
        </w:rPr>
        <w:t xml:space="preserve"> </w:t>
      </w:r>
      <w:r>
        <w:rPr>
          <w:i/>
          <w:sz w:val="18"/>
        </w:rPr>
        <w:t xml:space="preserve">Opportunity Act 1984 </w:t>
      </w:r>
      <w:r>
        <w:rPr>
          <w:sz w:val="18"/>
        </w:rPr>
        <w:t>(WA) Pt IV. Commonwealth, New South Wales, and South Australian Anti-Discrimination legislation does not prohibit discrimination on the basis of religion, but does exclude religious bodies from the operation of aspects of anti- discrimination laws.</w:t>
      </w:r>
    </w:p>
    <w:p w14:paraId="7CB25F50" w14:textId="77777777" w:rsidR="008A4099" w:rsidRDefault="006A6EE2">
      <w:pPr>
        <w:spacing w:before="14"/>
        <w:ind w:left="160"/>
        <w:jc w:val="both"/>
        <w:rPr>
          <w:i/>
          <w:sz w:val="18"/>
        </w:rPr>
      </w:pPr>
      <w:r>
        <w:rPr>
          <w:sz w:val="18"/>
          <w:vertAlign w:val="superscript"/>
        </w:rPr>
        <w:t>238</w:t>
      </w:r>
      <w:r>
        <w:rPr>
          <w:spacing w:val="-1"/>
          <w:sz w:val="18"/>
        </w:rPr>
        <w:t xml:space="preserve"> </w:t>
      </w:r>
      <w:r>
        <w:rPr>
          <w:i/>
          <w:sz w:val="18"/>
        </w:rPr>
        <w:t>Sex</w:t>
      </w:r>
      <w:r>
        <w:rPr>
          <w:i/>
          <w:spacing w:val="-2"/>
          <w:sz w:val="18"/>
        </w:rPr>
        <w:t xml:space="preserve"> </w:t>
      </w:r>
      <w:r>
        <w:rPr>
          <w:i/>
          <w:sz w:val="18"/>
        </w:rPr>
        <w:t>Discrimination</w:t>
      </w:r>
      <w:r>
        <w:rPr>
          <w:i/>
          <w:spacing w:val="-2"/>
          <w:sz w:val="18"/>
        </w:rPr>
        <w:t xml:space="preserve"> </w:t>
      </w:r>
      <w:r>
        <w:rPr>
          <w:i/>
          <w:sz w:val="18"/>
        </w:rPr>
        <w:t>Act</w:t>
      </w:r>
      <w:r>
        <w:rPr>
          <w:i/>
          <w:spacing w:val="-2"/>
          <w:sz w:val="18"/>
        </w:rPr>
        <w:t xml:space="preserve"> </w:t>
      </w:r>
      <w:r>
        <w:rPr>
          <w:i/>
          <w:sz w:val="18"/>
        </w:rPr>
        <w:t>1984</w:t>
      </w:r>
      <w:r>
        <w:rPr>
          <w:i/>
          <w:spacing w:val="2"/>
          <w:sz w:val="18"/>
        </w:rPr>
        <w:t xml:space="preserve"> </w:t>
      </w:r>
      <w:r>
        <w:rPr>
          <w:sz w:val="18"/>
        </w:rPr>
        <w:t>(Cth)</w:t>
      </w:r>
      <w:r>
        <w:rPr>
          <w:spacing w:val="-1"/>
          <w:sz w:val="18"/>
        </w:rPr>
        <w:t xml:space="preserve"> </w:t>
      </w:r>
      <w:r>
        <w:rPr>
          <w:sz w:val="18"/>
        </w:rPr>
        <w:t>ss</w:t>
      </w:r>
      <w:r>
        <w:rPr>
          <w:spacing w:val="-1"/>
          <w:sz w:val="18"/>
        </w:rPr>
        <w:t xml:space="preserve"> </w:t>
      </w:r>
      <w:r>
        <w:rPr>
          <w:sz w:val="18"/>
        </w:rPr>
        <w:t>37,</w:t>
      </w:r>
      <w:r>
        <w:rPr>
          <w:spacing w:val="-3"/>
          <w:sz w:val="18"/>
        </w:rPr>
        <w:t xml:space="preserve"> </w:t>
      </w:r>
      <w:r>
        <w:rPr>
          <w:sz w:val="18"/>
        </w:rPr>
        <w:t xml:space="preserve">38; </w:t>
      </w:r>
      <w:r>
        <w:rPr>
          <w:i/>
          <w:sz w:val="18"/>
        </w:rPr>
        <w:t>Equal Opportunity</w:t>
      </w:r>
      <w:r>
        <w:rPr>
          <w:i/>
          <w:spacing w:val="-1"/>
          <w:sz w:val="18"/>
        </w:rPr>
        <w:t xml:space="preserve"> </w:t>
      </w:r>
      <w:r>
        <w:rPr>
          <w:i/>
          <w:sz w:val="18"/>
        </w:rPr>
        <w:t>Act</w:t>
      </w:r>
      <w:r>
        <w:rPr>
          <w:i/>
          <w:spacing w:val="-1"/>
          <w:sz w:val="18"/>
        </w:rPr>
        <w:t xml:space="preserve"> </w:t>
      </w:r>
      <w:r>
        <w:rPr>
          <w:i/>
          <w:sz w:val="18"/>
        </w:rPr>
        <w:t>2010</w:t>
      </w:r>
      <w:r>
        <w:rPr>
          <w:i/>
          <w:spacing w:val="1"/>
          <w:sz w:val="18"/>
        </w:rPr>
        <w:t xml:space="preserve"> </w:t>
      </w:r>
      <w:r>
        <w:rPr>
          <w:sz w:val="18"/>
        </w:rPr>
        <w:t>(Vic)</w:t>
      </w:r>
      <w:r>
        <w:rPr>
          <w:spacing w:val="-1"/>
          <w:sz w:val="18"/>
        </w:rPr>
        <w:t xml:space="preserve"> </w:t>
      </w:r>
      <w:r>
        <w:rPr>
          <w:sz w:val="18"/>
        </w:rPr>
        <w:t>ss</w:t>
      </w:r>
      <w:r>
        <w:rPr>
          <w:spacing w:val="-2"/>
          <w:sz w:val="18"/>
        </w:rPr>
        <w:t xml:space="preserve"> </w:t>
      </w:r>
      <w:r>
        <w:rPr>
          <w:sz w:val="18"/>
        </w:rPr>
        <w:t>81–83A;</w:t>
      </w:r>
      <w:r>
        <w:rPr>
          <w:spacing w:val="-1"/>
          <w:sz w:val="18"/>
        </w:rPr>
        <w:t xml:space="preserve"> </w:t>
      </w:r>
      <w:r>
        <w:rPr>
          <w:i/>
          <w:sz w:val="18"/>
        </w:rPr>
        <w:t>Anti-Discrimination</w:t>
      </w:r>
      <w:r>
        <w:rPr>
          <w:i/>
          <w:spacing w:val="1"/>
          <w:sz w:val="18"/>
        </w:rPr>
        <w:t xml:space="preserve"> </w:t>
      </w:r>
      <w:r>
        <w:rPr>
          <w:i/>
          <w:sz w:val="18"/>
        </w:rPr>
        <w:t>Act</w:t>
      </w:r>
      <w:r>
        <w:rPr>
          <w:i/>
          <w:spacing w:val="-3"/>
          <w:sz w:val="18"/>
        </w:rPr>
        <w:t xml:space="preserve"> </w:t>
      </w:r>
      <w:r>
        <w:rPr>
          <w:i/>
          <w:spacing w:val="-4"/>
          <w:sz w:val="18"/>
        </w:rPr>
        <w:t>1991</w:t>
      </w:r>
    </w:p>
    <w:p w14:paraId="7CB25F51" w14:textId="77777777" w:rsidR="008A4099" w:rsidRDefault="006A6EE2">
      <w:pPr>
        <w:spacing w:before="4" w:line="207" w:lineRule="exact"/>
        <w:ind w:left="160"/>
        <w:jc w:val="both"/>
        <w:rPr>
          <w:sz w:val="18"/>
        </w:rPr>
      </w:pPr>
      <w:r>
        <w:rPr>
          <w:sz w:val="18"/>
        </w:rPr>
        <w:t>(Qld)</w:t>
      </w:r>
      <w:r>
        <w:rPr>
          <w:spacing w:val="-6"/>
          <w:sz w:val="18"/>
        </w:rPr>
        <w:t xml:space="preserve"> </w:t>
      </w:r>
      <w:r>
        <w:rPr>
          <w:sz w:val="18"/>
        </w:rPr>
        <w:t>ss</w:t>
      </w:r>
      <w:r>
        <w:rPr>
          <w:spacing w:val="-6"/>
          <w:sz w:val="18"/>
        </w:rPr>
        <w:t xml:space="preserve"> </w:t>
      </w:r>
      <w:r>
        <w:rPr>
          <w:sz w:val="18"/>
        </w:rPr>
        <w:t>25,</w:t>
      </w:r>
      <w:r>
        <w:rPr>
          <w:spacing w:val="-8"/>
          <w:sz w:val="18"/>
        </w:rPr>
        <w:t xml:space="preserve"> </w:t>
      </w:r>
      <w:r>
        <w:rPr>
          <w:sz w:val="18"/>
        </w:rPr>
        <w:t>41,</w:t>
      </w:r>
      <w:r>
        <w:rPr>
          <w:spacing w:val="-4"/>
          <w:sz w:val="18"/>
        </w:rPr>
        <w:t xml:space="preserve"> </w:t>
      </w:r>
      <w:r>
        <w:rPr>
          <w:sz w:val="18"/>
        </w:rPr>
        <w:t>109;</w:t>
      </w:r>
      <w:r>
        <w:rPr>
          <w:spacing w:val="-4"/>
          <w:sz w:val="18"/>
        </w:rPr>
        <w:t xml:space="preserve"> </w:t>
      </w:r>
      <w:r>
        <w:rPr>
          <w:i/>
          <w:sz w:val="18"/>
        </w:rPr>
        <w:t>Equal</w:t>
      </w:r>
      <w:r>
        <w:rPr>
          <w:i/>
          <w:spacing w:val="-4"/>
          <w:sz w:val="18"/>
        </w:rPr>
        <w:t xml:space="preserve"> </w:t>
      </w:r>
      <w:r>
        <w:rPr>
          <w:i/>
          <w:sz w:val="18"/>
        </w:rPr>
        <w:t>Opportunity</w:t>
      </w:r>
      <w:r>
        <w:rPr>
          <w:i/>
          <w:spacing w:val="-6"/>
          <w:sz w:val="18"/>
        </w:rPr>
        <w:t xml:space="preserve"> </w:t>
      </w:r>
      <w:r>
        <w:rPr>
          <w:i/>
          <w:sz w:val="18"/>
        </w:rPr>
        <w:t>Act</w:t>
      </w:r>
      <w:r>
        <w:rPr>
          <w:i/>
          <w:spacing w:val="-7"/>
          <w:sz w:val="18"/>
        </w:rPr>
        <w:t xml:space="preserve"> </w:t>
      </w:r>
      <w:r>
        <w:rPr>
          <w:i/>
          <w:sz w:val="18"/>
        </w:rPr>
        <w:t>1984</w:t>
      </w:r>
      <w:r>
        <w:rPr>
          <w:i/>
          <w:spacing w:val="-2"/>
          <w:sz w:val="18"/>
        </w:rPr>
        <w:t xml:space="preserve"> </w:t>
      </w:r>
      <w:r>
        <w:rPr>
          <w:sz w:val="18"/>
        </w:rPr>
        <w:t>(SA)</w:t>
      </w:r>
      <w:r>
        <w:rPr>
          <w:spacing w:val="-5"/>
          <w:sz w:val="18"/>
        </w:rPr>
        <w:t xml:space="preserve"> </w:t>
      </w:r>
      <w:r>
        <w:rPr>
          <w:sz w:val="18"/>
        </w:rPr>
        <w:t>ss</w:t>
      </w:r>
      <w:r>
        <w:rPr>
          <w:spacing w:val="-7"/>
          <w:sz w:val="18"/>
        </w:rPr>
        <w:t xml:space="preserve"> </w:t>
      </w:r>
      <w:r>
        <w:rPr>
          <w:sz w:val="18"/>
        </w:rPr>
        <w:t>34,</w:t>
      </w:r>
      <w:r>
        <w:rPr>
          <w:spacing w:val="-7"/>
          <w:sz w:val="18"/>
        </w:rPr>
        <w:t xml:space="preserve"> </w:t>
      </w:r>
      <w:r>
        <w:rPr>
          <w:sz w:val="18"/>
        </w:rPr>
        <w:t>50;</w:t>
      </w:r>
      <w:r>
        <w:rPr>
          <w:spacing w:val="-4"/>
          <w:sz w:val="18"/>
        </w:rPr>
        <w:t xml:space="preserve"> </w:t>
      </w:r>
      <w:r>
        <w:rPr>
          <w:i/>
          <w:sz w:val="18"/>
        </w:rPr>
        <w:t>Discrimination</w:t>
      </w:r>
      <w:r>
        <w:rPr>
          <w:i/>
          <w:spacing w:val="-4"/>
          <w:sz w:val="18"/>
        </w:rPr>
        <w:t xml:space="preserve"> </w:t>
      </w:r>
      <w:r>
        <w:rPr>
          <w:i/>
          <w:sz w:val="18"/>
        </w:rPr>
        <w:t>Act</w:t>
      </w:r>
      <w:r>
        <w:rPr>
          <w:i/>
          <w:spacing w:val="-6"/>
          <w:sz w:val="18"/>
        </w:rPr>
        <w:t xml:space="preserve"> </w:t>
      </w:r>
      <w:r>
        <w:rPr>
          <w:i/>
          <w:sz w:val="18"/>
        </w:rPr>
        <w:t>1991</w:t>
      </w:r>
      <w:r>
        <w:rPr>
          <w:i/>
          <w:spacing w:val="-2"/>
          <w:sz w:val="18"/>
        </w:rPr>
        <w:t xml:space="preserve"> </w:t>
      </w:r>
      <w:r>
        <w:rPr>
          <w:sz w:val="18"/>
        </w:rPr>
        <w:t>(ACT)</w:t>
      </w:r>
      <w:r>
        <w:rPr>
          <w:spacing w:val="-6"/>
          <w:sz w:val="18"/>
        </w:rPr>
        <w:t xml:space="preserve"> </w:t>
      </w:r>
      <w:r>
        <w:rPr>
          <w:sz w:val="18"/>
        </w:rPr>
        <w:t>ss</w:t>
      </w:r>
      <w:r>
        <w:rPr>
          <w:spacing w:val="-6"/>
          <w:sz w:val="18"/>
        </w:rPr>
        <w:t xml:space="preserve"> </w:t>
      </w:r>
      <w:r>
        <w:rPr>
          <w:sz w:val="18"/>
        </w:rPr>
        <w:t>7,</w:t>
      </w:r>
      <w:r>
        <w:rPr>
          <w:spacing w:val="-5"/>
          <w:sz w:val="18"/>
        </w:rPr>
        <w:t xml:space="preserve"> </w:t>
      </w:r>
      <w:r>
        <w:rPr>
          <w:sz w:val="18"/>
        </w:rPr>
        <w:t>32(1)(a)-(d),</w:t>
      </w:r>
      <w:r>
        <w:rPr>
          <w:spacing w:val="-7"/>
          <w:sz w:val="18"/>
        </w:rPr>
        <w:t xml:space="preserve"> </w:t>
      </w:r>
      <w:r>
        <w:rPr>
          <w:sz w:val="18"/>
        </w:rPr>
        <w:t>32(2),</w:t>
      </w:r>
      <w:r>
        <w:rPr>
          <w:spacing w:val="-7"/>
          <w:sz w:val="18"/>
        </w:rPr>
        <w:t xml:space="preserve"> </w:t>
      </w:r>
      <w:r>
        <w:rPr>
          <w:spacing w:val="-5"/>
          <w:sz w:val="18"/>
        </w:rPr>
        <w:t>46;</w:t>
      </w:r>
    </w:p>
    <w:p w14:paraId="7CB25F52" w14:textId="77777777" w:rsidR="008A4099" w:rsidRDefault="006A6EE2">
      <w:pPr>
        <w:ind w:left="160" w:right="675"/>
        <w:jc w:val="both"/>
        <w:rPr>
          <w:sz w:val="18"/>
        </w:rPr>
      </w:pPr>
      <w:r>
        <w:rPr>
          <w:i/>
          <w:sz w:val="18"/>
        </w:rPr>
        <w:t xml:space="preserve">Equal Opportunity Act 1984 </w:t>
      </w:r>
      <w:r>
        <w:rPr>
          <w:sz w:val="18"/>
        </w:rPr>
        <w:t xml:space="preserve">(WA) ss 72, 73; </w:t>
      </w:r>
      <w:r>
        <w:rPr>
          <w:i/>
          <w:sz w:val="18"/>
        </w:rPr>
        <w:t xml:space="preserve">Anti-Discrimination Act </w:t>
      </w:r>
      <w:r>
        <w:rPr>
          <w:sz w:val="18"/>
        </w:rPr>
        <w:t>(NT) ss</w:t>
      </w:r>
      <w:r>
        <w:rPr>
          <w:spacing w:val="-1"/>
          <w:sz w:val="18"/>
        </w:rPr>
        <w:t xml:space="preserve"> </w:t>
      </w:r>
      <w:r>
        <w:rPr>
          <w:sz w:val="18"/>
        </w:rPr>
        <w:t xml:space="preserve">30(2), 37A, 51; </w:t>
      </w:r>
      <w:r>
        <w:rPr>
          <w:i/>
          <w:sz w:val="18"/>
        </w:rPr>
        <w:t xml:space="preserve">Anti-Discrimination Act 1977 </w:t>
      </w:r>
      <w:r>
        <w:rPr>
          <w:sz w:val="18"/>
        </w:rPr>
        <w:t xml:space="preserve">(NSW) s 56; </w:t>
      </w:r>
      <w:r>
        <w:rPr>
          <w:i/>
          <w:sz w:val="18"/>
        </w:rPr>
        <w:t xml:space="preserve">Anti-Discrimination Act 1998 </w:t>
      </w:r>
      <w:r>
        <w:rPr>
          <w:sz w:val="18"/>
        </w:rPr>
        <w:t xml:space="preserve">(Tas) ss 51 and 51A as amended by </w:t>
      </w:r>
      <w:r>
        <w:rPr>
          <w:i/>
          <w:sz w:val="18"/>
        </w:rPr>
        <w:t xml:space="preserve">Anti-Discrimination Amendment Act 2001 </w:t>
      </w:r>
      <w:r>
        <w:rPr>
          <w:sz w:val="18"/>
        </w:rPr>
        <w:t xml:space="preserve">(Tas) and </w:t>
      </w:r>
      <w:r>
        <w:rPr>
          <w:i/>
          <w:sz w:val="18"/>
        </w:rPr>
        <w:t xml:space="preserve">Anti-Discrimination Amendment Act 2015 </w:t>
      </w:r>
      <w:r>
        <w:rPr>
          <w:sz w:val="18"/>
        </w:rPr>
        <w:t>(Tas).</w:t>
      </w:r>
    </w:p>
    <w:p w14:paraId="7CB25F53" w14:textId="77777777" w:rsidR="008A4099" w:rsidRDefault="006A6EE2">
      <w:pPr>
        <w:spacing w:before="19"/>
        <w:ind w:left="160" w:right="675"/>
        <w:jc w:val="both"/>
        <w:rPr>
          <w:sz w:val="18"/>
        </w:rPr>
      </w:pPr>
      <w:r>
        <w:rPr>
          <w:sz w:val="18"/>
          <w:vertAlign w:val="superscript"/>
        </w:rPr>
        <w:t>239</w:t>
      </w:r>
      <w:r>
        <w:rPr>
          <w:sz w:val="18"/>
        </w:rPr>
        <w:t xml:space="preserve"> The apparent conflict of some rights may occasion scepticism about their value and utility and create the impression that rights interpretations are inherently unpredictable and erratic. For a detailed appraisal of these views, see Liz Campbell, Andrew</w:t>
      </w:r>
      <w:r>
        <w:rPr>
          <w:spacing w:val="-3"/>
          <w:sz w:val="18"/>
        </w:rPr>
        <w:t xml:space="preserve"> </w:t>
      </w:r>
      <w:r>
        <w:rPr>
          <w:sz w:val="18"/>
        </w:rPr>
        <w:t>Ashworth</w:t>
      </w:r>
      <w:r>
        <w:rPr>
          <w:spacing w:val="-4"/>
          <w:sz w:val="18"/>
        </w:rPr>
        <w:t xml:space="preserve"> </w:t>
      </w:r>
      <w:r>
        <w:rPr>
          <w:sz w:val="18"/>
        </w:rPr>
        <w:t>and</w:t>
      </w:r>
      <w:r>
        <w:rPr>
          <w:spacing w:val="-4"/>
          <w:sz w:val="18"/>
        </w:rPr>
        <w:t xml:space="preserve"> </w:t>
      </w:r>
      <w:r>
        <w:rPr>
          <w:sz w:val="18"/>
        </w:rPr>
        <w:t>Mike</w:t>
      </w:r>
      <w:r>
        <w:rPr>
          <w:spacing w:val="-4"/>
          <w:sz w:val="18"/>
        </w:rPr>
        <w:t xml:space="preserve"> </w:t>
      </w:r>
      <w:r>
        <w:rPr>
          <w:sz w:val="18"/>
        </w:rPr>
        <w:t xml:space="preserve">Redmayne, </w:t>
      </w:r>
      <w:r>
        <w:rPr>
          <w:i/>
          <w:sz w:val="18"/>
        </w:rPr>
        <w:t>The</w:t>
      </w:r>
      <w:r>
        <w:rPr>
          <w:i/>
          <w:spacing w:val="-4"/>
          <w:sz w:val="18"/>
        </w:rPr>
        <w:t xml:space="preserve"> </w:t>
      </w:r>
      <w:r>
        <w:rPr>
          <w:i/>
          <w:sz w:val="18"/>
        </w:rPr>
        <w:t>Criminal</w:t>
      </w:r>
      <w:r>
        <w:rPr>
          <w:i/>
          <w:spacing w:val="-5"/>
          <w:sz w:val="18"/>
        </w:rPr>
        <w:t xml:space="preserve"> </w:t>
      </w:r>
      <w:r>
        <w:rPr>
          <w:i/>
          <w:sz w:val="18"/>
        </w:rPr>
        <w:t>Process</w:t>
      </w:r>
      <w:r>
        <w:rPr>
          <w:i/>
          <w:spacing w:val="-3"/>
          <w:sz w:val="18"/>
        </w:rPr>
        <w:t xml:space="preserve"> </w:t>
      </w:r>
      <w:r>
        <w:rPr>
          <w:sz w:val="18"/>
        </w:rPr>
        <w:t>(Oxford</w:t>
      </w:r>
      <w:r>
        <w:rPr>
          <w:spacing w:val="-2"/>
          <w:sz w:val="18"/>
        </w:rPr>
        <w:t xml:space="preserve"> </w:t>
      </w:r>
      <w:r>
        <w:rPr>
          <w:sz w:val="18"/>
        </w:rPr>
        <w:t>University</w:t>
      </w:r>
      <w:r>
        <w:rPr>
          <w:spacing w:val="-4"/>
          <w:sz w:val="18"/>
        </w:rPr>
        <w:t xml:space="preserve"> </w:t>
      </w:r>
      <w:r>
        <w:rPr>
          <w:sz w:val="18"/>
        </w:rPr>
        <w:t>Press,</w:t>
      </w:r>
      <w:r>
        <w:rPr>
          <w:spacing w:val="-5"/>
          <w:sz w:val="18"/>
        </w:rPr>
        <w:t xml:space="preserve"> </w:t>
      </w:r>
      <w:r>
        <w:rPr>
          <w:sz w:val="18"/>
        </w:rPr>
        <w:t>5th</w:t>
      </w:r>
      <w:r>
        <w:rPr>
          <w:spacing w:val="-2"/>
          <w:sz w:val="18"/>
        </w:rPr>
        <w:t xml:space="preserve"> </w:t>
      </w:r>
      <w:r>
        <w:rPr>
          <w:sz w:val="18"/>
        </w:rPr>
        <w:t>ed,</w:t>
      </w:r>
      <w:r>
        <w:rPr>
          <w:spacing w:val="-5"/>
          <w:sz w:val="18"/>
        </w:rPr>
        <w:t xml:space="preserve"> </w:t>
      </w:r>
      <w:r>
        <w:rPr>
          <w:sz w:val="18"/>
        </w:rPr>
        <w:t>2019)</w:t>
      </w:r>
      <w:r>
        <w:rPr>
          <w:spacing w:val="-5"/>
          <w:sz w:val="18"/>
        </w:rPr>
        <w:t xml:space="preserve"> </w:t>
      </w:r>
      <w:r>
        <w:rPr>
          <w:sz w:val="18"/>
        </w:rPr>
        <w:t>37–39,</w:t>
      </w:r>
      <w:r>
        <w:rPr>
          <w:spacing w:val="-5"/>
          <w:sz w:val="18"/>
        </w:rPr>
        <w:t xml:space="preserve"> </w:t>
      </w:r>
      <w:r>
        <w:rPr>
          <w:sz w:val="18"/>
        </w:rPr>
        <w:t>46–49;</w:t>
      </w:r>
      <w:r>
        <w:rPr>
          <w:spacing w:val="-3"/>
          <w:sz w:val="18"/>
        </w:rPr>
        <w:t xml:space="preserve"> </w:t>
      </w:r>
      <w:r>
        <w:rPr>
          <w:sz w:val="18"/>
        </w:rPr>
        <w:t>Hilary Charlesworth</w:t>
      </w:r>
      <w:r>
        <w:rPr>
          <w:spacing w:val="-10"/>
          <w:sz w:val="18"/>
        </w:rPr>
        <w:t xml:space="preserve"> </w:t>
      </w:r>
      <w:r>
        <w:rPr>
          <w:sz w:val="18"/>
        </w:rPr>
        <w:t>et</w:t>
      </w:r>
      <w:r>
        <w:rPr>
          <w:spacing w:val="-11"/>
          <w:sz w:val="18"/>
        </w:rPr>
        <w:t xml:space="preserve"> </w:t>
      </w:r>
      <w:r>
        <w:rPr>
          <w:sz w:val="18"/>
        </w:rPr>
        <w:t>al,</w:t>
      </w:r>
      <w:r>
        <w:rPr>
          <w:spacing w:val="-9"/>
          <w:sz w:val="18"/>
        </w:rPr>
        <w:t xml:space="preserve"> </w:t>
      </w:r>
      <w:r>
        <w:rPr>
          <w:sz w:val="18"/>
        </w:rPr>
        <w:t>‘Deep</w:t>
      </w:r>
      <w:r>
        <w:rPr>
          <w:spacing w:val="-9"/>
          <w:sz w:val="18"/>
        </w:rPr>
        <w:t xml:space="preserve"> </w:t>
      </w:r>
      <w:r>
        <w:rPr>
          <w:sz w:val="18"/>
        </w:rPr>
        <w:t>Anxieties:</w:t>
      </w:r>
      <w:r>
        <w:rPr>
          <w:spacing w:val="-9"/>
          <w:sz w:val="18"/>
        </w:rPr>
        <w:t xml:space="preserve"> </w:t>
      </w:r>
      <w:r>
        <w:rPr>
          <w:sz w:val="18"/>
        </w:rPr>
        <w:t>Australia</w:t>
      </w:r>
      <w:r>
        <w:rPr>
          <w:spacing w:val="-10"/>
          <w:sz w:val="18"/>
        </w:rPr>
        <w:t xml:space="preserve"> </w:t>
      </w:r>
      <w:r>
        <w:rPr>
          <w:sz w:val="18"/>
        </w:rPr>
        <w:t>and</w:t>
      </w:r>
      <w:r>
        <w:rPr>
          <w:spacing w:val="-10"/>
          <w:sz w:val="18"/>
        </w:rPr>
        <w:t xml:space="preserve"> </w:t>
      </w:r>
      <w:r>
        <w:rPr>
          <w:sz w:val="18"/>
        </w:rPr>
        <w:t>the</w:t>
      </w:r>
      <w:r>
        <w:rPr>
          <w:spacing w:val="-12"/>
          <w:sz w:val="18"/>
        </w:rPr>
        <w:t xml:space="preserve"> </w:t>
      </w:r>
      <w:r>
        <w:rPr>
          <w:sz w:val="18"/>
        </w:rPr>
        <w:t>International</w:t>
      </w:r>
      <w:r>
        <w:rPr>
          <w:spacing w:val="-11"/>
          <w:sz w:val="18"/>
        </w:rPr>
        <w:t xml:space="preserve"> </w:t>
      </w:r>
      <w:r>
        <w:rPr>
          <w:sz w:val="18"/>
        </w:rPr>
        <w:t>Legal</w:t>
      </w:r>
      <w:r>
        <w:rPr>
          <w:spacing w:val="-9"/>
          <w:sz w:val="18"/>
        </w:rPr>
        <w:t xml:space="preserve"> </w:t>
      </w:r>
      <w:r>
        <w:rPr>
          <w:sz w:val="18"/>
        </w:rPr>
        <w:t>Order’</w:t>
      </w:r>
      <w:r>
        <w:rPr>
          <w:spacing w:val="-9"/>
          <w:sz w:val="18"/>
        </w:rPr>
        <w:t xml:space="preserve"> </w:t>
      </w:r>
      <w:r>
        <w:rPr>
          <w:sz w:val="18"/>
        </w:rPr>
        <w:t>(2003)</w:t>
      </w:r>
      <w:r>
        <w:rPr>
          <w:spacing w:val="-11"/>
          <w:sz w:val="18"/>
        </w:rPr>
        <w:t xml:space="preserve"> </w:t>
      </w:r>
      <w:r>
        <w:rPr>
          <w:sz w:val="18"/>
        </w:rPr>
        <w:t>25(4)</w:t>
      </w:r>
      <w:r>
        <w:rPr>
          <w:spacing w:val="-8"/>
          <w:sz w:val="18"/>
        </w:rPr>
        <w:t xml:space="preserve"> </w:t>
      </w:r>
      <w:r>
        <w:rPr>
          <w:i/>
          <w:sz w:val="18"/>
        </w:rPr>
        <w:t>Sydney</w:t>
      </w:r>
      <w:r>
        <w:rPr>
          <w:i/>
          <w:spacing w:val="-12"/>
          <w:sz w:val="18"/>
        </w:rPr>
        <w:t xml:space="preserve"> </w:t>
      </w:r>
      <w:r>
        <w:rPr>
          <w:i/>
          <w:sz w:val="18"/>
        </w:rPr>
        <w:t>Law</w:t>
      </w:r>
      <w:r>
        <w:rPr>
          <w:i/>
          <w:spacing w:val="-9"/>
          <w:sz w:val="18"/>
        </w:rPr>
        <w:t xml:space="preserve"> </w:t>
      </w:r>
      <w:r>
        <w:rPr>
          <w:i/>
          <w:sz w:val="18"/>
        </w:rPr>
        <w:t>Review</w:t>
      </w:r>
      <w:r>
        <w:rPr>
          <w:i/>
          <w:spacing w:val="-10"/>
          <w:sz w:val="18"/>
        </w:rPr>
        <w:t xml:space="preserve"> </w:t>
      </w:r>
      <w:r>
        <w:rPr>
          <w:sz w:val="18"/>
        </w:rPr>
        <w:t>423;</w:t>
      </w:r>
      <w:r>
        <w:rPr>
          <w:spacing w:val="-9"/>
          <w:sz w:val="18"/>
        </w:rPr>
        <w:t xml:space="preserve"> </w:t>
      </w:r>
      <w:r>
        <w:rPr>
          <w:sz w:val="18"/>
        </w:rPr>
        <w:t xml:space="preserve">Hilary Charlesworth, ‘International Law and Australian Law in the 21st Century’ (2002) 6(1) </w:t>
      </w:r>
      <w:r>
        <w:rPr>
          <w:i/>
          <w:sz w:val="18"/>
        </w:rPr>
        <w:t xml:space="preserve">Newcastle Law Review </w:t>
      </w:r>
      <w:r>
        <w:rPr>
          <w:sz w:val="18"/>
        </w:rPr>
        <w:t xml:space="preserve">1, 9; Jeremy Gans et al, </w:t>
      </w:r>
      <w:r>
        <w:rPr>
          <w:i/>
          <w:sz w:val="18"/>
        </w:rPr>
        <w:t>Criminal Process and Human Rights</w:t>
      </w:r>
      <w:r>
        <w:rPr>
          <w:sz w:val="18"/>
        </w:rPr>
        <w:t>, (Federation Press, 2011) 51–55.</w:t>
      </w:r>
    </w:p>
    <w:p w14:paraId="7CB25F54"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F55" w14:textId="77777777" w:rsidR="008A4099" w:rsidRDefault="008A4099">
      <w:pPr>
        <w:pStyle w:val="BodyText"/>
        <w:spacing w:before="194"/>
      </w:pPr>
    </w:p>
    <w:p w14:paraId="7CB25F56" w14:textId="77777777" w:rsidR="008A4099" w:rsidRDefault="006A6EE2">
      <w:pPr>
        <w:pStyle w:val="BodyText"/>
        <w:spacing w:line="259" w:lineRule="auto"/>
        <w:ind w:left="160" w:right="680"/>
      </w:pPr>
      <w:r>
        <w:rPr>
          <w:color w:val="212121"/>
        </w:rPr>
        <w:t>proposal to introduce new legal protections of religious freedom that would override or reform both</w:t>
      </w:r>
      <w:r>
        <w:rPr>
          <w:color w:val="212121"/>
          <w:spacing w:val="40"/>
        </w:rPr>
        <w:t xml:space="preserve"> </w:t>
      </w:r>
      <w:r>
        <w:rPr>
          <w:color w:val="212121"/>
        </w:rPr>
        <w:t>national and State anti-discrimination laws.</w:t>
      </w:r>
      <w:r>
        <w:rPr>
          <w:color w:val="212121"/>
          <w:vertAlign w:val="superscript"/>
        </w:rPr>
        <w:t>240</w:t>
      </w:r>
    </w:p>
    <w:p w14:paraId="7CB25F57" w14:textId="77777777" w:rsidR="008A4099" w:rsidRDefault="008A4099">
      <w:pPr>
        <w:pStyle w:val="BodyText"/>
      </w:pPr>
    </w:p>
    <w:p w14:paraId="7CB25F58" w14:textId="77777777" w:rsidR="008A4099" w:rsidRDefault="008A4099">
      <w:pPr>
        <w:pStyle w:val="BodyText"/>
        <w:spacing w:before="115"/>
      </w:pPr>
    </w:p>
    <w:p w14:paraId="7CB25F59" w14:textId="77777777" w:rsidR="008A4099" w:rsidRDefault="006A6EE2">
      <w:pPr>
        <w:pStyle w:val="Heading2"/>
        <w:numPr>
          <w:ilvl w:val="1"/>
          <w:numId w:val="6"/>
        </w:numPr>
        <w:tabs>
          <w:tab w:val="left" w:pos="880"/>
        </w:tabs>
        <w:ind w:right="866"/>
      </w:pPr>
      <w:bookmarkStart w:id="23" w:name="_TOC_250037"/>
      <w:r>
        <w:t>Key</w:t>
      </w:r>
      <w:r>
        <w:rPr>
          <w:spacing w:val="-5"/>
        </w:rPr>
        <w:t xml:space="preserve"> </w:t>
      </w:r>
      <w:r>
        <w:t>themes</w:t>
      </w:r>
      <w:r>
        <w:rPr>
          <w:spacing w:val="-3"/>
        </w:rPr>
        <w:t xml:space="preserve"> </w:t>
      </w:r>
      <w:r>
        <w:t>from</w:t>
      </w:r>
      <w:r>
        <w:rPr>
          <w:spacing w:val="-3"/>
        </w:rPr>
        <w:t xml:space="preserve"> </w:t>
      </w:r>
      <w:r>
        <w:t>the</w:t>
      </w:r>
      <w:r>
        <w:rPr>
          <w:spacing w:val="-7"/>
        </w:rPr>
        <w:t xml:space="preserve"> </w:t>
      </w:r>
      <w:r>
        <w:t>examination</w:t>
      </w:r>
      <w:r>
        <w:rPr>
          <w:spacing w:val="-6"/>
        </w:rPr>
        <w:t xml:space="preserve"> </w:t>
      </w:r>
      <w:r>
        <w:t>of</w:t>
      </w:r>
      <w:r>
        <w:rPr>
          <w:spacing w:val="-7"/>
        </w:rPr>
        <w:t xml:space="preserve"> </w:t>
      </w:r>
      <w:r>
        <w:t>selected</w:t>
      </w:r>
      <w:r>
        <w:rPr>
          <w:spacing w:val="-5"/>
        </w:rPr>
        <w:t xml:space="preserve"> </w:t>
      </w:r>
      <w:r>
        <w:t>experiences</w:t>
      </w:r>
      <w:r>
        <w:rPr>
          <w:spacing w:val="-6"/>
        </w:rPr>
        <w:t xml:space="preserve"> </w:t>
      </w:r>
      <w:bookmarkEnd w:id="23"/>
      <w:r>
        <w:t>in the Review Period</w:t>
      </w:r>
    </w:p>
    <w:p w14:paraId="7CB25F5A" w14:textId="77777777" w:rsidR="008A4099" w:rsidRDefault="006A6EE2">
      <w:pPr>
        <w:pStyle w:val="Heading4"/>
        <w:spacing w:before="238" w:line="276" w:lineRule="auto"/>
      </w:pPr>
      <w:bookmarkStart w:id="24" w:name="_TOC_250036"/>
      <w:r>
        <w:t>A</w:t>
      </w:r>
      <w:r>
        <w:rPr>
          <w:spacing w:val="-1"/>
        </w:rPr>
        <w:t xml:space="preserve"> </w:t>
      </w:r>
      <w:r>
        <w:t>human</w:t>
      </w:r>
      <w:r>
        <w:rPr>
          <w:spacing w:val="-2"/>
        </w:rPr>
        <w:t xml:space="preserve"> </w:t>
      </w:r>
      <w:r>
        <w:t>rights</w:t>
      </w:r>
      <w:r>
        <w:rPr>
          <w:spacing w:val="-2"/>
        </w:rPr>
        <w:t xml:space="preserve"> </w:t>
      </w:r>
      <w:r>
        <w:t>enactment</w:t>
      </w:r>
      <w:r>
        <w:rPr>
          <w:spacing w:val="-1"/>
        </w:rPr>
        <w:t xml:space="preserve"> </w:t>
      </w:r>
      <w:r>
        <w:t>can</w:t>
      </w:r>
      <w:r>
        <w:rPr>
          <w:spacing w:val="-4"/>
        </w:rPr>
        <w:t xml:space="preserve"> </w:t>
      </w:r>
      <w:r>
        <w:t>increase</w:t>
      </w:r>
      <w:r>
        <w:rPr>
          <w:spacing w:val="-3"/>
        </w:rPr>
        <w:t xml:space="preserve"> </w:t>
      </w:r>
      <w:r>
        <w:t>parliamentary</w:t>
      </w:r>
      <w:r>
        <w:rPr>
          <w:spacing w:val="-1"/>
        </w:rPr>
        <w:t xml:space="preserve"> </w:t>
      </w:r>
      <w:r>
        <w:t>scrutiny</w:t>
      </w:r>
      <w:r>
        <w:rPr>
          <w:spacing w:val="-3"/>
        </w:rPr>
        <w:t xml:space="preserve"> </w:t>
      </w:r>
      <w:r>
        <w:t>and</w:t>
      </w:r>
      <w:r>
        <w:rPr>
          <w:spacing w:val="-1"/>
        </w:rPr>
        <w:t xml:space="preserve"> </w:t>
      </w:r>
      <w:r>
        <w:t>transparency</w:t>
      </w:r>
      <w:r>
        <w:rPr>
          <w:spacing w:val="-3"/>
        </w:rPr>
        <w:t xml:space="preserve"> </w:t>
      </w:r>
      <w:r>
        <w:t>in</w:t>
      </w:r>
      <w:r>
        <w:rPr>
          <w:spacing w:val="-2"/>
        </w:rPr>
        <w:t xml:space="preserve"> </w:t>
      </w:r>
      <w:r>
        <w:t>relation</w:t>
      </w:r>
      <w:r>
        <w:rPr>
          <w:spacing w:val="-4"/>
        </w:rPr>
        <w:t xml:space="preserve"> </w:t>
      </w:r>
      <w:r>
        <w:t>to</w:t>
      </w:r>
      <w:bookmarkEnd w:id="24"/>
      <w:r>
        <w:t xml:space="preserve"> consideration of human rights factors</w:t>
      </w:r>
    </w:p>
    <w:p w14:paraId="7CB25F5B" w14:textId="77777777" w:rsidR="008A4099" w:rsidRDefault="006A6EE2">
      <w:pPr>
        <w:pStyle w:val="ListParagraph"/>
        <w:numPr>
          <w:ilvl w:val="2"/>
          <w:numId w:val="6"/>
        </w:numPr>
        <w:tabs>
          <w:tab w:val="left" w:pos="879"/>
        </w:tabs>
        <w:spacing w:before="223"/>
        <w:ind w:right="674" w:firstLine="0"/>
        <w:jc w:val="both"/>
      </w:pPr>
      <w:r>
        <w:t>Tasmania does not have a formal mechanism for the routine scrutiny of legislation or policy from a human rights perspective and there is no requirement for the preparation of statement of compatibility or like document.</w:t>
      </w:r>
      <w:r>
        <w:rPr>
          <w:position w:val="7"/>
          <w:sz w:val="13"/>
        </w:rPr>
        <w:t>241</w:t>
      </w:r>
      <w:r>
        <w:rPr>
          <w:spacing w:val="32"/>
          <w:position w:val="7"/>
          <w:sz w:val="13"/>
        </w:rPr>
        <w:t xml:space="preserve"> </w:t>
      </w:r>
      <w:r>
        <w:t xml:space="preserve">This does not mean that human rights considerations are not taken into account in Tasmania. Rather, the consideration of human rights issues is ad hoc and can be inconsistent. In the absence of human rights legislation, Bills introduced to the Tasmanian Parliament are not required to be accompanied by any assessment of their compatibility with human rights obligations. Select or sessional Parliamentary Committees can be convened to examine Bills with human rights implications, but the decision to establish an ad hoc inquiry is at the discretion of </w:t>
      </w:r>
      <w:r>
        <w:rPr>
          <w:spacing w:val="-2"/>
        </w:rPr>
        <w:t>Parliament.</w:t>
      </w:r>
    </w:p>
    <w:p w14:paraId="7CB25F5C" w14:textId="77777777" w:rsidR="008A4099" w:rsidRDefault="006A6EE2">
      <w:pPr>
        <w:pStyle w:val="ListParagraph"/>
        <w:numPr>
          <w:ilvl w:val="2"/>
          <w:numId w:val="6"/>
        </w:numPr>
        <w:tabs>
          <w:tab w:val="left" w:pos="879"/>
        </w:tabs>
        <w:spacing w:before="216"/>
        <w:ind w:right="675" w:firstLine="0"/>
        <w:jc w:val="both"/>
        <w:rPr>
          <w:sz w:val="13"/>
        </w:rPr>
      </w:pPr>
      <w:r>
        <w:t>In contrast, all subordinate legislation must be accompanied by a Regulatory Impact Statement</w:t>
      </w:r>
      <w:r>
        <w:rPr>
          <w:position w:val="7"/>
          <w:sz w:val="13"/>
        </w:rPr>
        <w:t>242</w:t>
      </w:r>
      <w:r>
        <w:rPr>
          <w:spacing w:val="40"/>
          <w:position w:val="7"/>
          <w:sz w:val="13"/>
        </w:rPr>
        <w:t xml:space="preserve"> </w:t>
      </w:r>
      <w:r>
        <w:t>(including an assessment of the costs and benefits of the proposed regulations and any alternatives, having regard</w:t>
      </w:r>
      <w:r>
        <w:rPr>
          <w:spacing w:val="-1"/>
        </w:rPr>
        <w:t xml:space="preserve"> </w:t>
      </w:r>
      <w:r>
        <w:t>to economic, social, and environmental impacts) and</w:t>
      </w:r>
      <w:r>
        <w:rPr>
          <w:spacing w:val="-1"/>
        </w:rPr>
        <w:t xml:space="preserve"> </w:t>
      </w:r>
      <w:r>
        <w:t>will be scrutinised by the</w:t>
      </w:r>
      <w:r>
        <w:rPr>
          <w:spacing w:val="-7"/>
        </w:rPr>
        <w:t xml:space="preserve"> </w:t>
      </w:r>
      <w:r>
        <w:t>Joint</w:t>
      </w:r>
      <w:r>
        <w:rPr>
          <w:spacing w:val="-6"/>
        </w:rPr>
        <w:t xml:space="preserve"> </w:t>
      </w:r>
      <w:r>
        <w:t>Standing</w:t>
      </w:r>
      <w:r>
        <w:rPr>
          <w:spacing w:val="-7"/>
        </w:rPr>
        <w:t xml:space="preserve"> </w:t>
      </w:r>
      <w:r>
        <w:t>Committee</w:t>
      </w:r>
      <w:r>
        <w:rPr>
          <w:spacing w:val="-7"/>
        </w:rPr>
        <w:t xml:space="preserve"> </w:t>
      </w:r>
      <w:r>
        <w:t>on</w:t>
      </w:r>
      <w:r>
        <w:rPr>
          <w:spacing w:val="-7"/>
        </w:rPr>
        <w:t xml:space="preserve"> </w:t>
      </w:r>
      <w:r>
        <w:t>Subordinate</w:t>
      </w:r>
      <w:r>
        <w:rPr>
          <w:spacing w:val="-7"/>
        </w:rPr>
        <w:t xml:space="preserve"> </w:t>
      </w:r>
      <w:r>
        <w:t>Legislation</w:t>
      </w:r>
      <w:r>
        <w:rPr>
          <w:spacing w:val="-7"/>
        </w:rPr>
        <w:t xml:space="preserve"> </w:t>
      </w:r>
      <w:r>
        <w:t>(‘JSCSL’).</w:t>
      </w:r>
      <w:r>
        <w:rPr>
          <w:position w:val="7"/>
          <w:sz w:val="13"/>
        </w:rPr>
        <w:t>243</w:t>
      </w:r>
      <w:r>
        <w:rPr>
          <w:spacing w:val="15"/>
          <w:position w:val="7"/>
          <w:sz w:val="13"/>
        </w:rPr>
        <w:t xml:space="preserve"> </w:t>
      </w:r>
      <w:r>
        <w:t>While</w:t>
      </w:r>
      <w:r>
        <w:rPr>
          <w:spacing w:val="-7"/>
        </w:rPr>
        <w:t xml:space="preserve"> </w:t>
      </w:r>
      <w:r>
        <w:t>not</w:t>
      </w:r>
      <w:r>
        <w:rPr>
          <w:spacing w:val="-6"/>
        </w:rPr>
        <w:t xml:space="preserve"> </w:t>
      </w:r>
      <w:r>
        <w:t>explicitly</w:t>
      </w:r>
      <w:r>
        <w:rPr>
          <w:spacing w:val="-10"/>
        </w:rPr>
        <w:t xml:space="preserve"> </w:t>
      </w:r>
      <w:r>
        <w:t>mandating the consideration of ‘human rights’, this assessment requirement invites consideration of the human rights</w:t>
      </w:r>
      <w:r>
        <w:rPr>
          <w:spacing w:val="-2"/>
        </w:rPr>
        <w:t xml:space="preserve"> </w:t>
      </w:r>
      <w:r>
        <w:t>implications</w:t>
      </w:r>
      <w:r>
        <w:rPr>
          <w:spacing w:val="-2"/>
        </w:rPr>
        <w:t xml:space="preserve"> </w:t>
      </w:r>
      <w:r>
        <w:t>of</w:t>
      </w:r>
      <w:r>
        <w:rPr>
          <w:spacing w:val="-1"/>
        </w:rPr>
        <w:t xml:space="preserve"> </w:t>
      </w:r>
      <w:r>
        <w:t>regulatory</w:t>
      </w:r>
      <w:r>
        <w:rPr>
          <w:spacing w:val="-2"/>
        </w:rPr>
        <w:t xml:space="preserve"> </w:t>
      </w:r>
      <w:r>
        <w:t>decisions. There</w:t>
      </w:r>
      <w:r>
        <w:rPr>
          <w:spacing w:val="-2"/>
        </w:rPr>
        <w:t xml:space="preserve"> </w:t>
      </w:r>
      <w:r>
        <w:t>are</w:t>
      </w:r>
      <w:r>
        <w:rPr>
          <w:spacing w:val="-2"/>
        </w:rPr>
        <w:t xml:space="preserve"> </w:t>
      </w:r>
      <w:r>
        <w:t>limitations</w:t>
      </w:r>
      <w:r>
        <w:rPr>
          <w:spacing w:val="-2"/>
        </w:rPr>
        <w:t xml:space="preserve"> </w:t>
      </w:r>
      <w:r>
        <w:t>in</w:t>
      </w:r>
      <w:r>
        <w:rPr>
          <w:spacing w:val="-2"/>
        </w:rPr>
        <w:t xml:space="preserve"> </w:t>
      </w:r>
      <w:r>
        <w:t>the</w:t>
      </w:r>
      <w:r>
        <w:rPr>
          <w:spacing w:val="-2"/>
        </w:rPr>
        <w:t xml:space="preserve"> </w:t>
      </w:r>
      <w:r>
        <w:t>function</w:t>
      </w:r>
      <w:r>
        <w:rPr>
          <w:spacing w:val="-2"/>
        </w:rPr>
        <w:t xml:space="preserve"> </w:t>
      </w:r>
      <w:r>
        <w:t>of</w:t>
      </w:r>
      <w:r>
        <w:rPr>
          <w:spacing w:val="-4"/>
        </w:rPr>
        <w:t xml:space="preserve"> </w:t>
      </w:r>
      <w:r>
        <w:t>the</w:t>
      </w:r>
      <w:r>
        <w:rPr>
          <w:spacing w:val="-2"/>
        </w:rPr>
        <w:t xml:space="preserve"> </w:t>
      </w:r>
      <w:r>
        <w:t>JSCS,</w:t>
      </w:r>
      <w:r>
        <w:rPr>
          <w:spacing w:val="-2"/>
        </w:rPr>
        <w:t xml:space="preserve"> </w:t>
      </w:r>
      <w:r>
        <w:t>however. In an evaluation of the JSCSL, Mackie and Hilkemeijer noted the Tasmanian Government’s view that the Committee’s</w:t>
      </w:r>
      <w:r>
        <w:rPr>
          <w:spacing w:val="-1"/>
        </w:rPr>
        <w:t xml:space="preserve"> </w:t>
      </w:r>
      <w:r>
        <w:t>role was</w:t>
      </w:r>
      <w:r>
        <w:rPr>
          <w:spacing w:val="-1"/>
        </w:rPr>
        <w:t xml:space="preserve"> </w:t>
      </w:r>
      <w:r>
        <w:t>limited</w:t>
      </w:r>
      <w:r>
        <w:rPr>
          <w:spacing w:val="-1"/>
        </w:rPr>
        <w:t xml:space="preserve"> </w:t>
      </w:r>
      <w:r>
        <w:t>to applying a</w:t>
      </w:r>
      <w:r>
        <w:rPr>
          <w:spacing w:val="-1"/>
        </w:rPr>
        <w:t xml:space="preserve"> </w:t>
      </w:r>
      <w:r>
        <w:t>‘technical’ lens, rather than engagement in substantive policy scrutiny having regard to human rights.</w:t>
      </w:r>
      <w:r>
        <w:rPr>
          <w:position w:val="7"/>
          <w:sz w:val="13"/>
        </w:rPr>
        <w:t>244</w:t>
      </w:r>
      <w:r>
        <w:rPr>
          <w:spacing w:val="37"/>
          <w:position w:val="7"/>
          <w:sz w:val="13"/>
        </w:rPr>
        <w:t xml:space="preserve"> </w:t>
      </w:r>
      <w:r>
        <w:t>Further, Mackie and Hilkemeijer, in examining the role</w:t>
      </w:r>
      <w:r>
        <w:rPr>
          <w:spacing w:val="-11"/>
        </w:rPr>
        <w:t xml:space="preserve"> </w:t>
      </w:r>
      <w:r>
        <w:t>of</w:t>
      </w:r>
      <w:r>
        <w:rPr>
          <w:spacing w:val="-10"/>
        </w:rPr>
        <w:t xml:space="preserve"> </w:t>
      </w:r>
      <w:r>
        <w:t>the</w:t>
      </w:r>
      <w:r>
        <w:rPr>
          <w:spacing w:val="-9"/>
        </w:rPr>
        <w:t xml:space="preserve"> </w:t>
      </w:r>
      <w:r>
        <w:t>JSCSL</w:t>
      </w:r>
      <w:r>
        <w:rPr>
          <w:spacing w:val="-12"/>
        </w:rPr>
        <w:t xml:space="preserve"> </w:t>
      </w:r>
      <w:r>
        <w:t>in</w:t>
      </w:r>
      <w:r>
        <w:rPr>
          <w:spacing w:val="-11"/>
        </w:rPr>
        <w:t xml:space="preserve"> </w:t>
      </w:r>
      <w:r>
        <w:t>scrutinising</w:t>
      </w:r>
      <w:r>
        <w:rPr>
          <w:spacing w:val="-10"/>
        </w:rPr>
        <w:t xml:space="preserve"> </w:t>
      </w:r>
      <w:r>
        <w:t>whether</w:t>
      </w:r>
      <w:r>
        <w:rPr>
          <w:spacing w:val="-10"/>
        </w:rPr>
        <w:t xml:space="preserve"> </w:t>
      </w:r>
      <w:r>
        <w:t>regulations</w:t>
      </w:r>
      <w:r>
        <w:rPr>
          <w:spacing w:val="-9"/>
        </w:rPr>
        <w:t xml:space="preserve"> </w:t>
      </w:r>
      <w:r>
        <w:t>unduly</w:t>
      </w:r>
      <w:r>
        <w:rPr>
          <w:spacing w:val="-11"/>
        </w:rPr>
        <w:t xml:space="preserve"> </w:t>
      </w:r>
      <w:r>
        <w:t>trespass</w:t>
      </w:r>
      <w:r>
        <w:rPr>
          <w:spacing w:val="-11"/>
        </w:rPr>
        <w:t xml:space="preserve"> </w:t>
      </w:r>
      <w:r>
        <w:t>on</w:t>
      </w:r>
      <w:r>
        <w:rPr>
          <w:spacing w:val="-11"/>
        </w:rPr>
        <w:t xml:space="preserve"> </w:t>
      </w:r>
      <w:r>
        <w:t>common</w:t>
      </w:r>
      <w:r>
        <w:rPr>
          <w:spacing w:val="-11"/>
        </w:rPr>
        <w:t xml:space="preserve"> </w:t>
      </w:r>
      <w:r>
        <w:t>law</w:t>
      </w:r>
      <w:r>
        <w:rPr>
          <w:spacing w:val="-10"/>
        </w:rPr>
        <w:t xml:space="preserve"> </w:t>
      </w:r>
      <w:r>
        <w:t>rights,</w:t>
      </w:r>
      <w:r>
        <w:rPr>
          <w:spacing w:val="-9"/>
        </w:rPr>
        <w:t xml:space="preserve"> </w:t>
      </w:r>
      <w:r>
        <w:t>concluded that the Committee did not ‘overtly engage with or articulate any common law rights issues’.</w:t>
      </w:r>
      <w:r>
        <w:rPr>
          <w:position w:val="7"/>
          <w:sz w:val="13"/>
        </w:rPr>
        <w:t>245</w:t>
      </w:r>
    </w:p>
    <w:p w14:paraId="7CB25F5D" w14:textId="77777777" w:rsidR="008A4099" w:rsidRDefault="006A6EE2">
      <w:pPr>
        <w:pStyle w:val="ListParagraph"/>
        <w:numPr>
          <w:ilvl w:val="2"/>
          <w:numId w:val="6"/>
        </w:numPr>
        <w:tabs>
          <w:tab w:val="left" w:pos="879"/>
        </w:tabs>
        <w:spacing w:before="218" w:line="237" w:lineRule="auto"/>
        <w:ind w:right="673" w:firstLine="0"/>
        <w:jc w:val="both"/>
      </w:pPr>
      <w:r>
        <w:t>For the purposes of this Research Paper, an additional period of 2019 to 2020 was examined. In this period, the JSCLS met 30 times, examined 63 instruments,</w:t>
      </w:r>
      <w:r>
        <w:rPr>
          <w:spacing w:val="-4"/>
        </w:rPr>
        <w:t xml:space="preserve"> </w:t>
      </w:r>
      <w:r>
        <w:t>and held public hearings in relation to three instruments.</w:t>
      </w:r>
      <w:r>
        <w:rPr>
          <w:position w:val="7"/>
          <w:sz w:val="13"/>
        </w:rPr>
        <w:t>246</w:t>
      </w:r>
      <w:r>
        <w:rPr>
          <w:spacing w:val="40"/>
          <w:position w:val="7"/>
          <w:sz w:val="13"/>
        </w:rPr>
        <w:t xml:space="preserve"> </w:t>
      </w:r>
      <w:r>
        <w:t>The significantly higher number of meetings was a response to new scrutiny obligations</w:t>
      </w:r>
      <w:r>
        <w:rPr>
          <w:spacing w:val="-10"/>
        </w:rPr>
        <w:t xml:space="preserve"> </w:t>
      </w:r>
      <w:r>
        <w:t>under</w:t>
      </w:r>
      <w:r>
        <w:rPr>
          <w:spacing w:val="-10"/>
        </w:rPr>
        <w:t xml:space="preserve"> </w:t>
      </w:r>
      <w:r>
        <w:t>the</w:t>
      </w:r>
      <w:r>
        <w:rPr>
          <w:spacing w:val="-9"/>
        </w:rPr>
        <w:t xml:space="preserve"> </w:t>
      </w:r>
      <w:r>
        <w:rPr>
          <w:i/>
        </w:rPr>
        <w:t>COVID-19</w:t>
      </w:r>
      <w:r>
        <w:rPr>
          <w:i/>
          <w:spacing w:val="-11"/>
        </w:rPr>
        <w:t xml:space="preserve"> </w:t>
      </w:r>
      <w:r>
        <w:rPr>
          <w:i/>
        </w:rPr>
        <w:t>Disease</w:t>
      </w:r>
      <w:r>
        <w:rPr>
          <w:i/>
          <w:spacing w:val="-10"/>
        </w:rPr>
        <w:t xml:space="preserve"> </w:t>
      </w:r>
      <w:r>
        <w:rPr>
          <w:i/>
        </w:rPr>
        <w:t>Emergency</w:t>
      </w:r>
      <w:r>
        <w:rPr>
          <w:i/>
          <w:spacing w:val="-10"/>
        </w:rPr>
        <w:t xml:space="preserve"> </w:t>
      </w:r>
      <w:r>
        <w:rPr>
          <w:i/>
        </w:rPr>
        <w:t>(Miscellaneous</w:t>
      </w:r>
      <w:r>
        <w:rPr>
          <w:i/>
          <w:spacing w:val="-10"/>
        </w:rPr>
        <w:t xml:space="preserve"> </w:t>
      </w:r>
      <w:r>
        <w:rPr>
          <w:i/>
        </w:rPr>
        <w:t>Provisions)</w:t>
      </w:r>
      <w:r>
        <w:rPr>
          <w:i/>
          <w:spacing w:val="-10"/>
        </w:rPr>
        <w:t xml:space="preserve"> </w:t>
      </w:r>
      <w:r>
        <w:rPr>
          <w:i/>
        </w:rPr>
        <w:t>Act</w:t>
      </w:r>
      <w:r>
        <w:rPr>
          <w:i/>
          <w:spacing w:val="-10"/>
        </w:rPr>
        <w:t xml:space="preserve"> </w:t>
      </w:r>
      <w:r>
        <w:rPr>
          <w:i/>
        </w:rPr>
        <w:t>2020</w:t>
      </w:r>
      <w:r>
        <w:rPr>
          <w:i/>
          <w:spacing w:val="-9"/>
        </w:rPr>
        <w:t xml:space="preserve"> </w:t>
      </w:r>
      <w:r>
        <w:t>(‘Tas</w:t>
      </w:r>
      <w:r>
        <w:rPr>
          <w:spacing w:val="-10"/>
        </w:rPr>
        <w:t xml:space="preserve"> </w:t>
      </w:r>
      <w:r>
        <w:t>Covid Act’)</w:t>
      </w:r>
      <w:r>
        <w:rPr>
          <w:spacing w:val="-5"/>
        </w:rPr>
        <w:t xml:space="preserve"> </w:t>
      </w:r>
      <w:r>
        <w:t>(see</w:t>
      </w:r>
      <w:r>
        <w:rPr>
          <w:spacing w:val="-8"/>
        </w:rPr>
        <w:t xml:space="preserve"> </w:t>
      </w:r>
      <w:r>
        <w:t>[3.2.13]).</w:t>
      </w:r>
      <w:r>
        <w:rPr>
          <w:spacing w:val="-6"/>
        </w:rPr>
        <w:t xml:space="preserve"> </w:t>
      </w:r>
      <w:r>
        <w:t>From</w:t>
      </w:r>
      <w:r>
        <w:rPr>
          <w:spacing w:val="-10"/>
        </w:rPr>
        <w:t xml:space="preserve"> </w:t>
      </w:r>
      <w:r>
        <w:t>April</w:t>
      </w:r>
      <w:r>
        <w:rPr>
          <w:spacing w:val="-7"/>
        </w:rPr>
        <w:t xml:space="preserve"> </w:t>
      </w:r>
      <w:r>
        <w:t>to</w:t>
      </w:r>
      <w:r>
        <w:rPr>
          <w:spacing w:val="-9"/>
        </w:rPr>
        <w:t xml:space="preserve"> </w:t>
      </w:r>
      <w:r>
        <w:t>June</w:t>
      </w:r>
      <w:r>
        <w:rPr>
          <w:spacing w:val="-6"/>
        </w:rPr>
        <w:t xml:space="preserve"> </w:t>
      </w:r>
      <w:r>
        <w:t>2020,</w:t>
      </w:r>
      <w:r>
        <w:rPr>
          <w:spacing w:val="-6"/>
        </w:rPr>
        <w:t xml:space="preserve"> </w:t>
      </w:r>
      <w:r>
        <w:t>the</w:t>
      </w:r>
      <w:r>
        <w:rPr>
          <w:spacing w:val="-8"/>
        </w:rPr>
        <w:t xml:space="preserve"> </w:t>
      </w:r>
      <w:r>
        <w:t>JSCSL</w:t>
      </w:r>
      <w:r>
        <w:rPr>
          <w:spacing w:val="-7"/>
        </w:rPr>
        <w:t xml:space="preserve"> </w:t>
      </w:r>
      <w:r>
        <w:t>met</w:t>
      </w:r>
      <w:r>
        <w:rPr>
          <w:spacing w:val="-8"/>
        </w:rPr>
        <w:t xml:space="preserve"> </w:t>
      </w:r>
      <w:r>
        <w:t>twice</w:t>
      </w:r>
      <w:r>
        <w:rPr>
          <w:spacing w:val="-6"/>
        </w:rPr>
        <w:t xml:space="preserve"> </w:t>
      </w:r>
      <w:r>
        <w:t>weekly,</w:t>
      </w:r>
      <w:r>
        <w:rPr>
          <w:spacing w:val="-9"/>
        </w:rPr>
        <w:t xml:space="preserve"> </w:t>
      </w:r>
      <w:r>
        <w:t>reviewed</w:t>
      </w:r>
      <w:r>
        <w:rPr>
          <w:spacing w:val="-6"/>
        </w:rPr>
        <w:t xml:space="preserve"> </w:t>
      </w:r>
      <w:r>
        <w:t>22</w:t>
      </w:r>
      <w:r>
        <w:rPr>
          <w:spacing w:val="-6"/>
        </w:rPr>
        <w:t xml:space="preserve"> </w:t>
      </w:r>
      <w:r>
        <w:t>notices</w:t>
      </w:r>
      <w:r>
        <w:rPr>
          <w:spacing w:val="-8"/>
        </w:rPr>
        <w:t xml:space="preserve"> </w:t>
      </w:r>
      <w:r>
        <w:t>issued</w:t>
      </w:r>
    </w:p>
    <w:p w14:paraId="7CB25F5E" w14:textId="77777777" w:rsidR="008A4099" w:rsidRDefault="008A4099">
      <w:pPr>
        <w:pStyle w:val="BodyText"/>
        <w:rPr>
          <w:sz w:val="20"/>
        </w:rPr>
      </w:pPr>
    </w:p>
    <w:p w14:paraId="7CB25F5F" w14:textId="77777777" w:rsidR="008A4099" w:rsidRDefault="008A4099">
      <w:pPr>
        <w:pStyle w:val="BodyText"/>
        <w:rPr>
          <w:sz w:val="20"/>
        </w:rPr>
      </w:pPr>
    </w:p>
    <w:p w14:paraId="7CB25F60" w14:textId="77777777" w:rsidR="008A4099" w:rsidRDefault="006A6EE2">
      <w:pPr>
        <w:pStyle w:val="BodyText"/>
        <w:spacing w:before="88"/>
        <w:rPr>
          <w:sz w:val="20"/>
        </w:rPr>
      </w:pPr>
      <w:r>
        <w:rPr>
          <w:noProof/>
        </w:rPr>
        <mc:AlternateContent>
          <mc:Choice Requires="wps">
            <w:drawing>
              <wp:anchor distT="0" distB="0" distL="0" distR="0" simplePos="0" relativeHeight="487606784" behindDoc="1" locked="0" layoutInCell="1" allowOverlap="1" wp14:anchorId="7CB26623" wp14:editId="7CB26624">
                <wp:simplePos x="0" y="0"/>
                <wp:positionH relativeFrom="page">
                  <wp:posOffset>914704</wp:posOffset>
                </wp:positionH>
                <wp:positionV relativeFrom="paragraph">
                  <wp:posOffset>217459</wp:posOffset>
                </wp:positionV>
                <wp:extent cx="1829435" cy="762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1B5E5" id="Graphic 79" o:spid="_x0000_s1026" style="position:absolute;margin-left:1in;margin-top:17.1pt;width:144.05pt;height:.6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" path="m1829054,l,,,7619r1829054,l1829054,xe" fillcolor="black" stroked="f">
                <v:path arrowok="t"/>
                <w10:wrap type="topAndBottom" anchorx="page"/>
              </v:shape>
            </w:pict>
          </mc:Fallback>
        </mc:AlternateContent>
      </w:r>
    </w:p>
    <w:p w14:paraId="7CB25F61" w14:textId="77777777" w:rsidR="008A4099" w:rsidRDefault="006A6EE2">
      <w:pPr>
        <w:spacing w:before="112" w:line="244" w:lineRule="auto"/>
        <w:ind w:left="160" w:right="676"/>
        <w:jc w:val="both"/>
        <w:rPr>
          <w:sz w:val="18"/>
        </w:rPr>
      </w:pPr>
      <w:r>
        <w:rPr>
          <w:sz w:val="18"/>
          <w:vertAlign w:val="superscript"/>
        </w:rPr>
        <w:t>240</w:t>
      </w:r>
      <w:r>
        <w:rPr>
          <w:spacing w:val="-1"/>
          <w:sz w:val="18"/>
        </w:rPr>
        <w:t xml:space="preserve"> </w:t>
      </w:r>
      <w:r>
        <w:rPr>
          <w:sz w:val="18"/>
        </w:rPr>
        <w:t xml:space="preserve">Department of Prime Minister and Cabinet, </w:t>
      </w:r>
      <w:r>
        <w:rPr>
          <w:i/>
          <w:sz w:val="18"/>
        </w:rPr>
        <w:t xml:space="preserve">Religious Freedom Review </w:t>
      </w:r>
      <w:r>
        <w:rPr>
          <w:sz w:val="18"/>
        </w:rPr>
        <w:t>(2018) &lt;https://</w:t>
      </w:r>
      <w:hyperlink r:id="rId111">
        <w:r>
          <w:rPr>
            <w:sz w:val="18"/>
          </w:rPr>
          <w:t>www.pmc.gov.au/domestic-</w:t>
        </w:r>
      </w:hyperlink>
      <w:r>
        <w:rPr>
          <w:sz w:val="18"/>
        </w:rPr>
        <w:t xml:space="preserve"> policy/religious-freedom-review&gt; and see the ensuing Religious Discrimination Bill 2022 (Cth).</w:t>
      </w:r>
    </w:p>
    <w:p w14:paraId="7CB25F62" w14:textId="77777777" w:rsidR="008A4099" w:rsidRDefault="006A6EE2">
      <w:pPr>
        <w:spacing w:before="16"/>
        <w:ind w:left="160" w:right="676"/>
        <w:jc w:val="both"/>
        <w:rPr>
          <w:sz w:val="18"/>
        </w:rPr>
      </w:pPr>
      <w:r>
        <w:rPr>
          <w:sz w:val="18"/>
          <w:vertAlign w:val="superscript"/>
        </w:rPr>
        <w:t>241</w:t>
      </w:r>
      <w:r>
        <w:rPr>
          <w:sz w:val="18"/>
        </w:rPr>
        <w:t xml:space="preserve"> </w:t>
      </w:r>
      <w:r>
        <w:rPr>
          <w:color w:val="242424"/>
          <w:sz w:val="18"/>
        </w:rPr>
        <w:t xml:space="preserve">Mackie and Hilkemeijer, ‘Human Rights Scrutiny in Tasmania’s Parliament’ </w:t>
      </w:r>
      <w:r>
        <w:rPr>
          <w:sz w:val="18"/>
        </w:rPr>
        <w:t xml:space="preserve">[17.40], [17.50]. This is consistent with the views expressed by Meg Webb MLC and Community Legal Centres Tasmania submissions to this review. (Appendix C contains a list of all those who provided advice to the TLRI pursuant to requesting that the Institute prepare this Research </w:t>
      </w:r>
      <w:r>
        <w:rPr>
          <w:spacing w:val="-2"/>
          <w:sz w:val="18"/>
        </w:rPr>
        <w:t>Paper.)</w:t>
      </w:r>
    </w:p>
    <w:p w14:paraId="7CB25F63" w14:textId="77777777" w:rsidR="008A4099" w:rsidRDefault="006A6EE2">
      <w:pPr>
        <w:spacing w:before="24"/>
        <w:ind w:left="160"/>
        <w:jc w:val="both"/>
        <w:rPr>
          <w:sz w:val="18"/>
        </w:rPr>
      </w:pPr>
      <w:r>
        <w:rPr>
          <w:sz w:val="18"/>
          <w:vertAlign w:val="superscript"/>
        </w:rPr>
        <w:t>242</w:t>
      </w:r>
      <w:r>
        <w:rPr>
          <w:sz w:val="18"/>
        </w:rPr>
        <w:t xml:space="preserve"> </w:t>
      </w:r>
      <w:r>
        <w:rPr>
          <w:i/>
          <w:sz w:val="18"/>
        </w:rPr>
        <w:t>Subordinate Legislation</w:t>
      </w:r>
      <w:r>
        <w:rPr>
          <w:i/>
          <w:spacing w:val="-1"/>
          <w:sz w:val="18"/>
        </w:rPr>
        <w:t xml:space="preserve"> </w:t>
      </w:r>
      <w:r>
        <w:rPr>
          <w:i/>
          <w:sz w:val="18"/>
        </w:rPr>
        <w:t>Act 1992</w:t>
      </w:r>
      <w:r>
        <w:rPr>
          <w:i/>
          <w:spacing w:val="4"/>
          <w:sz w:val="18"/>
        </w:rPr>
        <w:t xml:space="preserve"> </w:t>
      </w:r>
      <w:r>
        <w:rPr>
          <w:sz w:val="18"/>
        </w:rPr>
        <w:t>(Tas) s 5,</w:t>
      </w:r>
      <w:r>
        <w:rPr>
          <w:spacing w:val="1"/>
          <w:sz w:val="18"/>
        </w:rPr>
        <w:t xml:space="preserve"> </w:t>
      </w:r>
      <w:r>
        <w:rPr>
          <w:sz w:val="18"/>
        </w:rPr>
        <w:t>sch</w:t>
      </w:r>
      <w:r>
        <w:rPr>
          <w:spacing w:val="-1"/>
          <w:sz w:val="18"/>
        </w:rPr>
        <w:t xml:space="preserve"> </w:t>
      </w:r>
      <w:r>
        <w:rPr>
          <w:spacing w:val="-5"/>
          <w:sz w:val="18"/>
        </w:rPr>
        <w:t>2.</w:t>
      </w:r>
    </w:p>
    <w:p w14:paraId="7CB25F64" w14:textId="77777777" w:rsidR="008A4099" w:rsidRDefault="006A6EE2">
      <w:pPr>
        <w:spacing w:before="21"/>
        <w:ind w:left="160"/>
        <w:jc w:val="both"/>
        <w:rPr>
          <w:sz w:val="18"/>
        </w:rPr>
      </w:pPr>
      <w:r>
        <w:rPr>
          <w:sz w:val="18"/>
          <w:vertAlign w:val="superscript"/>
        </w:rPr>
        <w:t>243</w:t>
      </w:r>
      <w:r>
        <w:rPr>
          <w:sz w:val="18"/>
        </w:rPr>
        <w:t xml:space="preserve"> </w:t>
      </w:r>
      <w:r>
        <w:rPr>
          <w:i/>
          <w:sz w:val="18"/>
        </w:rPr>
        <w:t>Subordinate Legislation Committee</w:t>
      </w:r>
      <w:r>
        <w:rPr>
          <w:i/>
          <w:spacing w:val="-1"/>
          <w:sz w:val="18"/>
        </w:rPr>
        <w:t xml:space="preserve"> </w:t>
      </w:r>
      <w:r>
        <w:rPr>
          <w:i/>
          <w:sz w:val="18"/>
        </w:rPr>
        <w:t>Act</w:t>
      </w:r>
      <w:r>
        <w:rPr>
          <w:i/>
          <w:spacing w:val="4"/>
          <w:sz w:val="18"/>
        </w:rPr>
        <w:t xml:space="preserve"> </w:t>
      </w:r>
      <w:r>
        <w:rPr>
          <w:sz w:val="18"/>
        </w:rPr>
        <w:t>1969</w:t>
      </w:r>
      <w:r>
        <w:rPr>
          <w:spacing w:val="1"/>
          <w:sz w:val="18"/>
        </w:rPr>
        <w:t xml:space="preserve"> </w:t>
      </w:r>
      <w:r>
        <w:rPr>
          <w:sz w:val="18"/>
        </w:rPr>
        <w:t>(Tas)</w:t>
      </w:r>
      <w:r>
        <w:rPr>
          <w:spacing w:val="1"/>
          <w:sz w:val="18"/>
        </w:rPr>
        <w:t xml:space="preserve"> </w:t>
      </w:r>
      <w:r>
        <w:rPr>
          <w:sz w:val="18"/>
        </w:rPr>
        <w:t>s</w:t>
      </w:r>
      <w:r>
        <w:rPr>
          <w:spacing w:val="-3"/>
          <w:sz w:val="18"/>
        </w:rPr>
        <w:t xml:space="preserve"> </w:t>
      </w:r>
      <w:r>
        <w:rPr>
          <w:spacing w:val="-5"/>
          <w:sz w:val="18"/>
        </w:rPr>
        <w:t>8.</w:t>
      </w:r>
    </w:p>
    <w:p w14:paraId="7CB25F65" w14:textId="77777777" w:rsidR="008A4099" w:rsidRDefault="006A6EE2">
      <w:pPr>
        <w:spacing w:before="23" w:line="242" w:lineRule="auto"/>
        <w:ind w:left="160" w:right="678"/>
        <w:jc w:val="both"/>
        <w:rPr>
          <w:sz w:val="18"/>
        </w:rPr>
      </w:pPr>
      <w:r>
        <w:rPr>
          <w:sz w:val="18"/>
          <w:vertAlign w:val="superscript"/>
        </w:rPr>
        <w:t>244</w:t>
      </w:r>
      <w:r>
        <w:rPr>
          <w:spacing w:val="-12"/>
          <w:sz w:val="18"/>
        </w:rPr>
        <w:t xml:space="preserve"> </w:t>
      </w:r>
      <w:r>
        <w:rPr>
          <w:sz w:val="18"/>
        </w:rPr>
        <w:t>Prior</w:t>
      </w:r>
      <w:r>
        <w:rPr>
          <w:spacing w:val="-11"/>
          <w:sz w:val="18"/>
        </w:rPr>
        <w:t xml:space="preserve"> </w:t>
      </w:r>
      <w:r>
        <w:rPr>
          <w:sz w:val="18"/>
        </w:rPr>
        <w:t>to</w:t>
      </w:r>
      <w:r>
        <w:rPr>
          <w:spacing w:val="-11"/>
          <w:sz w:val="18"/>
        </w:rPr>
        <w:t xml:space="preserve"> </w:t>
      </w:r>
      <w:r>
        <w:rPr>
          <w:sz w:val="18"/>
        </w:rPr>
        <w:t>tabling,</w:t>
      </w:r>
      <w:r>
        <w:rPr>
          <w:spacing w:val="-11"/>
          <w:sz w:val="18"/>
        </w:rPr>
        <w:t xml:space="preserve"> </w:t>
      </w:r>
      <w:r>
        <w:rPr>
          <w:sz w:val="18"/>
        </w:rPr>
        <w:t>proposed</w:t>
      </w:r>
      <w:r>
        <w:rPr>
          <w:spacing w:val="-12"/>
          <w:sz w:val="18"/>
        </w:rPr>
        <w:t xml:space="preserve"> </w:t>
      </w:r>
      <w:r>
        <w:rPr>
          <w:sz w:val="18"/>
        </w:rPr>
        <w:t>subordinate</w:t>
      </w:r>
      <w:r>
        <w:rPr>
          <w:spacing w:val="-11"/>
          <w:sz w:val="18"/>
        </w:rPr>
        <w:t xml:space="preserve"> </w:t>
      </w:r>
      <w:r>
        <w:rPr>
          <w:sz w:val="18"/>
        </w:rPr>
        <w:t>legislation</w:t>
      </w:r>
      <w:r>
        <w:rPr>
          <w:spacing w:val="-11"/>
          <w:sz w:val="18"/>
        </w:rPr>
        <w:t xml:space="preserve"> </w:t>
      </w:r>
      <w:r>
        <w:rPr>
          <w:sz w:val="18"/>
        </w:rPr>
        <w:t>must</w:t>
      </w:r>
      <w:r>
        <w:rPr>
          <w:spacing w:val="-11"/>
          <w:sz w:val="18"/>
        </w:rPr>
        <w:t xml:space="preserve"> </w:t>
      </w:r>
      <w:r>
        <w:rPr>
          <w:sz w:val="18"/>
        </w:rPr>
        <w:t>be</w:t>
      </w:r>
      <w:r>
        <w:rPr>
          <w:spacing w:val="-12"/>
          <w:sz w:val="18"/>
        </w:rPr>
        <w:t xml:space="preserve"> </w:t>
      </w:r>
      <w:r>
        <w:rPr>
          <w:sz w:val="18"/>
        </w:rPr>
        <w:t>submitted</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Chief</w:t>
      </w:r>
      <w:r>
        <w:rPr>
          <w:spacing w:val="-12"/>
          <w:sz w:val="18"/>
        </w:rPr>
        <w:t xml:space="preserve"> </w:t>
      </w:r>
      <w:r>
        <w:rPr>
          <w:sz w:val="18"/>
        </w:rPr>
        <w:t>Parliamentary</w:t>
      </w:r>
      <w:r>
        <w:rPr>
          <w:spacing w:val="-11"/>
          <w:sz w:val="18"/>
        </w:rPr>
        <w:t xml:space="preserve"> </w:t>
      </w:r>
      <w:r>
        <w:rPr>
          <w:sz w:val="18"/>
        </w:rPr>
        <w:t>Counsel</w:t>
      </w:r>
      <w:r>
        <w:rPr>
          <w:spacing w:val="-11"/>
          <w:sz w:val="18"/>
        </w:rPr>
        <w:t xml:space="preserve"> </w:t>
      </w:r>
      <w:r>
        <w:rPr>
          <w:sz w:val="18"/>
        </w:rPr>
        <w:t>for</w:t>
      </w:r>
      <w:r>
        <w:rPr>
          <w:spacing w:val="-11"/>
          <w:sz w:val="18"/>
        </w:rPr>
        <w:t xml:space="preserve"> </w:t>
      </w:r>
      <w:r>
        <w:rPr>
          <w:sz w:val="18"/>
        </w:rPr>
        <w:t>advice</w:t>
      </w:r>
      <w:r>
        <w:rPr>
          <w:spacing w:val="-12"/>
          <w:sz w:val="18"/>
        </w:rPr>
        <w:t xml:space="preserve"> </w:t>
      </w:r>
      <w:r>
        <w:rPr>
          <w:sz w:val="18"/>
        </w:rPr>
        <w:t>regarding technical compliance, including whether the instrument is clearly expressed and within the general objectives and powers conferred by</w:t>
      </w:r>
      <w:r>
        <w:rPr>
          <w:spacing w:val="-1"/>
          <w:sz w:val="18"/>
        </w:rPr>
        <w:t xml:space="preserve"> </w:t>
      </w:r>
      <w:r>
        <w:rPr>
          <w:sz w:val="18"/>
        </w:rPr>
        <w:t>the</w:t>
      </w:r>
      <w:r>
        <w:rPr>
          <w:spacing w:val="-3"/>
          <w:sz w:val="18"/>
        </w:rPr>
        <w:t xml:space="preserve"> </w:t>
      </w:r>
      <w:r>
        <w:rPr>
          <w:sz w:val="18"/>
        </w:rPr>
        <w:t>head</w:t>
      </w:r>
      <w:r>
        <w:rPr>
          <w:spacing w:val="-1"/>
          <w:sz w:val="18"/>
        </w:rPr>
        <w:t xml:space="preserve"> </w:t>
      </w:r>
      <w:r>
        <w:rPr>
          <w:sz w:val="18"/>
        </w:rPr>
        <w:t>Act.</w:t>
      </w:r>
      <w:r>
        <w:rPr>
          <w:spacing w:val="-4"/>
          <w:sz w:val="18"/>
        </w:rPr>
        <w:t xml:space="preserve"> </w:t>
      </w:r>
      <w:r>
        <w:rPr>
          <w:sz w:val="18"/>
        </w:rPr>
        <w:t>Limiting</w:t>
      </w:r>
      <w:r>
        <w:rPr>
          <w:spacing w:val="-1"/>
          <w:sz w:val="18"/>
        </w:rPr>
        <w:t xml:space="preserve"> </w:t>
      </w:r>
      <w:r>
        <w:rPr>
          <w:sz w:val="18"/>
        </w:rPr>
        <w:t>the JSCSL’s</w:t>
      </w:r>
      <w:r>
        <w:rPr>
          <w:spacing w:val="-2"/>
          <w:sz w:val="18"/>
        </w:rPr>
        <w:t xml:space="preserve"> </w:t>
      </w:r>
      <w:r>
        <w:rPr>
          <w:sz w:val="18"/>
        </w:rPr>
        <w:t>review</w:t>
      </w:r>
      <w:r>
        <w:rPr>
          <w:spacing w:val="-3"/>
          <w:sz w:val="18"/>
        </w:rPr>
        <w:t xml:space="preserve"> </w:t>
      </w:r>
      <w:r>
        <w:rPr>
          <w:sz w:val="18"/>
        </w:rPr>
        <w:t>to</w:t>
      </w:r>
      <w:r>
        <w:rPr>
          <w:spacing w:val="-1"/>
          <w:sz w:val="18"/>
        </w:rPr>
        <w:t xml:space="preserve"> </w:t>
      </w:r>
      <w:r>
        <w:rPr>
          <w:sz w:val="18"/>
        </w:rPr>
        <w:t>similarly</w:t>
      </w:r>
      <w:r>
        <w:rPr>
          <w:spacing w:val="-1"/>
          <w:sz w:val="18"/>
        </w:rPr>
        <w:t xml:space="preserve"> </w:t>
      </w:r>
      <w:r>
        <w:rPr>
          <w:sz w:val="18"/>
        </w:rPr>
        <w:t>technical</w:t>
      </w:r>
      <w:r>
        <w:rPr>
          <w:spacing w:val="-2"/>
          <w:sz w:val="18"/>
        </w:rPr>
        <w:t xml:space="preserve"> </w:t>
      </w:r>
      <w:r>
        <w:rPr>
          <w:sz w:val="18"/>
        </w:rPr>
        <w:t>matters</w:t>
      </w:r>
      <w:r>
        <w:rPr>
          <w:spacing w:val="-3"/>
          <w:sz w:val="18"/>
        </w:rPr>
        <w:t xml:space="preserve"> </w:t>
      </w:r>
      <w:r>
        <w:rPr>
          <w:sz w:val="18"/>
        </w:rPr>
        <w:t>is</w:t>
      </w:r>
      <w:r>
        <w:rPr>
          <w:spacing w:val="-3"/>
          <w:sz w:val="18"/>
        </w:rPr>
        <w:t xml:space="preserve"> </w:t>
      </w:r>
      <w:r>
        <w:rPr>
          <w:sz w:val="18"/>
        </w:rPr>
        <w:t>not</w:t>
      </w:r>
      <w:r>
        <w:rPr>
          <w:spacing w:val="-2"/>
          <w:sz w:val="18"/>
        </w:rPr>
        <w:t xml:space="preserve"> </w:t>
      </w:r>
      <w:r>
        <w:rPr>
          <w:sz w:val="18"/>
        </w:rPr>
        <w:t>justified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provisions</w:t>
      </w:r>
      <w:r>
        <w:rPr>
          <w:spacing w:val="-3"/>
          <w:sz w:val="18"/>
        </w:rPr>
        <w:t xml:space="preserve"> </w:t>
      </w:r>
      <w:r>
        <w:rPr>
          <w:sz w:val="18"/>
        </w:rPr>
        <w:t>of</w:t>
      </w:r>
      <w:r>
        <w:rPr>
          <w:spacing w:val="-2"/>
          <w:sz w:val="18"/>
        </w:rPr>
        <w:t xml:space="preserve"> </w:t>
      </w:r>
      <w:r>
        <w:rPr>
          <w:sz w:val="18"/>
        </w:rPr>
        <w:t xml:space="preserve">the </w:t>
      </w:r>
      <w:r>
        <w:rPr>
          <w:i/>
          <w:sz w:val="18"/>
        </w:rPr>
        <w:t xml:space="preserve">Subordinate Legislation Act </w:t>
      </w:r>
      <w:r>
        <w:rPr>
          <w:sz w:val="18"/>
        </w:rPr>
        <w:t>(Tas).</w:t>
      </w:r>
    </w:p>
    <w:p w14:paraId="7CB25F66" w14:textId="77777777" w:rsidR="008A4099" w:rsidRDefault="006A6EE2">
      <w:pPr>
        <w:spacing w:before="16"/>
        <w:ind w:left="160"/>
        <w:rPr>
          <w:sz w:val="18"/>
        </w:rPr>
      </w:pPr>
      <w:r>
        <w:rPr>
          <w:sz w:val="18"/>
          <w:vertAlign w:val="superscript"/>
        </w:rPr>
        <w:t>245</w:t>
      </w:r>
      <w:r>
        <w:rPr>
          <w:spacing w:val="-1"/>
          <w:sz w:val="18"/>
        </w:rPr>
        <w:t xml:space="preserve"> </w:t>
      </w:r>
      <w:r>
        <w:rPr>
          <w:sz w:val="18"/>
        </w:rPr>
        <w:t>Mackie</w:t>
      </w:r>
      <w:r>
        <w:rPr>
          <w:spacing w:val="-1"/>
          <w:sz w:val="18"/>
        </w:rPr>
        <w:t xml:space="preserve"> </w:t>
      </w:r>
      <w:r>
        <w:rPr>
          <w:sz w:val="18"/>
        </w:rPr>
        <w:t>and</w:t>
      </w:r>
      <w:r>
        <w:rPr>
          <w:spacing w:val="-2"/>
          <w:sz w:val="18"/>
        </w:rPr>
        <w:t xml:space="preserve"> </w:t>
      </w:r>
      <w:r>
        <w:rPr>
          <w:sz w:val="18"/>
        </w:rPr>
        <w:t>Hilkemeijer,</w:t>
      </w:r>
      <w:r>
        <w:rPr>
          <w:spacing w:val="1"/>
          <w:sz w:val="18"/>
        </w:rPr>
        <w:t xml:space="preserve"> </w:t>
      </w:r>
      <w:r>
        <w:rPr>
          <w:color w:val="242424"/>
          <w:sz w:val="18"/>
        </w:rPr>
        <w:t>‘Human Rights</w:t>
      </w:r>
      <w:r>
        <w:rPr>
          <w:color w:val="242424"/>
          <w:spacing w:val="-2"/>
          <w:sz w:val="18"/>
        </w:rPr>
        <w:t xml:space="preserve"> </w:t>
      </w:r>
      <w:r>
        <w:rPr>
          <w:color w:val="242424"/>
          <w:sz w:val="18"/>
        </w:rPr>
        <w:t>Scrutiny in Tasmania’s</w:t>
      </w:r>
      <w:r>
        <w:rPr>
          <w:color w:val="242424"/>
          <w:spacing w:val="-4"/>
          <w:sz w:val="18"/>
        </w:rPr>
        <w:t xml:space="preserve"> </w:t>
      </w:r>
      <w:r>
        <w:rPr>
          <w:color w:val="242424"/>
          <w:sz w:val="18"/>
        </w:rPr>
        <w:t>Parliament’</w:t>
      </w:r>
      <w:r>
        <w:rPr>
          <w:color w:val="242424"/>
          <w:spacing w:val="-1"/>
          <w:sz w:val="18"/>
        </w:rPr>
        <w:t xml:space="preserve"> </w:t>
      </w:r>
      <w:r>
        <w:rPr>
          <w:spacing w:val="-2"/>
          <w:sz w:val="18"/>
        </w:rPr>
        <w:t>[17.50].</w:t>
      </w:r>
    </w:p>
    <w:p w14:paraId="7CB25F67" w14:textId="77777777" w:rsidR="008A4099" w:rsidRDefault="006A6EE2">
      <w:pPr>
        <w:spacing w:before="23"/>
        <w:ind w:left="160"/>
        <w:rPr>
          <w:i/>
          <w:sz w:val="18"/>
        </w:rPr>
      </w:pPr>
      <w:r>
        <w:rPr>
          <w:sz w:val="18"/>
          <w:vertAlign w:val="superscript"/>
        </w:rPr>
        <w:t>246</w:t>
      </w:r>
      <w:r>
        <w:rPr>
          <w:sz w:val="18"/>
        </w:rPr>
        <w:t xml:space="preserve"> Joint</w:t>
      </w:r>
      <w:r>
        <w:rPr>
          <w:spacing w:val="-2"/>
          <w:sz w:val="18"/>
        </w:rPr>
        <w:t xml:space="preserve"> </w:t>
      </w:r>
      <w:r>
        <w:rPr>
          <w:sz w:val="18"/>
        </w:rPr>
        <w:t>Standing</w:t>
      </w:r>
      <w:r>
        <w:rPr>
          <w:spacing w:val="3"/>
          <w:sz w:val="18"/>
        </w:rPr>
        <w:t xml:space="preserve"> </w:t>
      </w:r>
      <w:r>
        <w:rPr>
          <w:sz w:val="18"/>
        </w:rPr>
        <w:t>Committee on</w:t>
      </w:r>
      <w:r>
        <w:rPr>
          <w:spacing w:val="1"/>
          <w:sz w:val="18"/>
        </w:rPr>
        <w:t xml:space="preserve"> </w:t>
      </w:r>
      <w:r>
        <w:rPr>
          <w:sz w:val="18"/>
        </w:rPr>
        <w:t>Subordinate</w:t>
      </w:r>
      <w:r>
        <w:rPr>
          <w:spacing w:val="1"/>
          <w:sz w:val="18"/>
        </w:rPr>
        <w:t xml:space="preserve"> </w:t>
      </w:r>
      <w:r>
        <w:rPr>
          <w:sz w:val="18"/>
        </w:rPr>
        <w:t>Legislation,</w:t>
      </w:r>
      <w:r>
        <w:rPr>
          <w:spacing w:val="-1"/>
          <w:sz w:val="18"/>
        </w:rPr>
        <w:t xml:space="preserve"> </w:t>
      </w:r>
      <w:r>
        <w:rPr>
          <w:i/>
          <w:sz w:val="18"/>
        </w:rPr>
        <w:t>2019-2020</w:t>
      </w:r>
      <w:r>
        <w:rPr>
          <w:i/>
          <w:spacing w:val="1"/>
          <w:sz w:val="18"/>
        </w:rPr>
        <w:t xml:space="preserve"> </w:t>
      </w:r>
      <w:r>
        <w:rPr>
          <w:i/>
          <w:sz w:val="18"/>
        </w:rPr>
        <w:t>Annual</w:t>
      </w:r>
      <w:r>
        <w:rPr>
          <w:i/>
          <w:spacing w:val="-1"/>
          <w:sz w:val="18"/>
        </w:rPr>
        <w:t xml:space="preserve"> </w:t>
      </w:r>
      <w:r>
        <w:rPr>
          <w:i/>
          <w:spacing w:val="-2"/>
          <w:sz w:val="18"/>
        </w:rPr>
        <w:t>Report</w:t>
      </w:r>
    </w:p>
    <w:p w14:paraId="7CB25F68" w14:textId="77777777" w:rsidR="008A4099" w:rsidRDefault="006A6EE2">
      <w:pPr>
        <w:spacing w:before="4"/>
        <w:ind w:left="160"/>
        <w:rPr>
          <w:sz w:val="18"/>
        </w:rPr>
      </w:pPr>
      <w:r>
        <w:rPr>
          <w:spacing w:val="-2"/>
          <w:sz w:val="18"/>
        </w:rPr>
        <w:t>&lt;https://</w:t>
      </w:r>
      <w:hyperlink r:id="rId112">
        <w:r>
          <w:rPr>
            <w:spacing w:val="-2"/>
            <w:sz w:val="18"/>
          </w:rPr>
          <w:t>www.parliament.tas.gov.au/committees/joint-committees/standing-committees/subord/previousreports</w:t>
        </w:r>
      </w:hyperlink>
      <w:r>
        <w:rPr>
          <w:spacing w:val="-2"/>
          <w:sz w:val="18"/>
        </w:rPr>
        <w:t>&gt;.</w:t>
      </w:r>
    </w:p>
    <w:p w14:paraId="7CB25F69" w14:textId="77777777" w:rsidR="008A4099" w:rsidRDefault="008A4099">
      <w:pPr>
        <w:rPr>
          <w:sz w:val="18"/>
        </w:rPr>
        <w:sectPr w:rsidR="008A4099" w:rsidSect="00D43B2D">
          <w:pgSz w:w="11910" w:h="16840"/>
          <w:pgMar w:top="980" w:right="760" w:bottom="940" w:left="1280" w:header="718" w:footer="753" w:gutter="0"/>
          <w:cols w:space="720"/>
        </w:sectPr>
      </w:pPr>
    </w:p>
    <w:p w14:paraId="7CB25F6A" w14:textId="77777777" w:rsidR="008A4099" w:rsidRDefault="008A4099">
      <w:pPr>
        <w:pStyle w:val="BodyText"/>
        <w:spacing w:before="194"/>
      </w:pPr>
    </w:p>
    <w:p w14:paraId="7CB25F6B" w14:textId="77777777" w:rsidR="008A4099" w:rsidRDefault="006A6EE2">
      <w:pPr>
        <w:pStyle w:val="BodyText"/>
        <w:ind w:left="160" w:right="674"/>
        <w:jc w:val="both"/>
      </w:pPr>
      <w:r>
        <w:t>under the Tas Covid Act, and held public hearings in relation to five of those notices.</w:t>
      </w:r>
      <w:r>
        <w:rPr>
          <w:position w:val="7"/>
          <w:sz w:val="13"/>
        </w:rPr>
        <w:t>247</w:t>
      </w:r>
      <w:r>
        <w:rPr>
          <w:spacing w:val="38"/>
          <w:position w:val="7"/>
          <w:sz w:val="13"/>
        </w:rPr>
        <w:t xml:space="preserve"> </w:t>
      </w:r>
      <w:r>
        <w:t>Despite the higher level of activity and public engagement, the JSCSL still did not overtly or consistently engage in</w:t>
      </w:r>
      <w:r>
        <w:rPr>
          <w:spacing w:val="-7"/>
        </w:rPr>
        <w:t xml:space="preserve"> </w:t>
      </w:r>
      <w:r>
        <w:t>a</w:t>
      </w:r>
      <w:r>
        <w:rPr>
          <w:spacing w:val="-7"/>
        </w:rPr>
        <w:t xml:space="preserve"> </w:t>
      </w:r>
      <w:r>
        <w:t>rights</w:t>
      </w:r>
      <w:r>
        <w:rPr>
          <w:spacing w:val="-6"/>
        </w:rPr>
        <w:t xml:space="preserve"> </w:t>
      </w:r>
      <w:r>
        <w:t>assessment</w:t>
      </w:r>
      <w:r>
        <w:rPr>
          <w:spacing w:val="-6"/>
        </w:rPr>
        <w:t xml:space="preserve"> </w:t>
      </w:r>
      <w:r>
        <w:t>of</w:t>
      </w:r>
      <w:r>
        <w:rPr>
          <w:spacing w:val="-6"/>
        </w:rPr>
        <w:t xml:space="preserve"> </w:t>
      </w:r>
      <w:r>
        <w:t>subordinate</w:t>
      </w:r>
      <w:r>
        <w:rPr>
          <w:spacing w:val="-7"/>
        </w:rPr>
        <w:t xml:space="preserve"> </w:t>
      </w:r>
      <w:r>
        <w:t>legislation.</w:t>
      </w:r>
      <w:r>
        <w:rPr>
          <w:spacing w:val="-7"/>
        </w:rPr>
        <w:t xml:space="preserve"> </w:t>
      </w:r>
      <w:r>
        <w:t>Ultimately,</w:t>
      </w:r>
      <w:r>
        <w:rPr>
          <w:spacing w:val="-7"/>
        </w:rPr>
        <w:t xml:space="preserve"> </w:t>
      </w:r>
      <w:r>
        <w:t>no</w:t>
      </w:r>
      <w:r>
        <w:rPr>
          <w:spacing w:val="-7"/>
        </w:rPr>
        <w:t xml:space="preserve"> </w:t>
      </w:r>
      <w:r>
        <w:t>notices</w:t>
      </w:r>
      <w:r>
        <w:rPr>
          <w:spacing w:val="-6"/>
        </w:rPr>
        <w:t xml:space="preserve"> </w:t>
      </w:r>
      <w:r>
        <w:t>or</w:t>
      </w:r>
      <w:r>
        <w:rPr>
          <w:spacing w:val="-6"/>
        </w:rPr>
        <w:t xml:space="preserve"> </w:t>
      </w:r>
      <w:r>
        <w:t>instruments</w:t>
      </w:r>
      <w:r>
        <w:rPr>
          <w:spacing w:val="-6"/>
        </w:rPr>
        <w:t xml:space="preserve"> </w:t>
      </w:r>
      <w:r>
        <w:t>were</w:t>
      </w:r>
      <w:r>
        <w:rPr>
          <w:spacing w:val="-7"/>
        </w:rPr>
        <w:t xml:space="preserve"> </w:t>
      </w:r>
      <w:r>
        <w:t>disallowed following review by the JSCSL in this period.</w:t>
      </w:r>
    </w:p>
    <w:p w14:paraId="7CB25F6C" w14:textId="77777777" w:rsidR="008A4099" w:rsidRDefault="006A6EE2">
      <w:pPr>
        <w:pStyle w:val="ListParagraph"/>
        <w:numPr>
          <w:ilvl w:val="2"/>
          <w:numId w:val="6"/>
        </w:numPr>
        <w:tabs>
          <w:tab w:val="left" w:pos="879"/>
        </w:tabs>
        <w:ind w:right="674" w:firstLine="0"/>
        <w:jc w:val="both"/>
        <w:rPr>
          <w:sz w:val="13"/>
        </w:rPr>
      </w:pPr>
      <w:r>
        <w:t>The</w:t>
      </w:r>
      <w:r>
        <w:rPr>
          <w:spacing w:val="-2"/>
        </w:rPr>
        <w:t xml:space="preserve"> </w:t>
      </w:r>
      <w:r>
        <w:t>ad</w:t>
      </w:r>
      <w:r>
        <w:rPr>
          <w:spacing w:val="-4"/>
        </w:rPr>
        <w:t xml:space="preserve"> </w:t>
      </w:r>
      <w:r>
        <w:t>hoc</w:t>
      </w:r>
      <w:r>
        <w:rPr>
          <w:spacing w:val="-2"/>
        </w:rPr>
        <w:t xml:space="preserve"> </w:t>
      </w:r>
      <w:r>
        <w:t>nature</w:t>
      </w:r>
      <w:r>
        <w:rPr>
          <w:spacing w:val="-4"/>
        </w:rPr>
        <w:t xml:space="preserve"> </w:t>
      </w:r>
      <w:r>
        <w:t>of</w:t>
      </w:r>
      <w:r>
        <w:rPr>
          <w:spacing w:val="-4"/>
        </w:rPr>
        <w:t xml:space="preserve"> </w:t>
      </w:r>
      <w:r>
        <w:t>the</w:t>
      </w:r>
      <w:r>
        <w:rPr>
          <w:spacing w:val="-4"/>
        </w:rPr>
        <w:t xml:space="preserve"> </w:t>
      </w:r>
      <w:r>
        <w:t>process</w:t>
      </w:r>
      <w:r>
        <w:rPr>
          <w:spacing w:val="-4"/>
        </w:rPr>
        <w:t xml:space="preserve"> </w:t>
      </w:r>
      <w:r>
        <w:t>to</w:t>
      </w:r>
      <w:r>
        <w:rPr>
          <w:spacing w:val="-2"/>
        </w:rPr>
        <w:t xml:space="preserve"> </w:t>
      </w:r>
      <w:r>
        <w:t>address</w:t>
      </w:r>
      <w:r>
        <w:rPr>
          <w:spacing w:val="-4"/>
        </w:rPr>
        <w:t xml:space="preserve"> </w:t>
      </w:r>
      <w:r>
        <w:t>human</w:t>
      </w:r>
      <w:r>
        <w:rPr>
          <w:spacing w:val="-4"/>
        </w:rPr>
        <w:t xml:space="preserve"> </w:t>
      </w:r>
      <w:r>
        <w:t>rights</w:t>
      </w:r>
      <w:r>
        <w:rPr>
          <w:spacing w:val="-4"/>
        </w:rPr>
        <w:t xml:space="preserve"> </w:t>
      </w:r>
      <w:r>
        <w:t>concerns</w:t>
      </w:r>
      <w:r>
        <w:rPr>
          <w:spacing w:val="-4"/>
        </w:rPr>
        <w:t xml:space="preserve"> </w:t>
      </w:r>
      <w:r>
        <w:t>relating</w:t>
      </w:r>
      <w:r>
        <w:rPr>
          <w:spacing w:val="-5"/>
        </w:rPr>
        <w:t xml:space="preserve"> </w:t>
      </w:r>
      <w:r>
        <w:t>to</w:t>
      </w:r>
      <w:r>
        <w:rPr>
          <w:spacing w:val="-5"/>
        </w:rPr>
        <w:t xml:space="preserve"> </w:t>
      </w:r>
      <w:r>
        <w:t>privacy</w:t>
      </w:r>
      <w:r>
        <w:rPr>
          <w:spacing w:val="-2"/>
        </w:rPr>
        <w:t xml:space="preserve"> </w:t>
      </w:r>
      <w:r>
        <w:t>was</w:t>
      </w:r>
      <w:r>
        <w:rPr>
          <w:spacing w:val="-2"/>
        </w:rPr>
        <w:t xml:space="preserve"> </w:t>
      </w:r>
      <w:r>
        <w:t>also identified</w:t>
      </w:r>
      <w:r>
        <w:rPr>
          <w:spacing w:val="-6"/>
        </w:rPr>
        <w:t xml:space="preserve"> </w:t>
      </w:r>
      <w:r>
        <w:t>in</w:t>
      </w:r>
      <w:r>
        <w:rPr>
          <w:spacing w:val="-6"/>
        </w:rPr>
        <w:t xml:space="preserve"> </w:t>
      </w:r>
      <w:r>
        <w:t>the</w:t>
      </w:r>
      <w:r>
        <w:rPr>
          <w:spacing w:val="-6"/>
        </w:rPr>
        <w:t xml:space="preserve"> </w:t>
      </w:r>
      <w:r>
        <w:t>Review</w:t>
      </w:r>
      <w:r>
        <w:rPr>
          <w:spacing w:val="-7"/>
        </w:rPr>
        <w:t xml:space="preserve"> </w:t>
      </w:r>
      <w:r>
        <w:t>Period</w:t>
      </w:r>
      <w:r>
        <w:rPr>
          <w:spacing w:val="-6"/>
        </w:rPr>
        <w:t xml:space="preserve"> </w:t>
      </w:r>
      <w:r>
        <w:t>in</w:t>
      </w:r>
      <w:r>
        <w:rPr>
          <w:spacing w:val="-6"/>
        </w:rPr>
        <w:t xml:space="preserve"> </w:t>
      </w:r>
      <w:r>
        <w:t>Tasmania.</w:t>
      </w:r>
      <w:r>
        <w:rPr>
          <w:position w:val="7"/>
          <w:sz w:val="13"/>
        </w:rPr>
        <w:t>248</w:t>
      </w:r>
      <w:r>
        <w:rPr>
          <w:spacing w:val="16"/>
          <w:position w:val="7"/>
          <w:sz w:val="13"/>
        </w:rPr>
        <w:t xml:space="preserve"> </w:t>
      </w:r>
      <w:r>
        <w:t>In</w:t>
      </w:r>
      <w:r>
        <w:rPr>
          <w:spacing w:val="-6"/>
        </w:rPr>
        <w:t xml:space="preserve"> </w:t>
      </w:r>
      <w:r>
        <w:t>contrast,</w:t>
      </w:r>
      <w:r>
        <w:rPr>
          <w:spacing w:val="-6"/>
        </w:rPr>
        <w:t xml:space="preserve"> </w:t>
      </w:r>
      <w:r>
        <w:t>generally</w:t>
      </w:r>
      <w:r>
        <w:rPr>
          <w:spacing w:val="-6"/>
        </w:rPr>
        <w:t xml:space="preserve"> </w:t>
      </w:r>
      <w:r>
        <w:t>in</w:t>
      </w:r>
      <w:r>
        <w:rPr>
          <w:spacing w:val="-4"/>
        </w:rPr>
        <w:t xml:space="preserve"> </w:t>
      </w:r>
      <w:r>
        <w:t>jurisdictions</w:t>
      </w:r>
      <w:r>
        <w:rPr>
          <w:spacing w:val="-8"/>
        </w:rPr>
        <w:t xml:space="preserve"> </w:t>
      </w:r>
      <w:r>
        <w:t>with</w:t>
      </w:r>
      <w:r>
        <w:rPr>
          <w:spacing w:val="-6"/>
        </w:rPr>
        <w:t xml:space="preserve"> </w:t>
      </w:r>
      <w:r>
        <w:t>human</w:t>
      </w:r>
      <w:r>
        <w:rPr>
          <w:spacing w:val="-6"/>
        </w:rPr>
        <w:t xml:space="preserve"> </w:t>
      </w:r>
      <w:r>
        <w:t>rights enactments, approaches to the use of COVID-19 check-in data was at least cognisant of human rights and</w:t>
      </w:r>
      <w:r>
        <w:rPr>
          <w:spacing w:val="-9"/>
        </w:rPr>
        <w:t xml:space="preserve"> </w:t>
      </w:r>
      <w:r>
        <w:t>legislative</w:t>
      </w:r>
      <w:r>
        <w:rPr>
          <w:spacing w:val="-9"/>
        </w:rPr>
        <w:t xml:space="preserve"> </w:t>
      </w:r>
      <w:r>
        <w:t>limits</w:t>
      </w:r>
      <w:r>
        <w:rPr>
          <w:spacing w:val="-9"/>
        </w:rPr>
        <w:t xml:space="preserve"> </w:t>
      </w:r>
      <w:r>
        <w:t>were</w:t>
      </w:r>
      <w:r>
        <w:rPr>
          <w:spacing w:val="-9"/>
        </w:rPr>
        <w:t xml:space="preserve"> </w:t>
      </w:r>
      <w:r>
        <w:t>placed</w:t>
      </w:r>
      <w:r>
        <w:rPr>
          <w:spacing w:val="-10"/>
        </w:rPr>
        <w:t xml:space="preserve"> </w:t>
      </w:r>
      <w:r>
        <w:t>on</w:t>
      </w:r>
      <w:r>
        <w:rPr>
          <w:spacing w:val="-10"/>
        </w:rPr>
        <w:t xml:space="preserve"> </w:t>
      </w:r>
      <w:r>
        <w:t>the</w:t>
      </w:r>
      <w:r>
        <w:rPr>
          <w:spacing w:val="-9"/>
        </w:rPr>
        <w:t xml:space="preserve"> </w:t>
      </w:r>
      <w:r>
        <w:t>use</w:t>
      </w:r>
      <w:r>
        <w:rPr>
          <w:spacing w:val="-9"/>
        </w:rPr>
        <w:t xml:space="preserve"> </w:t>
      </w:r>
      <w:r>
        <w:t>of</w:t>
      </w:r>
      <w:r>
        <w:rPr>
          <w:spacing w:val="-9"/>
        </w:rPr>
        <w:t xml:space="preserve"> </w:t>
      </w:r>
      <w:r>
        <w:t>the</w:t>
      </w:r>
      <w:r>
        <w:rPr>
          <w:spacing w:val="-9"/>
        </w:rPr>
        <w:t xml:space="preserve"> </w:t>
      </w:r>
      <w:r>
        <w:t>data.</w:t>
      </w:r>
      <w:r>
        <w:rPr>
          <w:spacing w:val="-12"/>
        </w:rPr>
        <w:t xml:space="preserve"> </w:t>
      </w:r>
      <w:r>
        <w:t>Statements</w:t>
      </w:r>
      <w:r>
        <w:rPr>
          <w:spacing w:val="-9"/>
        </w:rPr>
        <w:t xml:space="preserve"> </w:t>
      </w:r>
      <w:r>
        <w:t>of</w:t>
      </w:r>
      <w:r>
        <w:rPr>
          <w:spacing w:val="-9"/>
        </w:rPr>
        <w:t xml:space="preserve"> </w:t>
      </w:r>
      <w:r>
        <w:t>compatibility</w:t>
      </w:r>
      <w:r>
        <w:rPr>
          <w:spacing w:val="-10"/>
        </w:rPr>
        <w:t xml:space="preserve"> </w:t>
      </w:r>
      <w:r>
        <w:t>were</w:t>
      </w:r>
      <w:r>
        <w:rPr>
          <w:spacing w:val="-7"/>
        </w:rPr>
        <w:t xml:space="preserve"> </w:t>
      </w:r>
      <w:r>
        <w:t>also</w:t>
      </w:r>
      <w:r>
        <w:rPr>
          <w:spacing w:val="-9"/>
        </w:rPr>
        <w:t xml:space="preserve"> </w:t>
      </w:r>
      <w:r>
        <w:t>prepared that outlined the human rights considerations, and protections were included in the legislation to respond</w:t>
      </w:r>
      <w:r>
        <w:rPr>
          <w:spacing w:val="-10"/>
        </w:rPr>
        <w:t xml:space="preserve"> </w:t>
      </w:r>
      <w:r>
        <w:t>to</w:t>
      </w:r>
      <w:r>
        <w:rPr>
          <w:spacing w:val="-7"/>
        </w:rPr>
        <w:t xml:space="preserve"> </w:t>
      </w:r>
      <w:r>
        <w:t>human</w:t>
      </w:r>
      <w:r>
        <w:rPr>
          <w:spacing w:val="-9"/>
        </w:rPr>
        <w:t xml:space="preserve"> </w:t>
      </w:r>
      <w:r>
        <w:t>rights</w:t>
      </w:r>
      <w:r>
        <w:rPr>
          <w:spacing w:val="-9"/>
        </w:rPr>
        <w:t xml:space="preserve"> </w:t>
      </w:r>
      <w:r>
        <w:t>concerns.</w:t>
      </w:r>
      <w:r>
        <w:rPr>
          <w:spacing w:val="-4"/>
        </w:rPr>
        <w:t xml:space="preserve"> </w:t>
      </w:r>
      <w:r>
        <w:t>In</w:t>
      </w:r>
      <w:r>
        <w:rPr>
          <w:spacing w:val="-10"/>
        </w:rPr>
        <w:t xml:space="preserve"> </w:t>
      </w:r>
      <w:r>
        <w:t>this</w:t>
      </w:r>
      <w:r>
        <w:rPr>
          <w:spacing w:val="-9"/>
        </w:rPr>
        <w:t xml:space="preserve"> </w:t>
      </w:r>
      <w:r>
        <w:t>context,</w:t>
      </w:r>
      <w:r>
        <w:rPr>
          <w:spacing w:val="-10"/>
        </w:rPr>
        <w:t xml:space="preserve"> </w:t>
      </w:r>
      <w:r>
        <w:t>the</w:t>
      </w:r>
      <w:r>
        <w:rPr>
          <w:spacing w:val="-9"/>
        </w:rPr>
        <w:t xml:space="preserve"> </w:t>
      </w:r>
      <w:r>
        <w:t>Australian</w:t>
      </w:r>
      <w:r>
        <w:rPr>
          <w:spacing w:val="-9"/>
        </w:rPr>
        <w:t xml:space="preserve"> </w:t>
      </w:r>
      <w:r>
        <w:t>Human</w:t>
      </w:r>
      <w:r>
        <w:rPr>
          <w:spacing w:val="-7"/>
        </w:rPr>
        <w:t xml:space="preserve"> </w:t>
      </w:r>
      <w:r>
        <w:t>Rights</w:t>
      </w:r>
      <w:r>
        <w:rPr>
          <w:spacing w:val="-6"/>
        </w:rPr>
        <w:t xml:space="preserve"> </w:t>
      </w:r>
      <w:r>
        <w:t>Commission</w:t>
      </w:r>
      <w:r>
        <w:rPr>
          <w:spacing w:val="-7"/>
        </w:rPr>
        <w:t xml:space="preserve"> </w:t>
      </w:r>
      <w:r>
        <w:t>has</w:t>
      </w:r>
      <w:r>
        <w:rPr>
          <w:spacing w:val="-9"/>
        </w:rPr>
        <w:t xml:space="preserve"> </w:t>
      </w:r>
      <w:r>
        <w:t>stated that ‘the key value of a human rights framework [is to] ensure that human rights are considered in the planning phase, encouraging greater due diligence, transparency and accountability’.</w:t>
      </w:r>
      <w:r>
        <w:rPr>
          <w:position w:val="7"/>
          <w:sz w:val="13"/>
        </w:rPr>
        <w:t>249</w:t>
      </w:r>
    </w:p>
    <w:p w14:paraId="7CB25F6D" w14:textId="77777777" w:rsidR="008A4099" w:rsidRDefault="006A6EE2">
      <w:pPr>
        <w:pStyle w:val="ListParagraph"/>
        <w:numPr>
          <w:ilvl w:val="2"/>
          <w:numId w:val="6"/>
        </w:numPr>
        <w:tabs>
          <w:tab w:val="left" w:pos="879"/>
        </w:tabs>
        <w:spacing w:before="217" w:line="242" w:lineRule="auto"/>
        <w:ind w:right="672" w:firstLine="0"/>
        <w:jc w:val="both"/>
      </w:pPr>
      <w:r>
        <w:t>A feature of the experience of jurisdictions with human rights enactments has been early engagement with human rights in policy development, which has been identified as enhancing the prospect of the resulting legislation being human rights compatible.</w:t>
      </w:r>
      <w:r>
        <w:rPr>
          <w:vertAlign w:val="superscript"/>
        </w:rPr>
        <w:t>250</w:t>
      </w:r>
      <w:r>
        <w:t xml:space="preserve"> Examples exists of early engagement with human rights issues in Tasmania in the development of legislation that has allowed human rights considerations to be identified and responded to. Arguably, the depth of the analysis of and</w:t>
      </w:r>
      <w:r>
        <w:rPr>
          <w:spacing w:val="-6"/>
        </w:rPr>
        <w:t xml:space="preserve"> </w:t>
      </w:r>
      <w:r>
        <w:t>the</w:t>
      </w:r>
      <w:r>
        <w:rPr>
          <w:spacing w:val="-6"/>
        </w:rPr>
        <w:t xml:space="preserve"> </w:t>
      </w:r>
      <w:r>
        <w:t>debate</w:t>
      </w:r>
      <w:r>
        <w:rPr>
          <w:spacing w:val="-6"/>
        </w:rPr>
        <w:t xml:space="preserve"> </w:t>
      </w:r>
      <w:r>
        <w:t>about</w:t>
      </w:r>
      <w:r>
        <w:rPr>
          <w:spacing w:val="-5"/>
        </w:rPr>
        <w:t xml:space="preserve"> </w:t>
      </w:r>
      <w:r>
        <w:t>human</w:t>
      </w:r>
      <w:r>
        <w:rPr>
          <w:spacing w:val="-8"/>
        </w:rPr>
        <w:t xml:space="preserve"> </w:t>
      </w:r>
      <w:r>
        <w:t>rights</w:t>
      </w:r>
      <w:r>
        <w:rPr>
          <w:spacing w:val="-5"/>
        </w:rPr>
        <w:t xml:space="preserve"> </w:t>
      </w:r>
      <w:r>
        <w:t>that</w:t>
      </w:r>
      <w:r>
        <w:rPr>
          <w:spacing w:val="-5"/>
        </w:rPr>
        <w:t xml:space="preserve"> </w:t>
      </w:r>
      <w:r>
        <w:t>occurred</w:t>
      </w:r>
      <w:r>
        <w:rPr>
          <w:spacing w:val="-6"/>
        </w:rPr>
        <w:t xml:space="preserve"> </w:t>
      </w:r>
      <w:r>
        <w:t>during</w:t>
      </w:r>
      <w:r>
        <w:rPr>
          <w:spacing w:val="-6"/>
        </w:rPr>
        <w:t xml:space="preserve"> </w:t>
      </w:r>
      <w:r>
        <w:t>the</w:t>
      </w:r>
      <w:r>
        <w:rPr>
          <w:spacing w:val="-6"/>
        </w:rPr>
        <w:t xml:space="preserve"> </w:t>
      </w:r>
      <w:r>
        <w:t>enactment</w:t>
      </w:r>
      <w:r>
        <w:rPr>
          <w:spacing w:val="-5"/>
        </w:rPr>
        <w:t xml:space="preserve"> </w:t>
      </w:r>
      <w:r>
        <w:t>of</w:t>
      </w:r>
      <w:r>
        <w:rPr>
          <w:spacing w:val="-8"/>
        </w:rPr>
        <w:t xml:space="preserve"> </w:t>
      </w:r>
      <w:r>
        <w:t>the</w:t>
      </w:r>
      <w:r>
        <w:rPr>
          <w:spacing w:val="-2"/>
        </w:rPr>
        <w:t xml:space="preserve"> </w:t>
      </w:r>
      <w:r>
        <w:t>2013</w:t>
      </w:r>
      <w:r>
        <w:rPr>
          <w:spacing w:val="-8"/>
        </w:rPr>
        <w:t xml:space="preserve"> </w:t>
      </w:r>
      <w:r>
        <w:t>Reproductive</w:t>
      </w:r>
      <w:r>
        <w:rPr>
          <w:spacing w:val="-6"/>
        </w:rPr>
        <w:t xml:space="preserve"> </w:t>
      </w:r>
      <w:r>
        <w:t>Health Act</w:t>
      </w:r>
      <w:r>
        <w:rPr>
          <w:spacing w:val="-3"/>
        </w:rPr>
        <w:t xml:space="preserve"> </w:t>
      </w:r>
      <w:r>
        <w:t>(safe</w:t>
      </w:r>
      <w:r>
        <w:rPr>
          <w:spacing w:val="-4"/>
        </w:rPr>
        <w:t xml:space="preserve"> </w:t>
      </w:r>
      <w:r>
        <w:t>access</w:t>
      </w:r>
      <w:r>
        <w:rPr>
          <w:spacing w:val="-6"/>
        </w:rPr>
        <w:t xml:space="preserve"> </w:t>
      </w:r>
      <w:r>
        <w:t>zone</w:t>
      </w:r>
      <w:r>
        <w:rPr>
          <w:spacing w:val="-6"/>
        </w:rPr>
        <w:t xml:space="preserve"> </w:t>
      </w:r>
      <w:r>
        <w:t>legislation)</w:t>
      </w:r>
      <w:r>
        <w:rPr>
          <w:spacing w:val="-4"/>
        </w:rPr>
        <w:t xml:space="preserve"> </w:t>
      </w:r>
      <w:r>
        <w:t>contributed</w:t>
      </w:r>
      <w:r>
        <w:rPr>
          <w:spacing w:val="-7"/>
        </w:rPr>
        <w:t xml:space="preserve"> </w:t>
      </w:r>
      <w:r>
        <w:t>to</w:t>
      </w:r>
      <w:r>
        <w:rPr>
          <w:spacing w:val="-7"/>
        </w:rPr>
        <w:t xml:space="preserve"> </w:t>
      </w:r>
      <w:r>
        <w:t>the</w:t>
      </w:r>
      <w:r>
        <w:rPr>
          <w:spacing w:val="-7"/>
        </w:rPr>
        <w:t xml:space="preserve"> </w:t>
      </w:r>
      <w:r>
        <w:t>development</w:t>
      </w:r>
      <w:r>
        <w:rPr>
          <w:spacing w:val="-4"/>
        </w:rPr>
        <w:t xml:space="preserve"> </w:t>
      </w:r>
      <w:r>
        <w:t>of</w:t>
      </w:r>
      <w:r>
        <w:rPr>
          <w:spacing w:val="-6"/>
        </w:rPr>
        <w:t xml:space="preserve"> </w:t>
      </w:r>
      <w:r>
        <w:t>legislation</w:t>
      </w:r>
      <w:r>
        <w:rPr>
          <w:spacing w:val="-7"/>
        </w:rPr>
        <w:t xml:space="preserve"> </w:t>
      </w:r>
      <w:r>
        <w:t>that</w:t>
      </w:r>
      <w:r>
        <w:rPr>
          <w:spacing w:val="-4"/>
        </w:rPr>
        <w:t xml:space="preserve"> </w:t>
      </w:r>
      <w:r>
        <w:t>withstood</w:t>
      </w:r>
      <w:r>
        <w:rPr>
          <w:spacing w:val="-7"/>
        </w:rPr>
        <w:t xml:space="preserve"> </w:t>
      </w:r>
      <w:r>
        <w:t>the</w:t>
      </w:r>
      <w:r>
        <w:rPr>
          <w:spacing w:val="-7"/>
        </w:rPr>
        <w:t xml:space="preserve"> </w:t>
      </w:r>
      <w:r>
        <w:t>High Court challenge, unlike the original anti-protest laws that applied to workplaces. This points to the benefit</w:t>
      </w:r>
      <w:r>
        <w:rPr>
          <w:spacing w:val="-4"/>
        </w:rPr>
        <w:t xml:space="preserve"> </w:t>
      </w:r>
      <w:r>
        <w:t>that</w:t>
      </w:r>
      <w:r>
        <w:rPr>
          <w:spacing w:val="-4"/>
        </w:rPr>
        <w:t xml:space="preserve"> </w:t>
      </w:r>
      <w:r>
        <w:t>may</w:t>
      </w:r>
      <w:r>
        <w:rPr>
          <w:spacing w:val="-4"/>
        </w:rPr>
        <w:t xml:space="preserve"> </w:t>
      </w:r>
      <w:r>
        <w:t>result</w:t>
      </w:r>
      <w:r>
        <w:rPr>
          <w:spacing w:val="-4"/>
        </w:rPr>
        <w:t xml:space="preserve"> </w:t>
      </w:r>
      <w:r>
        <w:t>in</w:t>
      </w:r>
      <w:r>
        <w:rPr>
          <w:spacing w:val="-2"/>
        </w:rPr>
        <w:t xml:space="preserve"> </w:t>
      </w:r>
      <w:r>
        <w:t>Tasmania</w:t>
      </w:r>
      <w:r>
        <w:rPr>
          <w:spacing w:val="-2"/>
        </w:rPr>
        <w:t xml:space="preserve"> </w:t>
      </w:r>
      <w:r>
        <w:t>from</w:t>
      </w:r>
      <w:r>
        <w:rPr>
          <w:spacing w:val="-1"/>
        </w:rPr>
        <w:t xml:space="preserve"> </w:t>
      </w:r>
      <w:r>
        <w:t>the</w:t>
      </w:r>
      <w:r>
        <w:rPr>
          <w:spacing w:val="-2"/>
        </w:rPr>
        <w:t xml:space="preserve"> </w:t>
      </w:r>
      <w:r>
        <w:t>creation</w:t>
      </w:r>
      <w:r>
        <w:rPr>
          <w:spacing w:val="-2"/>
        </w:rPr>
        <w:t xml:space="preserve"> </w:t>
      </w:r>
      <w:r>
        <w:t>of</w:t>
      </w:r>
      <w:r>
        <w:rPr>
          <w:spacing w:val="-2"/>
        </w:rPr>
        <w:t xml:space="preserve"> </w:t>
      </w:r>
      <w:r>
        <w:t>a</w:t>
      </w:r>
      <w:r>
        <w:rPr>
          <w:spacing w:val="-2"/>
        </w:rPr>
        <w:t xml:space="preserve"> </w:t>
      </w:r>
      <w:r>
        <w:t>clear</w:t>
      </w:r>
      <w:r>
        <w:rPr>
          <w:spacing w:val="-1"/>
        </w:rPr>
        <w:t xml:space="preserve"> </w:t>
      </w:r>
      <w:r>
        <w:t>process for</w:t>
      </w:r>
      <w:r>
        <w:rPr>
          <w:spacing w:val="-2"/>
        </w:rPr>
        <w:t xml:space="preserve"> </w:t>
      </w:r>
      <w:r>
        <w:t>human</w:t>
      </w:r>
      <w:r>
        <w:rPr>
          <w:spacing w:val="-4"/>
        </w:rPr>
        <w:t xml:space="preserve"> </w:t>
      </w:r>
      <w:r>
        <w:t>rights</w:t>
      </w:r>
      <w:r>
        <w:rPr>
          <w:spacing w:val="-4"/>
        </w:rPr>
        <w:t xml:space="preserve"> </w:t>
      </w:r>
      <w:r>
        <w:t>evaluation. A human rights enactment in Tasmania would provide the framework for a more consistent, clear, and rigorous process to evaluate rights through the requirement for a statement of compatibility, the committee process and expert input from a Human Rights Commission at an early stage. This process allows for greater transparency in relation to human rights considerations, greater certainty as to the scope of the various rights, and a formal process to provide critical, specialised, and expert dialogue about the human rights implications of government policy and legislative proposals.</w:t>
      </w:r>
    </w:p>
    <w:p w14:paraId="7CB25F6E" w14:textId="77777777" w:rsidR="008A4099" w:rsidRDefault="006A6EE2">
      <w:pPr>
        <w:pStyle w:val="ListParagraph"/>
        <w:numPr>
          <w:ilvl w:val="2"/>
          <w:numId w:val="6"/>
        </w:numPr>
        <w:tabs>
          <w:tab w:val="left" w:pos="879"/>
        </w:tabs>
        <w:spacing w:before="198"/>
        <w:ind w:right="673" w:firstLine="0"/>
        <w:jc w:val="both"/>
      </w:pPr>
      <w:r>
        <w:t>Further,</w:t>
      </w:r>
      <w:r>
        <w:rPr>
          <w:spacing w:val="-3"/>
        </w:rPr>
        <w:t xml:space="preserve"> </w:t>
      </w:r>
      <w:r>
        <w:t>there are</w:t>
      </w:r>
      <w:r>
        <w:rPr>
          <w:spacing w:val="-2"/>
        </w:rPr>
        <w:t xml:space="preserve"> </w:t>
      </w:r>
      <w:r>
        <w:t>indications</w:t>
      </w:r>
      <w:r>
        <w:rPr>
          <w:spacing w:val="-2"/>
        </w:rPr>
        <w:t xml:space="preserve"> </w:t>
      </w:r>
      <w:r>
        <w:t>in</w:t>
      </w:r>
      <w:r>
        <w:rPr>
          <w:spacing w:val="-2"/>
        </w:rPr>
        <w:t xml:space="preserve"> </w:t>
      </w:r>
      <w:r>
        <w:t>jurisdictions</w:t>
      </w:r>
      <w:r>
        <w:rPr>
          <w:spacing w:val="-2"/>
        </w:rPr>
        <w:t xml:space="preserve"> </w:t>
      </w:r>
      <w:r>
        <w:t>with human</w:t>
      </w:r>
      <w:r>
        <w:rPr>
          <w:spacing w:val="-2"/>
        </w:rPr>
        <w:t xml:space="preserve"> </w:t>
      </w:r>
      <w:r>
        <w:t>rights</w:t>
      </w:r>
      <w:r>
        <w:rPr>
          <w:spacing w:val="-2"/>
        </w:rPr>
        <w:t xml:space="preserve"> </w:t>
      </w:r>
      <w:r>
        <w:t>enactments</w:t>
      </w:r>
      <w:r>
        <w:rPr>
          <w:spacing w:val="-2"/>
        </w:rPr>
        <w:t xml:space="preserve"> </w:t>
      </w:r>
      <w:r>
        <w:t>that</w:t>
      </w:r>
      <w:r>
        <w:rPr>
          <w:spacing w:val="-3"/>
        </w:rPr>
        <w:t xml:space="preserve"> </w:t>
      </w:r>
      <w:r>
        <w:t>the</w:t>
      </w:r>
      <w:r>
        <w:rPr>
          <w:spacing w:val="-2"/>
        </w:rPr>
        <w:t xml:space="preserve"> </w:t>
      </w:r>
      <w:r>
        <w:t>legislation has contributed to the development of a more human rights focused culture within government. The Queensland Human Rights Commissioner has referred to the requirement for decision-makers to consider less restrictive measures as ‘the biggest benefit of the Act’.</w:t>
      </w:r>
    </w:p>
    <w:p w14:paraId="7CB25F6F" w14:textId="77777777" w:rsidR="008A4099" w:rsidRDefault="006A6EE2">
      <w:pPr>
        <w:pStyle w:val="BodyText"/>
        <w:spacing w:before="237" w:line="278" w:lineRule="auto"/>
        <w:ind w:left="868" w:right="1344"/>
        <w:jc w:val="both"/>
      </w:pPr>
      <w:r>
        <w:t>We will know we have successfully built a human rights culture when public servants routinely ask themselves the question, ‘Can I do this in a less restrictive way?’</w:t>
      </w:r>
    </w:p>
    <w:p w14:paraId="7CB25F70" w14:textId="77777777" w:rsidR="008A4099" w:rsidRDefault="006A6EE2">
      <w:pPr>
        <w:pStyle w:val="BodyText"/>
        <w:spacing w:before="236" w:line="276" w:lineRule="auto"/>
        <w:ind w:left="868" w:right="1336"/>
        <w:jc w:val="both"/>
      </w:pPr>
      <w:r>
        <w:t>This</w:t>
      </w:r>
      <w:r>
        <w:rPr>
          <w:spacing w:val="-9"/>
        </w:rPr>
        <w:t xml:space="preserve"> </w:t>
      </w:r>
      <w:r>
        <w:t>is</w:t>
      </w:r>
      <w:r>
        <w:rPr>
          <w:spacing w:val="-9"/>
        </w:rPr>
        <w:t xml:space="preserve"> </w:t>
      </w:r>
      <w:r>
        <w:t>a</w:t>
      </w:r>
      <w:r>
        <w:rPr>
          <w:spacing w:val="-7"/>
        </w:rPr>
        <w:t xml:space="preserve"> </w:t>
      </w:r>
      <w:r>
        <w:t>profound</w:t>
      </w:r>
      <w:r>
        <w:rPr>
          <w:spacing w:val="-7"/>
        </w:rPr>
        <w:t xml:space="preserve"> </w:t>
      </w:r>
      <w:r>
        <w:t>and</w:t>
      </w:r>
      <w:r>
        <w:rPr>
          <w:spacing w:val="-7"/>
        </w:rPr>
        <w:t xml:space="preserve"> </w:t>
      </w:r>
      <w:r>
        <w:t>significant</w:t>
      </w:r>
      <w:r>
        <w:rPr>
          <w:spacing w:val="-8"/>
        </w:rPr>
        <w:t xml:space="preserve"> </w:t>
      </w:r>
      <w:r>
        <w:t>development</w:t>
      </w:r>
      <w:r>
        <w:rPr>
          <w:spacing w:val="-9"/>
        </w:rPr>
        <w:t xml:space="preserve"> </w:t>
      </w:r>
      <w:r>
        <w:t>in</w:t>
      </w:r>
      <w:r>
        <w:rPr>
          <w:spacing w:val="-7"/>
        </w:rPr>
        <w:t xml:space="preserve"> </w:t>
      </w:r>
      <w:r>
        <w:t>Queensland’s</w:t>
      </w:r>
      <w:r>
        <w:rPr>
          <w:spacing w:val="-9"/>
        </w:rPr>
        <w:t xml:space="preserve"> </w:t>
      </w:r>
      <w:r>
        <w:t>administration,</w:t>
      </w:r>
      <w:r>
        <w:rPr>
          <w:spacing w:val="-10"/>
        </w:rPr>
        <w:t xml:space="preserve"> </w:t>
      </w:r>
      <w:r>
        <w:t>and</w:t>
      </w:r>
      <w:r>
        <w:rPr>
          <w:spacing w:val="-7"/>
        </w:rPr>
        <w:t xml:space="preserve"> </w:t>
      </w:r>
      <w:r>
        <w:t>the benefit</w:t>
      </w:r>
      <w:r>
        <w:rPr>
          <w:spacing w:val="-4"/>
        </w:rPr>
        <w:t xml:space="preserve"> </w:t>
      </w:r>
      <w:r>
        <w:t>of</w:t>
      </w:r>
      <w:r>
        <w:rPr>
          <w:spacing w:val="-4"/>
        </w:rPr>
        <w:t xml:space="preserve"> </w:t>
      </w:r>
      <w:r>
        <w:t>this</w:t>
      </w:r>
      <w:r>
        <w:rPr>
          <w:spacing w:val="-4"/>
        </w:rPr>
        <w:t xml:space="preserve"> </w:t>
      </w:r>
      <w:r>
        <w:t>obligation</w:t>
      </w:r>
      <w:r>
        <w:rPr>
          <w:spacing w:val="-5"/>
        </w:rPr>
        <w:t xml:space="preserve"> </w:t>
      </w:r>
      <w:r>
        <w:t>is</w:t>
      </w:r>
      <w:r>
        <w:rPr>
          <w:spacing w:val="-6"/>
        </w:rPr>
        <w:t xml:space="preserve"> </w:t>
      </w:r>
      <w:r>
        <w:t>already</w:t>
      </w:r>
      <w:r>
        <w:rPr>
          <w:spacing w:val="-5"/>
        </w:rPr>
        <w:t xml:space="preserve"> </w:t>
      </w:r>
      <w:r>
        <w:t>being</w:t>
      </w:r>
      <w:r>
        <w:rPr>
          <w:spacing w:val="-7"/>
        </w:rPr>
        <w:t xml:space="preserve"> </w:t>
      </w:r>
      <w:r>
        <w:t>realised.</w:t>
      </w:r>
      <w:r>
        <w:rPr>
          <w:spacing w:val="-5"/>
        </w:rPr>
        <w:t xml:space="preserve"> </w:t>
      </w:r>
      <w:r>
        <w:t>For</w:t>
      </w:r>
      <w:r>
        <w:rPr>
          <w:spacing w:val="-4"/>
        </w:rPr>
        <w:t xml:space="preserve"> </w:t>
      </w:r>
      <w:r>
        <w:t>example,</w:t>
      </w:r>
      <w:r>
        <w:rPr>
          <w:spacing w:val="-5"/>
        </w:rPr>
        <w:t xml:space="preserve"> </w:t>
      </w:r>
      <w:r>
        <w:t>many</w:t>
      </w:r>
      <w:r>
        <w:rPr>
          <w:spacing w:val="-5"/>
        </w:rPr>
        <w:t xml:space="preserve"> </w:t>
      </w:r>
      <w:r>
        <w:t>departments</w:t>
      </w:r>
      <w:r>
        <w:rPr>
          <w:spacing w:val="-4"/>
        </w:rPr>
        <w:t xml:space="preserve"> </w:t>
      </w:r>
      <w:r>
        <w:t>and agencies</w:t>
      </w:r>
      <w:r>
        <w:rPr>
          <w:spacing w:val="57"/>
        </w:rPr>
        <w:t xml:space="preserve"> </w:t>
      </w:r>
      <w:r>
        <w:t>spent</w:t>
      </w:r>
      <w:r>
        <w:rPr>
          <w:spacing w:val="60"/>
        </w:rPr>
        <w:t xml:space="preserve"> </w:t>
      </w:r>
      <w:r>
        <w:t>considerable</w:t>
      </w:r>
      <w:r>
        <w:rPr>
          <w:spacing w:val="59"/>
        </w:rPr>
        <w:t xml:space="preserve"> </w:t>
      </w:r>
      <w:r>
        <w:t>time</w:t>
      </w:r>
      <w:r>
        <w:rPr>
          <w:spacing w:val="59"/>
        </w:rPr>
        <w:t xml:space="preserve"> </w:t>
      </w:r>
      <w:r>
        <w:t>last</w:t>
      </w:r>
      <w:r>
        <w:rPr>
          <w:spacing w:val="60"/>
        </w:rPr>
        <w:t xml:space="preserve"> </w:t>
      </w:r>
      <w:r>
        <w:t>year</w:t>
      </w:r>
      <w:r>
        <w:rPr>
          <w:spacing w:val="60"/>
        </w:rPr>
        <w:t xml:space="preserve"> </w:t>
      </w:r>
      <w:r>
        <w:t>conducting</w:t>
      </w:r>
      <w:r>
        <w:rPr>
          <w:spacing w:val="59"/>
        </w:rPr>
        <w:t xml:space="preserve"> </w:t>
      </w:r>
      <w:r>
        <w:t>audits</w:t>
      </w:r>
      <w:r>
        <w:rPr>
          <w:spacing w:val="59"/>
        </w:rPr>
        <w:t xml:space="preserve"> </w:t>
      </w:r>
      <w:r>
        <w:t>of</w:t>
      </w:r>
      <w:r>
        <w:rPr>
          <w:spacing w:val="60"/>
        </w:rPr>
        <w:t xml:space="preserve"> </w:t>
      </w:r>
      <w:r>
        <w:t>their</w:t>
      </w:r>
      <w:r>
        <w:rPr>
          <w:spacing w:val="58"/>
        </w:rPr>
        <w:t xml:space="preserve"> </w:t>
      </w:r>
      <w:r>
        <w:rPr>
          <w:spacing w:val="-2"/>
        </w:rPr>
        <w:t>legislation,</w:t>
      </w:r>
    </w:p>
    <w:p w14:paraId="7CB25F71" w14:textId="77777777" w:rsidR="008A4099" w:rsidRDefault="008A4099">
      <w:pPr>
        <w:pStyle w:val="BodyText"/>
        <w:rPr>
          <w:sz w:val="20"/>
        </w:rPr>
      </w:pPr>
    </w:p>
    <w:p w14:paraId="7CB25F72" w14:textId="77777777" w:rsidR="008A4099" w:rsidRDefault="008A4099">
      <w:pPr>
        <w:pStyle w:val="BodyText"/>
        <w:rPr>
          <w:sz w:val="20"/>
        </w:rPr>
      </w:pPr>
    </w:p>
    <w:p w14:paraId="7CB25F73" w14:textId="77777777" w:rsidR="008A4099" w:rsidRDefault="008A4099">
      <w:pPr>
        <w:pStyle w:val="BodyText"/>
        <w:rPr>
          <w:sz w:val="20"/>
        </w:rPr>
      </w:pPr>
    </w:p>
    <w:p w14:paraId="7CB25F74" w14:textId="77777777" w:rsidR="008A4099" w:rsidRDefault="008A4099">
      <w:pPr>
        <w:pStyle w:val="BodyText"/>
        <w:rPr>
          <w:sz w:val="20"/>
        </w:rPr>
      </w:pPr>
    </w:p>
    <w:p w14:paraId="7CB25F75" w14:textId="77777777" w:rsidR="008A4099" w:rsidRDefault="006A6EE2">
      <w:pPr>
        <w:pStyle w:val="BodyText"/>
        <w:spacing w:before="3"/>
        <w:rPr>
          <w:sz w:val="20"/>
        </w:rPr>
      </w:pPr>
      <w:r>
        <w:rPr>
          <w:noProof/>
        </w:rPr>
        <mc:AlternateContent>
          <mc:Choice Requires="wps">
            <w:drawing>
              <wp:anchor distT="0" distB="0" distL="0" distR="0" simplePos="0" relativeHeight="487607296" behindDoc="1" locked="0" layoutInCell="1" allowOverlap="1" wp14:anchorId="7CB26625" wp14:editId="7CB26626">
                <wp:simplePos x="0" y="0"/>
                <wp:positionH relativeFrom="page">
                  <wp:posOffset>914704</wp:posOffset>
                </wp:positionH>
                <wp:positionV relativeFrom="paragraph">
                  <wp:posOffset>163264</wp:posOffset>
                </wp:positionV>
                <wp:extent cx="1829435" cy="762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8C5E1D" id="Graphic 80" o:spid="_x0000_s1026" style="position:absolute;margin-left:1in;margin-top:12.85pt;width:144.05pt;height:.6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" path="m1829054,l,,,7619r1829054,l1829054,xe" fillcolor="black" stroked="f">
                <v:path arrowok="t"/>
                <w10:wrap type="topAndBottom" anchorx="page"/>
              </v:shape>
            </w:pict>
          </mc:Fallback>
        </mc:AlternateContent>
      </w:r>
    </w:p>
    <w:p w14:paraId="7CB25F76" w14:textId="77777777" w:rsidR="008A4099" w:rsidRDefault="006A6EE2">
      <w:pPr>
        <w:spacing w:before="112" w:line="244" w:lineRule="auto"/>
        <w:ind w:left="160" w:right="680"/>
        <w:rPr>
          <w:sz w:val="18"/>
        </w:rPr>
      </w:pPr>
      <w:r>
        <w:rPr>
          <w:sz w:val="18"/>
          <w:vertAlign w:val="superscript"/>
        </w:rPr>
        <w:t>247</w:t>
      </w:r>
      <w:r>
        <w:rPr>
          <w:sz w:val="18"/>
        </w:rPr>
        <w:t xml:space="preserve"> Public hearings were held in relation to notices relating to court proceedings, residential tenancies, poisons, and waiving land tax: Joint Standing Committee on Subordinate Legislation, </w:t>
      </w:r>
      <w:r>
        <w:rPr>
          <w:i/>
          <w:sz w:val="18"/>
        </w:rPr>
        <w:t>2019-2020 Annual Report</w:t>
      </w:r>
      <w:r>
        <w:rPr>
          <w:sz w:val="18"/>
        </w:rPr>
        <w:t>.</w:t>
      </w:r>
    </w:p>
    <w:p w14:paraId="7CB25F77" w14:textId="77777777" w:rsidR="008A4099" w:rsidRDefault="006A6EE2">
      <w:pPr>
        <w:spacing w:before="15"/>
        <w:ind w:left="160"/>
        <w:rPr>
          <w:sz w:val="18"/>
        </w:rPr>
      </w:pPr>
      <w:r>
        <w:rPr>
          <w:sz w:val="18"/>
          <w:vertAlign w:val="superscript"/>
        </w:rPr>
        <w:t>248</w:t>
      </w:r>
      <w:r>
        <w:rPr>
          <w:spacing w:val="5"/>
          <w:sz w:val="18"/>
        </w:rPr>
        <w:t xml:space="preserve"> </w:t>
      </w:r>
      <w:r>
        <w:rPr>
          <w:sz w:val="18"/>
        </w:rPr>
        <w:t>See</w:t>
      </w:r>
      <w:r>
        <w:rPr>
          <w:spacing w:val="5"/>
          <w:sz w:val="18"/>
        </w:rPr>
        <w:t xml:space="preserve"> </w:t>
      </w:r>
      <w:r>
        <w:rPr>
          <w:spacing w:val="-2"/>
          <w:sz w:val="18"/>
        </w:rPr>
        <w:t>[3.2.29]–[3.2.35].</w:t>
      </w:r>
    </w:p>
    <w:p w14:paraId="7CB25F78" w14:textId="77777777" w:rsidR="008A4099" w:rsidRDefault="006A6EE2">
      <w:pPr>
        <w:spacing w:before="23"/>
        <w:ind w:left="160"/>
        <w:rPr>
          <w:sz w:val="18"/>
        </w:rPr>
      </w:pPr>
      <w:r>
        <w:rPr>
          <w:sz w:val="18"/>
          <w:vertAlign w:val="superscript"/>
        </w:rPr>
        <w:t>249</w:t>
      </w:r>
      <w:r>
        <w:rPr>
          <w:spacing w:val="-1"/>
          <w:sz w:val="18"/>
        </w:rPr>
        <w:t xml:space="preserve"> </w:t>
      </w:r>
      <w:r>
        <w:rPr>
          <w:sz w:val="18"/>
        </w:rPr>
        <w:t>Australian</w:t>
      </w:r>
      <w:r>
        <w:rPr>
          <w:spacing w:val="33"/>
          <w:sz w:val="18"/>
        </w:rPr>
        <w:t xml:space="preserve">  </w:t>
      </w:r>
      <w:r>
        <w:rPr>
          <w:sz w:val="18"/>
        </w:rPr>
        <w:t>Human</w:t>
      </w:r>
      <w:r>
        <w:rPr>
          <w:spacing w:val="32"/>
          <w:sz w:val="18"/>
        </w:rPr>
        <w:t xml:space="preserve">  </w:t>
      </w:r>
      <w:r>
        <w:rPr>
          <w:sz w:val="18"/>
        </w:rPr>
        <w:t>Rights</w:t>
      </w:r>
      <w:r>
        <w:rPr>
          <w:spacing w:val="33"/>
          <w:sz w:val="18"/>
        </w:rPr>
        <w:t xml:space="preserve">  </w:t>
      </w:r>
      <w:r>
        <w:rPr>
          <w:sz w:val="18"/>
        </w:rPr>
        <w:t>Commission,</w:t>
      </w:r>
      <w:r>
        <w:rPr>
          <w:spacing w:val="34"/>
          <w:sz w:val="18"/>
        </w:rPr>
        <w:t xml:space="preserve">  </w:t>
      </w:r>
      <w:r>
        <w:rPr>
          <w:i/>
          <w:sz w:val="18"/>
        </w:rPr>
        <w:t>A</w:t>
      </w:r>
      <w:r>
        <w:rPr>
          <w:i/>
          <w:spacing w:val="33"/>
          <w:sz w:val="18"/>
        </w:rPr>
        <w:t xml:space="preserve">  </w:t>
      </w:r>
      <w:r>
        <w:rPr>
          <w:i/>
          <w:sz w:val="18"/>
        </w:rPr>
        <w:t>National</w:t>
      </w:r>
      <w:r>
        <w:rPr>
          <w:i/>
          <w:spacing w:val="32"/>
          <w:sz w:val="18"/>
        </w:rPr>
        <w:t xml:space="preserve">  </w:t>
      </w:r>
      <w:r>
        <w:rPr>
          <w:i/>
          <w:sz w:val="18"/>
        </w:rPr>
        <w:t>Human</w:t>
      </w:r>
      <w:r>
        <w:rPr>
          <w:i/>
          <w:spacing w:val="33"/>
          <w:sz w:val="18"/>
        </w:rPr>
        <w:t xml:space="preserve">  </w:t>
      </w:r>
      <w:r>
        <w:rPr>
          <w:i/>
          <w:sz w:val="18"/>
        </w:rPr>
        <w:t>Rights</w:t>
      </w:r>
      <w:r>
        <w:rPr>
          <w:i/>
          <w:spacing w:val="33"/>
          <w:sz w:val="18"/>
        </w:rPr>
        <w:t xml:space="preserve">  </w:t>
      </w:r>
      <w:r>
        <w:rPr>
          <w:i/>
          <w:sz w:val="18"/>
        </w:rPr>
        <w:t>Act</w:t>
      </w:r>
      <w:r>
        <w:rPr>
          <w:i/>
          <w:spacing w:val="32"/>
          <w:sz w:val="18"/>
        </w:rPr>
        <w:t xml:space="preserve">  </w:t>
      </w:r>
      <w:r>
        <w:rPr>
          <w:i/>
          <w:sz w:val="18"/>
        </w:rPr>
        <w:t>for</w:t>
      </w:r>
      <w:r>
        <w:rPr>
          <w:i/>
          <w:spacing w:val="32"/>
          <w:sz w:val="18"/>
        </w:rPr>
        <w:t xml:space="preserve">  </w:t>
      </w:r>
      <w:r>
        <w:rPr>
          <w:i/>
          <w:sz w:val="18"/>
        </w:rPr>
        <w:t>Australia</w:t>
      </w:r>
      <w:r>
        <w:rPr>
          <w:i/>
          <w:spacing w:val="34"/>
          <w:sz w:val="18"/>
        </w:rPr>
        <w:t xml:space="preserve">  </w:t>
      </w:r>
      <w:r>
        <w:rPr>
          <w:sz w:val="18"/>
        </w:rPr>
        <w:t>(AHRC,</w:t>
      </w:r>
      <w:r>
        <w:rPr>
          <w:spacing w:val="33"/>
          <w:sz w:val="18"/>
        </w:rPr>
        <w:t xml:space="preserve">  </w:t>
      </w:r>
      <w:r>
        <w:rPr>
          <w:sz w:val="18"/>
        </w:rPr>
        <w:t>2023)</w:t>
      </w:r>
      <w:r>
        <w:rPr>
          <w:spacing w:val="31"/>
          <w:sz w:val="18"/>
        </w:rPr>
        <w:t xml:space="preserve">  </w:t>
      </w:r>
      <w:r>
        <w:rPr>
          <w:spacing w:val="-5"/>
          <w:sz w:val="18"/>
        </w:rPr>
        <w:t>38</w:t>
      </w:r>
    </w:p>
    <w:p w14:paraId="7CB25F79" w14:textId="77777777" w:rsidR="008A4099" w:rsidRDefault="006A6EE2">
      <w:pPr>
        <w:spacing w:before="5"/>
        <w:ind w:left="160"/>
        <w:rPr>
          <w:sz w:val="18"/>
        </w:rPr>
      </w:pPr>
      <w:r>
        <w:rPr>
          <w:spacing w:val="-2"/>
          <w:sz w:val="18"/>
        </w:rPr>
        <w:t>&lt;https://humanrights.gov.au/human-rights-act-for-australia&gt;.</w:t>
      </w:r>
    </w:p>
    <w:p w14:paraId="7CB25F7A" w14:textId="77777777" w:rsidR="008A4099" w:rsidRDefault="006A6EE2">
      <w:pPr>
        <w:spacing w:before="18" w:line="242" w:lineRule="auto"/>
        <w:ind w:left="160" w:right="674"/>
        <w:jc w:val="both"/>
        <w:rPr>
          <w:sz w:val="18"/>
        </w:rPr>
      </w:pPr>
      <w:r>
        <w:rPr>
          <w:sz w:val="18"/>
          <w:vertAlign w:val="superscript"/>
        </w:rPr>
        <w:t>250</w:t>
      </w:r>
      <w:r>
        <w:rPr>
          <w:spacing w:val="-3"/>
          <w:sz w:val="18"/>
        </w:rPr>
        <w:t xml:space="preserve"> </w:t>
      </w:r>
      <w:r>
        <w:rPr>
          <w:sz w:val="18"/>
        </w:rPr>
        <w:t>Joanna</w:t>
      </w:r>
      <w:r>
        <w:rPr>
          <w:spacing w:val="-4"/>
          <w:sz w:val="18"/>
        </w:rPr>
        <w:t xml:space="preserve"> </w:t>
      </w:r>
      <w:r>
        <w:rPr>
          <w:sz w:val="18"/>
        </w:rPr>
        <w:t>Davidson,</w:t>
      </w:r>
      <w:r>
        <w:rPr>
          <w:spacing w:val="-3"/>
          <w:sz w:val="18"/>
        </w:rPr>
        <w:t xml:space="preserve"> </w:t>
      </w:r>
      <w:r>
        <w:rPr>
          <w:sz w:val="18"/>
        </w:rPr>
        <w:t>‘Impact</w:t>
      </w:r>
      <w:r>
        <w:rPr>
          <w:spacing w:val="-3"/>
          <w:sz w:val="18"/>
        </w:rPr>
        <w:t xml:space="preserve"> </w:t>
      </w:r>
      <w:r>
        <w:rPr>
          <w:sz w:val="18"/>
        </w:rPr>
        <w:t>of</w:t>
      </w:r>
      <w:r>
        <w:rPr>
          <w:spacing w:val="-6"/>
          <w:sz w:val="18"/>
        </w:rPr>
        <w:t xml:space="preserve"> </w:t>
      </w:r>
      <w:r>
        <w:rPr>
          <w:sz w:val="18"/>
        </w:rPr>
        <w:t>the</w:t>
      </w:r>
      <w:r>
        <w:rPr>
          <w:spacing w:val="-6"/>
          <w:sz w:val="18"/>
        </w:rPr>
        <w:t xml:space="preserve"> </w:t>
      </w:r>
      <w:r>
        <w:rPr>
          <w:sz w:val="18"/>
        </w:rPr>
        <w:t>Victorian</w:t>
      </w:r>
      <w:r>
        <w:rPr>
          <w:spacing w:val="-3"/>
          <w:sz w:val="18"/>
        </w:rPr>
        <w:t xml:space="preserve"> </w:t>
      </w:r>
      <w:r>
        <w:rPr>
          <w:sz w:val="18"/>
        </w:rPr>
        <w:t>Charter</w:t>
      </w:r>
      <w:r>
        <w:rPr>
          <w:spacing w:val="-6"/>
          <w:sz w:val="18"/>
        </w:rPr>
        <w:t xml:space="preserve"> </w:t>
      </w:r>
      <w:r>
        <w:rPr>
          <w:sz w:val="18"/>
        </w:rPr>
        <w:t>upon</w:t>
      </w:r>
      <w:r>
        <w:rPr>
          <w:spacing w:val="-5"/>
          <w:sz w:val="18"/>
        </w:rPr>
        <w:t xml:space="preserve"> </w:t>
      </w:r>
      <w:r>
        <w:rPr>
          <w:sz w:val="18"/>
        </w:rPr>
        <w:t>Policy</w:t>
      </w:r>
      <w:r>
        <w:rPr>
          <w:spacing w:val="-2"/>
          <w:sz w:val="18"/>
        </w:rPr>
        <w:t xml:space="preserve"> </w:t>
      </w:r>
      <w:r>
        <w:rPr>
          <w:sz w:val="18"/>
        </w:rPr>
        <w:t>and</w:t>
      </w:r>
      <w:r>
        <w:rPr>
          <w:spacing w:val="-2"/>
          <w:sz w:val="18"/>
        </w:rPr>
        <w:t xml:space="preserve"> </w:t>
      </w:r>
      <w:r>
        <w:rPr>
          <w:sz w:val="18"/>
        </w:rPr>
        <w:t>Legislative</w:t>
      </w:r>
      <w:r>
        <w:rPr>
          <w:spacing w:val="-4"/>
          <w:sz w:val="18"/>
        </w:rPr>
        <w:t xml:space="preserve"> </w:t>
      </w:r>
      <w:r>
        <w:rPr>
          <w:sz w:val="18"/>
        </w:rPr>
        <w:t>Development’</w:t>
      </w:r>
      <w:r>
        <w:rPr>
          <w:spacing w:val="-5"/>
          <w:sz w:val="18"/>
        </w:rPr>
        <w:t xml:space="preserve"> </w:t>
      </w:r>
      <w:r>
        <w:rPr>
          <w:sz w:val="18"/>
        </w:rPr>
        <w:t>in Julie</w:t>
      </w:r>
      <w:r>
        <w:rPr>
          <w:spacing w:val="-4"/>
          <w:sz w:val="18"/>
        </w:rPr>
        <w:t xml:space="preserve"> </w:t>
      </w:r>
      <w:r>
        <w:rPr>
          <w:sz w:val="18"/>
        </w:rPr>
        <w:t>Debeljak</w:t>
      </w:r>
      <w:r>
        <w:rPr>
          <w:spacing w:val="-2"/>
          <w:sz w:val="18"/>
        </w:rPr>
        <w:t xml:space="preserve"> </w:t>
      </w:r>
      <w:r>
        <w:rPr>
          <w:sz w:val="18"/>
        </w:rPr>
        <w:t>and</w:t>
      </w:r>
      <w:r>
        <w:rPr>
          <w:spacing w:val="-2"/>
          <w:sz w:val="18"/>
        </w:rPr>
        <w:t xml:space="preserve"> </w:t>
      </w:r>
      <w:r>
        <w:rPr>
          <w:sz w:val="18"/>
        </w:rPr>
        <w:t xml:space="preserve">Laura Grenfell (eds), </w:t>
      </w:r>
      <w:r>
        <w:rPr>
          <w:i/>
          <w:sz w:val="18"/>
        </w:rPr>
        <w:t>Law Making and</w:t>
      </w:r>
      <w:r>
        <w:rPr>
          <w:i/>
          <w:spacing w:val="-1"/>
          <w:sz w:val="18"/>
        </w:rPr>
        <w:t xml:space="preserve"> </w:t>
      </w:r>
      <w:r>
        <w:rPr>
          <w:i/>
          <w:sz w:val="18"/>
        </w:rPr>
        <w:t xml:space="preserve">Human Rights </w:t>
      </w:r>
      <w:r>
        <w:rPr>
          <w:sz w:val="18"/>
        </w:rPr>
        <w:t xml:space="preserve">(LawBook Co, 2020) ch 10 [10.220]; Chris Humphreys, Jessica Cleaver and Catherine Roberts, ‘Considering Human Rights in the Development of Legislation in Victoria’ in Julie Debeljak and Laura Grenfell (eds), </w:t>
      </w:r>
      <w:r>
        <w:rPr>
          <w:i/>
          <w:sz w:val="18"/>
        </w:rPr>
        <w:t xml:space="preserve">Law Making and Human Rights </w:t>
      </w:r>
      <w:r>
        <w:rPr>
          <w:sz w:val="18"/>
        </w:rPr>
        <w:t xml:space="preserve">(LawBook Co, 2020) ch 7 [7.170]; Watchirs, Costello and Thilagaratnam, ‘Human Rights Scrutiny under the </w:t>
      </w:r>
      <w:r>
        <w:rPr>
          <w:i/>
          <w:sz w:val="18"/>
        </w:rPr>
        <w:t xml:space="preserve">Human Rights Act 2004 </w:t>
      </w:r>
      <w:r>
        <w:rPr>
          <w:sz w:val="18"/>
        </w:rPr>
        <w:t>(ACT)’ [6.260].</w:t>
      </w:r>
    </w:p>
    <w:p w14:paraId="7CB25F7B"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F7C" w14:textId="77777777" w:rsidR="008A4099" w:rsidRDefault="008A4099">
      <w:pPr>
        <w:pStyle w:val="BodyText"/>
        <w:spacing w:before="196"/>
      </w:pPr>
    </w:p>
    <w:p w14:paraId="7CB25F7D" w14:textId="77777777" w:rsidR="008A4099" w:rsidRDefault="006A6EE2">
      <w:pPr>
        <w:pStyle w:val="BodyText"/>
        <w:spacing w:before="1" w:line="276" w:lineRule="auto"/>
        <w:ind w:left="868" w:right="1338"/>
        <w:jc w:val="both"/>
        <w:rPr>
          <w:sz w:val="13"/>
        </w:rPr>
      </w:pPr>
      <w:r>
        <w:t>policies,</w:t>
      </w:r>
      <w:r>
        <w:rPr>
          <w:spacing w:val="-12"/>
        </w:rPr>
        <w:t xml:space="preserve"> </w:t>
      </w:r>
      <w:r>
        <w:t>and</w:t>
      </w:r>
      <w:r>
        <w:rPr>
          <w:spacing w:val="-12"/>
        </w:rPr>
        <w:t xml:space="preserve"> </w:t>
      </w:r>
      <w:r>
        <w:t>procedures</w:t>
      </w:r>
      <w:r>
        <w:rPr>
          <w:spacing w:val="-14"/>
        </w:rPr>
        <w:t xml:space="preserve"> </w:t>
      </w:r>
      <w:r>
        <w:t>to</w:t>
      </w:r>
      <w:r>
        <w:rPr>
          <w:spacing w:val="-11"/>
        </w:rPr>
        <w:t xml:space="preserve"> </w:t>
      </w:r>
      <w:r>
        <w:t>test</w:t>
      </w:r>
      <w:r>
        <w:rPr>
          <w:spacing w:val="-13"/>
        </w:rPr>
        <w:t xml:space="preserve"> </w:t>
      </w:r>
      <w:r>
        <w:t>for</w:t>
      </w:r>
      <w:r>
        <w:rPr>
          <w:spacing w:val="-11"/>
        </w:rPr>
        <w:t xml:space="preserve"> </w:t>
      </w:r>
      <w:r>
        <w:t>compatibility</w:t>
      </w:r>
      <w:r>
        <w:rPr>
          <w:spacing w:val="-12"/>
        </w:rPr>
        <w:t xml:space="preserve"> </w:t>
      </w:r>
      <w:r>
        <w:t>with</w:t>
      </w:r>
      <w:r>
        <w:rPr>
          <w:spacing w:val="-12"/>
        </w:rPr>
        <w:t xml:space="preserve"> </w:t>
      </w:r>
      <w:r>
        <w:t>human</w:t>
      </w:r>
      <w:r>
        <w:rPr>
          <w:spacing w:val="-14"/>
        </w:rPr>
        <w:t xml:space="preserve"> </w:t>
      </w:r>
      <w:r>
        <w:t>rights.</w:t>
      </w:r>
      <w:r>
        <w:rPr>
          <w:spacing w:val="-11"/>
        </w:rPr>
        <w:t xml:space="preserve"> </w:t>
      </w:r>
      <w:r>
        <w:t>I</w:t>
      </w:r>
      <w:r>
        <w:rPr>
          <w:spacing w:val="-13"/>
        </w:rPr>
        <w:t xml:space="preserve"> </w:t>
      </w:r>
      <w:r>
        <w:t>have</w:t>
      </w:r>
      <w:r>
        <w:rPr>
          <w:spacing w:val="-11"/>
        </w:rPr>
        <w:t xml:space="preserve"> </w:t>
      </w:r>
      <w:r>
        <w:t>no</w:t>
      </w:r>
      <w:r>
        <w:rPr>
          <w:spacing w:val="-12"/>
        </w:rPr>
        <w:t xml:space="preserve"> </w:t>
      </w:r>
      <w:r>
        <w:t>doubt</w:t>
      </w:r>
      <w:r>
        <w:rPr>
          <w:spacing w:val="-11"/>
        </w:rPr>
        <w:t xml:space="preserve"> </w:t>
      </w:r>
      <w:r>
        <w:t>that improvements</w:t>
      </w:r>
      <w:r>
        <w:rPr>
          <w:spacing w:val="-5"/>
        </w:rPr>
        <w:t xml:space="preserve"> </w:t>
      </w:r>
      <w:r>
        <w:t>have</w:t>
      </w:r>
      <w:r>
        <w:rPr>
          <w:spacing w:val="-2"/>
        </w:rPr>
        <w:t xml:space="preserve"> </w:t>
      </w:r>
      <w:r>
        <w:t>already</w:t>
      </w:r>
      <w:r>
        <w:rPr>
          <w:spacing w:val="-5"/>
        </w:rPr>
        <w:t xml:space="preserve"> </w:t>
      </w:r>
      <w:r>
        <w:t>been</w:t>
      </w:r>
      <w:r>
        <w:rPr>
          <w:spacing w:val="-5"/>
        </w:rPr>
        <w:t xml:space="preserve"> </w:t>
      </w:r>
      <w:r>
        <w:t>made</w:t>
      </w:r>
      <w:r>
        <w:rPr>
          <w:spacing w:val="-2"/>
        </w:rPr>
        <w:t xml:space="preserve"> </w:t>
      </w:r>
      <w:r>
        <w:t>that</w:t>
      </w:r>
      <w:r>
        <w:rPr>
          <w:spacing w:val="-5"/>
        </w:rPr>
        <w:t xml:space="preserve"> </w:t>
      </w:r>
      <w:r>
        <w:t>may</w:t>
      </w:r>
      <w:r>
        <w:rPr>
          <w:spacing w:val="-4"/>
        </w:rPr>
        <w:t xml:space="preserve"> </w:t>
      </w:r>
      <w:r>
        <w:t>not</w:t>
      </w:r>
      <w:r>
        <w:rPr>
          <w:spacing w:val="-4"/>
        </w:rPr>
        <w:t xml:space="preserve"> </w:t>
      </w:r>
      <w:r>
        <w:t>be</w:t>
      </w:r>
      <w:r>
        <w:rPr>
          <w:spacing w:val="-4"/>
        </w:rPr>
        <w:t xml:space="preserve"> </w:t>
      </w:r>
      <w:r>
        <w:t>readily</w:t>
      </w:r>
      <w:r>
        <w:rPr>
          <w:spacing w:val="-3"/>
        </w:rPr>
        <w:t xml:space="preserve"> </w:t>
      </w:r>
      <w:r>
        <w:t>apparent</w:t>
      </w:r>
      <w:r>
        <w:rPr>
          <w:spacing w:val="-4"/>
        </w:rPr>
        <w:t xml:space="preserve"> </w:t>
      </w:r>
      <w:r>
        <w:t>to</w:t>
      </w:r>
      <w:r>
        <w:rPr>
          <w:spacing w:val="-2"/>
        </w:rPr>
        <w:t xml:space="preserve"> outsiders.</w:t>
      </w:r>
      <w:r>
        <w:rPr>
          <w:spacing w:val="-2"/>
          <w:position w:val="7"/>
          <w:sz w:val="13"/>
        </w:rPr>
        <w:t>251</w:t>
      </w:r>
    </w:p>
    <w:p w14:paraId="7CB25F7E" w14:textId="77777777" w:rsidR="008A4099" w:rsidRDefault="006A6EE2">
      <w:pPr>
        <w:pStyle w:val="ListParagraph"/>
        <w:numPr>
          <w:ilvl w:val="2"/>
          <w:numId w:val="6"/>
        </w:numPr>
        <w:tabs>
          <w:tab w:val="left" w:pos="879"/>
        </w:tabs>
        <w:spacing w:before="237"/>
        <w:ind w:right="673" w:firstLine="0"/>
        <w:jc w:val="both"/>
      </w:pPr>
      <w:r>
        <w:t>A focus on the development of a human rights culture has been evident in Queensland. In its 2020-2021</w:t>
      </w:r>
      <w:r>
        <w:rPr>
          <w:spacing w:val="-10"/>
        </w:rPr>
        <w:t xml:space="preserve"> </w:t>
      </w:r>
      <w:r>
        <w:t>Annual</w:t>
      </w:r>
      <w:r>
        <w:rPr>
          <w:spacing w:val="-10"/>
        </w:rPr>
        <w:t xml:space="preserve"> </w:t>
      </w:r>
      <w:r>
        <w:t>Report,</w:t>
      </w:r>
      <w:r>
        <w:rPr>
          <w:position w:val="7"/>
          <w:sz w:val="13"/>
        </w:rPr>
        <w:t>252</w:t>
      </w:r>
      <w:r>
        <w:rPr>
          <w:spacing w:val="11"/>
          <w:position w:val="7"/>
          <w:sz w:val="13"/>
        </w:rPr>
        <w:t xml:space="preserve"> </w:t>
      </w:r>
      <w:r>
        <w:t>the</w:t>
      </w:r>
      <w:r>
        <w:rPr>
          <w:spacing w:val="-9"/>
        </w:rPr>
        <w:t xml:space="preserve"> </w:t>
      </w:r>
      <w:r>
        <w:t>Queensland</w:t>
      </w:r>
      <w:r>
        <w:rPr>
          <w:spacing w:val="-10"/>
        </w:rPr>
        <w:t xml:space="preserve"> </w:t>
      </w:r>
      <w:r>
        <w:t>Human</w:t>
      </w:r>
      <w:r>
        <w:rPr>
          <w:spacing w:val="-12"/>
        </w:rPr>
        <w:t xml:space="preserve"> </w:t>
      </w:r>
      <w:r>
        <w:t>Rights</w:t>
      </w:r>
      <w:r>
        <w:rPr>
          <w:spacing w:val="-9"/>
        </w:rPr>
        <w:t xml:space="preserve"> </w:t>
      </w:r>
      <w:r>
        <w:t>Commission</w:t>
      </w:r>
      <w:r>
        <w:rPr>
          <w:spacing w:val="-10"/>
        </w:rPr>
        <w:t xml:space="preserve"> </w:t>
      </w:r>
      <w:r>
        <w:t>outlined</w:t>
      </w:r>
      <w:r>
        <w:rPr>
          <w:spacing w:val="-12"/>
        </w:rPr>
        <w:t xml:space="preserve"> </w:t>
      </w:r>
      <w:r>
        <w:t>a</w:t>
      </w:r>
      <w:r>
        <w:rPr>
          <w:spacing w:val="-12"/>
        </w:rPr>
        <w:t xml:space="preserve"> </w:t>
      </w:r>
      <w:r>
        <w:t>series</w:t>
      </w:r>
      <w:r>
        <w:rPr>
          <w:spacing w:val="-11"/>
        </w:rPr>
        <w:t xml:space="preserve"> </w:t>
      </w:r>
      <w:r>
        <w:t>of</w:t>
      </w:r>
      <w:r>
        <w:rPr>
          <w:spacing w:val="-11"/>
        </w:rPr>
        <w:t xml:space="preserve"> </w:t>
      </w:r>
      <w:r>
        <w:t xml:space="preserve">indicators against which the Commission intended to measure the extent to which the </w:t>
      </w:r>
      <w:r>
        <w:rPr>
          <w:i/>
        </w:rPr>
        <w:t xml:space="preserve">Human Rights Act 2019 </w:t>
      </w:r>
      <w:r>
        <w:t>(Qld)</w:t>
      </w:r>
      <w:r>
        <w:rPr>
          <w:spacing w:val="-4"/>
        </w:rPr>
        <w:t xml:space="preserve"> </w:t>
      </w:r>
      <w:r>
        <w:t>has</w:t>
      </w:r>
      <w:r>
        <w:rPr>
          <w:spacing w:val="-3"/>
        </w:rPr>
        <w:t xml:space="preserve"> </w:t>
      </w:r>
      <w:r>
        <w:t>built</w:t>
      </w:r>
      <w:r>
        <w:rPr>
          <w:spacing w:val="-4"/>
        </w:rPr>
        <w:t xml:space="preserve"> </w:t>
      </w:r>
      <w:r>
        <w:t>a</w:t>
      </w:r>
      <w:r>
        <w:rPr>
          <w:spacing w:val="-4"/>
        </w:rPr>
        <w:t xml:space="preserve"> </w:t>
      </w:r>
      <w:r>
        <w:t>human</w:t>
      </w:r>
      <w:r>
        <w:rPr>
          <w:spacing w:val="-4"/>
        </w:rPr>
        <w:t xml:space="preserve"> </w:t>
      </w:r>
      <w:r>
        <w:t>rights</w:t>
      </w:r>
      <w:r>
        <w:rPr>
          <w:spacing w:val="-4"/>
        </w:rPr>
        <w:t xml:space="preserve"> </w:t>
      </w:r>
      <w:r>
        <w:t>culture</w:t>
      </w:r>
      <w:r>
        <w:rPr>
          <w:spacing w:val="-4"/>
        </w:rPr>
        <w:t xml:space="preserve"> </w:t>
      </w:r>
      <w:r>
        <w:t>within</w:t>
      </w:r>
      <w:r>
        <w:rPr>
          <w:spacing w:val="-5"/>
        </w:rPr>
        <w:t xml:space="preserve"> </w:t>
      </w:r>
      <w:r>
        <w:t>Parliament,</w:t>
      </w:r>
      <w:r>
        <w:rPr>
          <w:spacing w:val="-5"/>
        </w:rPr>
        <w:t xml:space="preserve"> </w:t>
      </w:r>
      <w:r>
        <w:t>including</w:t>
      </w:r>
      <w:r>
        <w:rPr>
          <w:spacing w:val="-5"/>
        </w:rPr>
        <w:t xml:space="preserve"> </w:t>
      </w:r>
      <w:r>
        <w:t>how</w:t>
      </w:r>
      <w:r>
        <w:rPr>
          <w:spacing w:val="-6"/>
        </w:rPr>
        <w:t xml:space="preserve"> </w:t>
      </w:r>
      <w:r>
        <w:t>often</w:t>
      </w:r>
      <w:r>
        <w:rPr>
          <w:spacing w:val="-4"/>
        </w:rPr>
        <w:t xml:space="preserve"> </w:t>
      </w:r>
      <w:r>
        <w:t>override</w:t>
      </w:r>
      <w:r>
        <w:rPr>
          <w:spacing w:val="-4"/>
        </w:rPr>
        <w:t xml:space="preserve"> </w:t>
      </w:r>
      <w:r>
        <w:t>declarations</w:t>
      </w:r>
      <w:r>
        <w:rPr>
          <w:spacing w:val="-4"/>
        </w:rPr>
        <w:t xml:space="preserve"> </w:t>
      </w:r>
      <w:r>
        <w:t>are used, how often incompatibility is addressed and acknowledged in a statement of compatibility, how robustly statements are critiqued by Portfolio Committees, the level of dialogue between the Minister and</w:t>
      </w:r>
      <w:r>
        <w:rPr>
          <w:spacing w:val="-14"/>
        </w:rPr>
        <w:t xml:space="preserve"> </w:t>
      </w:r>
      <w:r>
        <w:t>the</w:t>
      </w:r>
      <w:r>
        <w:rPr>
          <w:spacing w:val="-14"/>
        </w:rPr>
        <w:t xml:space="preserve"> </w:t>
      </w:r>
      <w:r>
        <w:t>Committee,</w:t>
      </w:r>
      <w:r>
        <w:rPr>
          <w:spacing w:val="-14"/>
        </w:rPr>
        <w:t xml:space="preserve"> </w:t>
      </w:r>
      <w:r>
        <w:t>and</w:t>
      </w:r>
      <w:r>
        <w:rPr>
          <w:spacing w:val="-13"/>
        </w:rPr>
        <w:t xml:space="preserve"> </w:t>
      </w:r>
      <w:r>
        <w:t>whether</w:t>
      </w:r>
      <w:r>
        <w:rPr>
          <w:spacing w:val="-14"/>
        </w:rPr>
        <w:t xml:space="preserve"> </w:t>
      </w:r>
      <w:r>
        <w:t>Bills</w:t>
      </w:r>
      <w:r>
        <w:rPr>
          <w:spacing w:val="-14"/>
        </w:rPr>
        <w:t xml:space="preserve"> </w:t>
      </w:r>
      <w:r>
        <w:t>are</w:t>
      </w:r>
      <w:r>
        <w:rPr>
          <w:spacing w:val="-14"/>
        </w:rPr>
        <w:t xml:space="preserve"> </w:t>
      </w:r>
      <w:r>
        <w:t>amended</w:t>
      </w:r>
      <w:r>
        <w:rPr>
          <w:spacing w:val="-13"/>
        </w:rPr>
        <w:t xml:space="preserve"> </w:t>
      </w:r>
      <w:r>
        <w:t>in</w:t>
      </w:r>
      <w:r>
        <w:rPr>
          <w:spacing w:val="-14"/>
        </w:rPr>
        <w:t xml:space="preserve"> </w:t>
      </w:r>
      <w:r>
        <w:t>response</w:t>
      </w:r>
      <w:r>
        <w:rPr>
          <w:spacing w:val="-14"/>
        </w:rPr>
        <w:t xml:space="preserve"> </w:t>
      </w:r>
      <w:r>
        <w:t>to</w:t>
      </w:r>
      <w:r>
        <w:rPr>
          <w:spacing w:val="-14"/>
        </w:rPr>
        <w:t xml:space="preserve"> </w:t>
      </w:r>
      <w:r>
        <w:t>issues</w:t>
      </w:r>
      <w:r>
        <w:rPr>
          <w:spacing w:val="-13"/>
        </w:rPr>
        <w:t xml:space="preserve"> </w:t>
      </w:r>
      <w:r>
        <w:t>raised</w:t>
      </w:r>
      <w:r>
        <w:rPr>
          <w:spacing w:val="-14"/>
        </w:rPr>
        <w:t xml:space="preserve"> </w:t>
      </w:r>
      <w:r>
        <w:t>by</w:t>
      </w:r>
      <w:r>
        <w:rPr>
          <w:spacing w:val="-14"/>
        </w:rPr>
        <w:t xml:space="preserve"> </w:t>
      </w:r>
      <w:r>
        <w:t>Committees.</w:t>
      </w:r>
      <w:r>
        <w:rPr>
          <w:spacing w:val="-14"/>
        </w:rPr>
        <w:t xml:space="preserve"> </w:t>
      </w:r>
      <w:r>
        <w:t>Ongoing monitoring</w:t>
      </w:r>
      <w:r>
        <w:rPr>
          <w:spacing w:val="-9"/>
        </w:rPr>
        <w:t xml:space="preserve"> </w:t>
      </w:r>
      <w:r>
        <w:t>and</w:t>
      </w:r>
      <w:r>
        <w:rPr>
          <w:spacing w:val="-9"/>
        </w:rPr>
        <w:t xml:space="preserve"> </w:t>
      </w:r>
      <w:r>
        <w:t>evaluation</w:t>
      </w:r>
      <w:r>
        <w:rPr>
          <w:spacing w:val="-11"/>
        </w:rPr>
        <w:t xml:space="preserve"> </w:t>
      </w:r>
      <w:r>
        <w:t>provide</w:t>
      </w:r>
      <w:r>
        <w:rPr>
          <w:spacing w:val="-11"/>
        </w:rPr>
        <w:t xml:space="preserve"> </w:t>
      </w:r>
      <w:r>
        <w:t>insight</w:t>
      </w:r>
      <w:r>
        <w:rPr>
          <w:spacing w:val="-10"/>
        </w:rPr>
        <w:t xml:space="preserve"> </w:t>
      </w:r>
      <w:r>
        <w:t>into</w:t>
      </w:r>
      <w:r>
        <w:rPr>
          <w:spacing w:val="-11"/>
        </w:rPr>
        <w:t xml:space="preserve"> </w:t>
      </w:r>
      <w:r>
        <w:t>the</w:t>
      </w:r>
      <w:r>
        <w:rPr>
          <w:spacing w:val="-11"/>
        </w:rPr>
        <w:t xml:space="preserve"> </w:t>
      </w:r>
      <w:r>
        <w:t>success</w:t>
      </w:r>
      <w:r>
        <w:rPr>
          <w:spacing w:val="-10"/>
        </w:rPr>
        <w:t xml:space="preserve"> </w:t>
      </w:r>
      <w:r>
        <w:t>of</w:t>
      </w:r>
      <w:r>
        <w:rPr>
          <w:spacing w:val="-10"/>
        </w:rPr>
        <w:t xml:space="preserve"> </w:t>
      </w:r>
      <w:r>
        <w:t>measures</w:t>
      </w:r>
      <w:r>
        <w:rPr>
          <w:spacing w:val="-10"/>
        </w:rPr>
        <w:t xml:space="preserve"> </w:t>
      </w:r>
      <w:r>
        <w:t>to</w:t>
      </w:r>
      <w:r>
        <w:rPr>
          <w:spacing w:val="-11"/>
        </w:rPr>
        <w:t xml:space="preserve"> </w:t>
      </w:r>
      <w:r>
        <w:t>embed</w:t>
      </w:r>
      <w:r>
        <w:rPr>
          <w:spacing w:val="-11"/>
        </w:rPr>
        <w:t xml:space="preserve"> </w:t>
      </w:r>
      <w:r>
        <w:t>a</w:t>
      </w:r>
      <w:r>
        <w:rPr>
          <w:spacing w:val="-8"/>
        </w:rPr>
        <w:t xml:space="preserve"> </w:t>
      </w:r>
      <w:r>
        <w:t>human</w:t>
      </w:r>
      <w:r>
        <w:rPr>
          <w:spacing w:val="-11"/>
        </w:rPr>
        <w:t xml:space="preserve"> </w:t>
      </w:r>
      <w:r>
        <w:t>rights</w:t>
      </w:r>
      <w:r>
        <w:rPr>
          <w:spacing w:val="-10"/>
        </w:rPr>
        <w:t xml:space="preserve"> </w:t>
      </w:r>
      <w:r>
        <w:t>culture and</w:t>
      </w:r>
      <w:r>
        <w:rPr>
          <w:spacing w:val="-7"/>
        </w:rPr>
        <w:t xml:space="preserve"> </w:t>
      </w:r>
      <w:r>
        <w:t>meaningful</w:t>
      </w:r>
      <w:r>
        <w:rPr>
          <w:spacing w:val="-6"/>
        </w:rPr>
        <w:t xml:space="preserve"> </w:t>
      </w:r>
      <w:r>
        <w:t>rights</w:t>
      </w:r>
      <w:r>
        <w:rPr>
          <w:spacing w:val="-6"/>
        </w:rPr>
        <w:t xml:space="preserve"> </w:t>
      </w:r>
      <w:r>
        <w:t>discourse</w:t>
      </w:r>
      <w:r>
        <w:rPr>
          <w:spacing w:val="-9"/>
        </w:rPr>
        <w:t xml:space="preserve"> </w:t>
      </w:r>
      <w:r>
        <w:t>in</w:t>
      </w:r>
      <w:r>
        <w:rPr>
          <w:spacing w:val="-7"/>
        </w:rPr>
        <w:t xml:space="preserve"> </w:t>
      </w:r>
      <w:r>
        <w:t>Parliamentary</w:t>
      </w:r>
      <w:r>
        <w:rPr>
          <w:spacing w:val="-7"/>
        </w:rPr>
        <w:t xml:space="preserve"> </w:t>
      </w:r>
      <w:r>
        <w:t>debate,</w:t>
      </w:r>
      <w:r>
        <w:rPr>
          <w:spacing w:val="-7"/>
        </w:rPr>
        <w:t xml:space="preserve"> </w:t>
      </w:r>
      <w:r>
        <w:t>and</w:t>
      </w:r>
      <w:r>
        <w:rPr>
          <w:spacing w:val="-7"/>
        </w:rPr>
        <w:t xml:space="preserve"> </w:t>
      </w:r>
      <w:r>
        <w:t>an</w:t>
      </w:r>
      <w:r>
        <w:rPr>
          <w:spacing w:val="-7"/>
        </w:rPr>
        <w:t xml:space="preserve"> </w:t>
      </w:r>
      <w:r>
        <w:t>opportunity</w:t>
      </w:r>
      <w:r>
        <w:rPr>
          <w:spacing w:val="-7"/>
        </w:rPr>
        <w:t xml:space="preserve"> </w:t>
      </w:r>
      <w:r>
        <w:t>for</w:t>
      </w:r>
      <w:r>
        <w:rPr>
          <w:spacing w:val="-6"/>
        </w:rPr>
        <w:t xml:space="preserve"> </w:t>
      </w:r>
      <w:r>
        <w:t>reflection</w:t>
      </w:r>
      <w:r>
        <w:rPr>
          <w:spacing w:val="-7"/>
        </w:rPr>
        <w:t xml:space="preserve"> </w:t>
      </w:r>
      <w:r>
        <w:t>and</w:t>
      </w:r>
      <w:r>
        <w:rPr>
          <w:spacing w:val="-7"/>
        </w:rPr>
        <w:t xml:space="preserve"> </w:t>
      </w:r>
      <w:r>
        <w:t>changes to the model to improve its effectiveness.</w:t>
      </w:r>
    </w:p>
    <w:p w14:paraId="7CB25F7F" w14:textId="77777777" w:rsidR="008A4099" w:rsidRDefault="006A6EE2">
      <w:pPr>
        <w:pStyle w:val="ListParagraph"/>
        <w:numPr>
          <w:ilvl w:val="2"/>
          <w:numId w:val="6"/>
        </w:numPr>
        <w:tabs>
          <w:tab w:val="left" w:pos="879"/>
        </w:tabs>
        <w:spacing w:before="217"/>
        <w:ind w:right="679" w:firstLine="0"/>
        <w:jc w:val="both"/>
      </w:pPr>
      <w:r>
        <w:t>The importance of an ongoing commitment to effective human rights scrutiny and the facilitation of a human rights dialogue was also noted in the 2015 Review of the Victorian Charter of Human Rights and Responsibilities Act.</w:t>
      </w:r>
    </w:p>
    <w:p w14:paraId="7CB25F80" w14:textId="77777777" w:rsidR="008A4099" w:rsidRDefault="006A6EE2">
      <w:pPr>
        <w:pStyle w:val="BodyText"/>
        <w:spacing w:before="238" w:line="276" w:lineRule="auto"/>
        <w:ind w:left="868" w:right="1339"/>
        <w:jc w:val="both"/>
        <w:rPr>
          <w:sz w:val="13"/>
        </w:rPr>
      </w:pPr>
      <w:r>
        <w:t>For</w:t>
      </w:r>
      <w:r>
        <w:rPr>
          <w:spacing w:val="-2"/>
        </w:rPr>
        <w:t xml:space="preserve"> </w:t>
      </w:r>
      <w:r>
        <w:t>the</w:t>
      </w:r>
      <w:r>
        <w:rPr>
          <w:spacing w:val="-2"/>
        </w:rPr>
        <w:t xml:space="preserve"> </w:t>
      </w:r>
      <w:r>
        <w:t>Charter</w:t>
      </w:r>
      <w:r>
        <w:rPr>
          <w:spacing w:val="-2"/>
        </w:rPr>
        <w:t xml:space="preserve"> </w:t>
      </w:r>
      <w:r>
        <w:t>to</w:t>
      </w:r>
      <w:r>
        <w:rPr>
          <w:spacing w:val="-2"/>
        </w:rPr>
        <w:t xml:space="preserve"> </w:t>
      </w:r>
      <w:r>
        <w:t>be</w:t>
      </w:r>
      <w:r>
        <w:rPr>
          <w:spacing w:val="-2"/>
        </w:rPr>
        <w:t xml:space="preserve"> </w:t>
      </w:r>
      <w:r>
        <w:t>effective,</w:t>
      </w:r>
      <w:r>
        <w:rPr>
          <w:spacing w:val="-2"/>
        </w:rPr>
        <w:t xml:space="preserve"> </w:t>
      </w:r>
      <w:r>
        <w:t>the</w:t>
      </w:r>
      <w:r>
        <w:rPr>
          <w:spacing w:val="-2"/>
        </w:rPr>
        <w:t xml:space="preserve"> </w:t>
      </w:r>
      <w:r>
        <w:t>Victorian</w:t>
      </w:r>
      <w:r>
        <w:rPr>
          <w:spacing w:val="-2"/>
        </w:rPr>
        <w:t xml:space="preserve"> </w:t>
      </w:r>
      <w:r>
        <w:t>Government</w:t>
      </w:r>
      <w:r>
        <w:rPr>
          <w:spacing w:val="-4"/>
        </w:rPr>
        <w:t xml:space="preserve"> </w:t>
      </w:r>
      <w:r>
        <w:t>must</w:t>
      </w:r>
      <w:r>
        <w:rPr>
          <w:spacing w:val="-1"/>
        </w:rPr>
        <w:t xml:space="preserve"> </w:t>
      </w:r>
      <w:r>
        <w:t>prioritise</w:t>
      </w:r>
      <w:r>
        <w:rPr>
          <w:spacing w:val="-2"/>
        </w:rPr>
        <w:t xml:space="preserve"> </w:t>
      </w:r>
      <w:r>
        <w:t>work</w:t>
      </w:r>
      <w:r>
        <w:rPr>
          <w:spacing w:val="-4"/>
        </w:rPr>
        <w:t xml:space="preserve"> </w:t>
      </w:r>
      <w:r>
        <w:t>to</w:t>
      </w:r>
      <w:r>
        <w:rPr>
          <w:spacing w:val="-5"/>
        </w:rPr>
        <w:t xml:space="preserve"> </w:t>
      </w:r>
      <w:r>
        <w:t>build a stronger human rights culture, particularly in the Victorian public sector. A strong human rights culture facilitates better government decision making. Having the law is not</w:t>
      </w:r>
      <w:r>
        <w:rPr>
          <w:spacing w:val="-6"/>
        </w:rPr>
        <w:t xml:space="preserve"> </w:t>
      </w:r>
      <w:r>
        <w:t>enough</w:t>
      </w:r>
      <w:r>
        <w:rPr>
          <w:spacing w:val="-10"/>
        </w:rPr>
        <w:t xml:space="preserve"> </w:t>
      </w:r>
      <w:r>
        <w:t>to</w:t>
      </w:r>
      <w:r>
        <w:rPr>
          <w:spacing w:val="-7"/>
        </w:rPr>
        <w:t xml:space="preserve"> </w:t>
      </w:r>
      <w:r>
        <w:t>achieve</w:t>
      </w:r>
      <w:r>
        <w:rPr>
          <w:spacing w:val="-7"/>
        </w:rPr>
        <w:t xml:space="preserve"> </w:t>
      </w:r>
      <w:r>
        <w:t>human</w:t>
      </w:r>
      <w:r>
        <w:rPr>
          <w:spacing w:val="-7"/>
        </w:rPr>
        <w:t xml:space="preserve"> </w:t>
      </w:r>
      <w:r>
        <w:t>rights</w:t>
      </w:r>
      <w:r>
        <w:rPr>
          <w:spacing w:val="-6"/>
        </w:rPr>
        <w:t xml:space="preserve"> </w:t>
      </w:r>
      <w:r>
        <w:t>protection:</w:t>
      </w:r>
      <w:r>
        <w:rPr>
          <w:spacing w:val="-6"/>
        </w:rPr>
        <w:t xml:space="preserve"> </w:t>
      </w:r>
      <w:r>
        <w:t>Victoria</w:t>
      </w:r>
      <w:r>
        <w:rPr>
          <w:spacing w:val="-7"/>
        </w:rPr>
        <w:t xml:space="preserve"> </w:t>
      </w:r>
      <w:r>
        <w:t>also</w:t>
      </w:r>
      <w:r>
        <w:rPr>
          <w:spacing w:val="-6"/>
        </w:rPr>
        <w:t xml:space="preserve"> </w:t>
      </w:r>
      <w:r>
        <w:t>needs</w:t>
      </w:r>
      <w:r>
        <w:rPr>
          <w:spacing w:val="-6"/>
        </w:rPr>
        <w:t xml:space="preserve"> </w:t>
      </w:r>
      <w:r>
        <w:t>a</w:t>
      </w:r>
      <w:r>
        <w:rPr>
          <w:spacing w:val="-9"/>
        </w:rPr>
        <w:t xml:space="preserve"> </w:t>
      </w:r>
      <w:r>
        <w:t>culture</w:t>
      </w:r>
      <w:r>
        <w:rPr>
          <w:spacing w:val="-9"/>
        </w:rPr>
        <w:t xml:space="preserve"> </w:t>
      </w:r>
      <w:r>
        <w:t>that</w:t>
      </w:r>
      <w:r>
        <w:rPr>
          <w:spacing w:val="-9"/>
        </w:rPr>
        <w:t xml:space="preserve"> </w:t>
      </w:r>
      <w:r>
        <w:t>makes human rights real in people’s everyday interaction with government.</w:t>
      </w:r>
      <w:r>
        <w:rPr>
          <w:position w:val="7"/>
          <w:sz w:val="13"/>
        </w:rPr>
        <w:t>253</w:t>
      </w:r>
    </w:p>
    <w:p w14:paraId="7CB25F81" w14:textId="77777777" w:rsidR="008A4099" w:rsidRDefault="006A6EE2">
      <w:pPr>
        <w:pStyle w:val="ListParagraph"/>
        <w:numPr>
          <w:ilvl w:val="2"/>
          <w:numId w:val="6"/>
        </w:numPr>
        <w:tabs>
          <w:tab w:val="left" w:pos="879"/>
        </w:tabs>
        <w:spacing w:before="238"/>
        <w:ind w:right="674" w:firstLine="0"/>
        <w:jc w:val="both"/>
        <w:rPr>
          <w:sz w:val="13"/>
        </w:rPr>
      </w:pPr>
      <w:r>
        <w:t>To</w:t>
      </w:r>
      <w:r>
        <w:rPr>
          <w:spacing w:val="-14"/>
        </w:rPr>
        <w:t xml:space="preserve"> </w:t>
      </w:r>
      <w:r>
        <w:t>this</w:t>
      </w:r>
      <w:r>
        <w:rPr>
          <w:spacing w:val="-14"/>
        </w:rPr>
        <w:t xml:space="preserve"> </w:t>
      </w:r>
      <w:r>
        <w:t>end,</w:t>
      </w:r>
      <w:r>
        <w:rPr>
          <w:spacing w:val="-14"/>
        </w:rPr>
        <w:t xml:space="preserve"> </w:t>
      </w:r>
      <w:r>
        <w:t>this</w:t>
      </w:r>
      <w:r>
        <w:rPr>
          <w:spacing w:val="-13"/>
        </w:rPr>
        <w:t xml:space="preserve"> </w:t>
      </w:r>
      <w:r>
        <w:t>review</w:t>
      </w:r>
      <w:r>
        <w:rPr>
          <w:spacing w:val="-14"/>
        </w:rPr>
        <w:t xml:space="preserve"> </w:t>
      </w:r>
      <w:r>
        <w:t>made</w:t>
      </w:r>
      <w:r>
        <w:rPr>
          <w:spacing w:val="-14"/>
        </w:rPr>
        <w:t xml:space="preserve"> </w:t>
      </w:r>
      <w:r>
        <w:t>a</w:t>
      </w:r>
      <w:r>
        <w:rPr>
          <w:spacing w:val="-14"/>
        </w:rPr>
        <w:t xml:space="preserve"> </w:t>
      </w:r>
      <w:r>
        <w:t>suite</w:t>
      </w:r>
      <w:r>
        <w:rPr>
          <w:spacing w:val="-13"/>
        </w:rPr>
        <w:t xml:space="preserve"> </w:t>
      </w:r>
      <w:r>
        <w:t>of</w:t>
      </w:r>
      <w:r>
        <w:rPr>
          <w:spacing w:val="-14"/>
        </w:rPr>
        <w:t xml:space="preserve"> </w:t>
      </w:r>
      <w:r>
        <w:t>recommendations</w:t>
      </w:r>
      <w:r>
        <w:rPr>
          <w:spacing w:val="-13"/>
        </w:rPr>
        <w:t xml:space="preserve"> </w:t>
      </w:r>
      <w:r>
        <w:t>to</w:t>
      </w:r>
      <w:r>
        <w:rPr>
          <w:spacing w:val="-14"/>
        </w:rPr>
        <w:t xml:space="preserve"> </w:t>
      </w:r>
      <w:r>
        <w:t>strengthen</w:t>
      </w:r>
      <w:r>
        <w:rPr>
          <w:spacing w:val="-13"/>
        </w:rPr>
        <w:t xml:space="preserve"> </w:t>
      </w:r>
      <w:r>
        <w:t>the</w:t>
      </w:r>
      <w:r>
        <w:rPr>
          <w:spacing w:val="-13"/>
        </w:rPr>
        <w:t xml:space="preserve"> </w:t>
      </w:r>
      <w:r>
        <w:t>human</w:t>
      </w:r>
      <w:r>
        <w:rPr>
          <w:spacing w:val="-14"/>
        </w:rPr>
        <w:t xml:space="preserve"> </w:t>
      </w:r>
      <w:r>
        <w:t>rights</w:t>
      </w:r>
      <w:r>
        <w:rPr>
          <w:spacing w:val="-13"/>
        </w:rPr>
        <w:t xml:space="preserve"> </w:t>
      </w:r>
      <w:r>
        <w:t>culture within the public sector, including leadership, embedding human rights in organisational plans and policies, professional development, and monitoring progress against key indicators. The Victorian Government supported the recommendations, and a comprehensive Charter Education Program was developed by the Victorian Equal Opportunities and Human Rights Commission (‘VEOHRC’) to ‘[build] human rights capability across the Victorian Public Service’.</w:t>
      </w:r>
      <w:r>
        <w:rPr>
          <w:position w:val="7"/>
          <w:sz w:val="13"/>
        </w:rPr>
        <w:t>254</w:t>
      </w:r>
    </w:p>
    <w:p w14:paraId="7CB25F82" w14:textId="77777777" w:rsidR="008A4099" w:rsidRDefault="006A6EE2">
      <w:pPr>
        <w:pStyle w:val="ListParagraph"/>
        <w:numPr>
          <w:ilvl w:val="2"/>
          <w:numId w:val="6"/>
        </w:numPr>
        <w:tabs>
          <w:tab w:val="left" w:pos="879"/>
        </w:tabs>
        <w:spacing w:before="218" w:line="237" w:lineRule="auto"/>
        <w:ind w:right="679" w:firstLine="0"/>
        <w:jc w:val="both"/>
      </w:pPr>
      <w:r>
        <w:t>Options</w:t>
      </w:r>
      <w:r>
        <w:rPr>
          <w:spacing w:val="-1"/>
        </w:rPr>
        <w:t xml:space="preserve"> </w:t>
      </w:r>
      <w:r>
        <w:t>for</w:t>
      </w:r>
      <w:r>
        <w:rPr>
          <w:spacing w:val="-1"/>
        </w:rPr>
        <w:t xml:space="preserve"> </w:t>
      </w:r>
      <w:r>
        <w:t>managing</w:t>
      </w:r>
      <w:r>
        <w:rPr>
          <w:spacing w:val="-2"/>
        </w:rPr>
        <w:t xml:space="preserve"> </w:t>
      </w:r>
      <w:r>
        <w:t>the</w:t>
      </w:r>
      <w:r>
        <w:rPr>
          <w:spacing w:val="-2"/>
        </w:rPr>
        <w:t xml:space="preserve"> </w:t>
      </w:r>
      <w:r>
        <w:t>risk</w:t>
      </w:r>
      <w:r>
        <w:rPr>
          <w:spacing w:val="-2"/>
        </w:rPr>
        <w:t xml:space="preserve"> </w:t>
      </w:r>
      <w:r>
        <w:t>that human rights</w:t>
      </w:r>
      <w:r>
        <w:rPr>
          <w:spacing w:val="-2"/>
        </w:rPr>
        <w:t xml:space="preserve"> </w:t>
      </w:r>
      <w:r>
        <w:t>analysis</w:t>
      </w:r>
      <w:r>
        <w:rPr>
          <w:spacing w:val="-2"/>
        </w:rPr>
        <w:t xml:space="preserve"> </w:t>
      </w:r>
      <w:r>
        <w:t>is</w:t>
      </w:r>
      <w:r>
        <w:rPr>
          <w:spacing w:val="-2"/>
        </w:rPr>
        <w:t xml:space="preserve"> </w:t>
      </w:r>
      <w:r>
        <w:t>superficial,</w:t>
      </w:r>
      <w:r>
        <w:rPr>
          <w:spacing w:val="-2"/>
        </w:rPr>
        <w:t xml:space="preserve"> </w:t>
      </w:r>
      <w:r>
        <w:t>and</w:t>
      </w:r>
      <w:r>
        <w:rPr>
          <w:spacing w:val="-2"/>
        </w:rPr>
        <w:t xml:space="preserve"> </w:t>
      </w:r>
      <w:r>
        <w:t>to</w:t>
      </w:r>
      <w:r>
        <w:rPr>
          <w:spacing w:val="-3"/>
        </w:rPr>
        <w:t xml:space="preserve"> </w:t>
      </w:r>
      <w:r>
        <w:t>embed a</w:t>
      </w:r>
      <w:r>
        <w:rPr>
          <w:spacing w:val="-2"/>
        </w:rPr>
        <w:t xml:space="preserve"> </w:t>
      </w:r>
      <w:r>
        <w:t>human rights culture within Parliament and the public sector, are discussed in Part 4.</w:t>
      </w:r>
    </w:p>
    <w:p w14:paraId="7CB25F83" w14:textId="77777777" w:rsidR="008A4099" w:rsidRDefault="006A6EE2">
      <w:pPr>
        <w:pStyle w:val="Heading4"/>
        <w:spacing w:before="237" w:line="276" w:lineRule="auto"/>
        <w:ind w:right="680"/>
      </w:pPr>
      <w:bookmarkStart w:id="25" w:name="_TOC_250035"/>
      <w:r>
        <w:t>A human rights enactment can build a consistent process for the provision of external scrutiny</w:t>
      </w:r>
      <w:bookmarkEnd w:id="25"/>
      <w:r>
        <w:t xml:space="preserve"> and advice</w:t>
      </w:r>
    </w:p>
    <w:p w14:paraId="7CB25F84" w14:textId="77777777" w:rsidR="008A4099" w:rsidRDefault="006A6EE2">
      <w:pPr>
        <w:pStyle w:val="ListParagraph"/>
        <w:numPr>
          <w:ilvl w:val="2"/>
          <w:numId w:val="6"/>
        </w:numPr>
        <w:tabs>
          <w:tab w:val="left" w:pos="879"/>
        </w:tabs>
        <w:spacing w:before="223"/>
        <w:ind w:right="680" w:firstLine="0"/>
        <w:jc w:val="both"/>
        <w:rPr>
          <w:sz w:val="13"/>
        </w:rPr>
      </w:pPr>
      <w:r>
        <w:t xml:space="preserve">The Tasmanian Government can access external advice to inform and guide parliamentary debate on legislation, including on issues relating to compliance with human rights obligations. However, advice is typically provided at the invitation of the Government, rather than mandated, and there is no requirement for the Government to engage directly with, or even respond to, any advice </w:t>
      </w:r>
      <w:r>
        <w:rPr>
          <w:spacing w:val="-2"/>
        </w:rPr>
        <w:t>provided.</w:t>
      </w:r>
      <w:r>
        <w:rPr>
          <w:spacing w:val="-2"/>
          <w:position w:val="7"/>
          <w:sz w:val="13"/>
        </w:rPr>
        <w:t>255</w:t>
      </w:r>
    </w:p>
    <w:p w14:paraId="7CB25F85" w14:textId="77777777" w:rsidR="008A4099" w:rsidRDefault="008A4099">
      <w:pPr>
        <w:pStyle w:val="BodyText"/>
        <w:rPr>
          <w:sz w:val="20"/>
        </w:rPr>
      </w:pPr>
    </w:p>
    <w:p w14:paraId="7CB25F86" w14:textId="77777777" w:rsidR="008A4099" w:rsidRDefault="006A6EE2">
      <w:pPr>
        <w:pStyle w:val="BodyText"/>
        <w:spacing w:before="36"/>
        <w:rPr>
          <w:sz w:val="20"/>
        </w:rPr>
      </w:pPr>
      <w:r>
        <w:rPr>
          <w:noProof/>
        </w:rPr>
        <mc:AlternateContent>
          <mc:Choice Requires="wps">
            <w:drawing>
              <wp:anchor distT="0" distB="0" distL="0" distR="0" simplePos="0" relativeHeight="487607808" behindDoc="1" locked="0" layoutInCell="1" allowOverlap="1" wp14:anchorId="7CB26627" wp14:editId="7CB26628">
                <wp:simplePos x="0" y="0"/>
                <wp:positionH relativeFrom="page">
                  <wp:posOffset>914704</wp:posOffset>
                </wp:positionH>
                <wp:positionV relativeFrom="paragraph">
                  <wp:posOffset>184736</wp:posOffset>
                </wp:positionV>
                <wp:extent cx="1829435" cy="762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C49020" id="Graphic 81" o:spid="_x0000_s1026" style="position:absolute;margin-left:1in;margin-top:14.55pt;width:144.05pt;height:.6pt;z-index:-157086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" path="m1829054,l,,,7619r1829054,l1829054,xe" fillcolor="black" stroked="f">
                <v:path arrowok="t"/>
                <w10:wrap type="topAndBottom" anchorx="page"/>
              </v:shape>
            </w:pict>
          </mc:Fallback>
        </mc:AlternateContent>
      </w:r>
    </w:p>
    <w:p w14:paraId="7CB25F87" w14:textId="77777777" w:rsidR="008A4099" w:rsidRDefault="006A6EE2">
      <w:pPr>
        <w:spacing w:before="112" w:line="244" w:lineRule="auto"/>
        <w:ind w:left="160" w:right="680"/>
        <w:rPr>
          <w:sz w:val="18"/>
        </w:rPr>
      </w:pPr>
      <w:r>
        <w:rPr>
          <w:sz w:val="18"/>
          <w:vertAlign w:val="superscript"/>
        </w:rPr>
        <w:t>251</w:t>
      </w:r>
      <w:r>
        <w:rPr>
          <w:sz w:val="18"/>
        </w:rPr>
        <w:t xml:space="preserve"> Scott McDougall, ‘Making Rights Real: The Promise and Potential Pitfalls of the </w:t>
      </w:r>
      <w:r>
        <w:rPr>
          <w:i/>
          <w:sz w:val="18"/>
        </w:rPr>
        <w:t>Queensland Human Rights Act 2019</w:t>
      </w:r>
      <w:r>
        <w:rPr>
          <w:sz w:val="18"/>
        </w:rPr>
        <w:t xml:space="preserve">’, </w:t>
      </w:r>
      <w:r>
        <w:rPr>
          <w:i/>
          <w:sz w:val="18"/>
        </w:rPr>
        <w:t>Bond University Twilight Seminar Seri</w:t>
      </w:r>
      <w:r>
        <w:rPr>
          <w:sz w:val="18"/>
        </w:rPr>
        <w:t>es (6 February 2020) 7–8</w:t>
      </w:r>
    </w:p>
    <w:p w14:paraId="7CB25F88" w14:textId="77777777" w:rsidR="008A4099" w:rsidRDefault="006A6EE2">
      <w:pPr>
        <w:spacing w:line="242" w:lineRule="auto"/>
        <w:ind w:left="160" w:right="680"/>
        <w:rPr>
          <w:sz w:val="18"/>
        </w:rPr>
      </w:pPr>
      <w:r>
        <w:rPr>
          <w:sz w:val="18"/>
        </w:rPr>
        <w:t>&lt;https://</w:t>
      </w:r>
      <w:hyperlink r:id="rId113">
        <w:r>
          <w:rPr>
            <w:sz w:val="18"/>
          </w:rPr>
          <w:t>www.qhrc.qld.gov.au/</w:t>
        </w:r>
      </w:hyperlink>
      <w:r>
        <w:rPr>
          <w:spacing w:val="80"/>
          <w:sz w:val="18"/>
          <w:u w:val="single"/>
        </w:rPr>
        <w:t xml:space="preserve"> </w:t>
      </w:r>
      <w:r>
        <w:rPr>
          <w:sz w:val="18"/>
        </w:rPr>
        <w:t xml:space="preserve">data/assets/pdf_file/0003/29451/Bond-University-Twilight-Seminar-Series-6-February- </w:t>
      </w:r>
      <w:r>
        <w:rPr>
          <w:spacing w:val="-2"/>
          <w:sz w:val="18"/>
        </w:rPr>
        <w:t>2020.pdf&gt;.</w:t>
      </w:r>
    </w:p>
    <w:p w14:paraId="7CB25F89" w14:textId="77777777" w:rsidR="008A4099" w:rsidRDefault="006A6EE2">
      <w:pPr>
        <w:spacing w:before="12" w:line="244" w:lineRule="auto"/>
        <w:ind w:left="160" w:right="680"/>
        <w:rPr>
          <w:sz w:val="18"/>
        </w:rPr>
      </w:pPr>
      <w:r>
        <w:rPr>
          <w:sz w:val="18"/>
          <w:vertAlign w:val="superscript"/>
        </w:rPr>
        <w:t>252</w:t>
      </w:r>
      <w:r>
        <w:rPr>
          <w:spacing w:val="-3"/>
          <w:sz w:val="18"/>
        </w:rPr>
        <w:t xml:space="preserve"> </w:t>
      </w:r>
      <w:r>
        <w:rPr>
          <w:sz w:val="18"/>
        </w:rPr>
        <w:t>Queensland</w:t>
      </w:r>
      <w:r>
        <w:rPr>
          <w:spacing w:val="-2"/>
          <w:sz w:val="18"/>
        </w:rPr>
        <w:t xml:space="preserve"> </w:t>
      </w:r>
      <w:r>
        <w:rPr>
          <w:sz w:val="18"/>
        </w:rPr>
        <w:t>Human</w:t>
      </w:r>
      <w:r>
        <w:rPr>
          <w:spacing w:val="-2"/>
          <w:sz w:val="18"/>
        </w:rPr>
        <w:t xml:space="preserve"> </w:t>
      </w:r>
      <w:r>
        <w:rPr>
          <w:sz w:val="18"/>
        </w:rPr>
        <w:t>Rights</w:t>
      </w:r>
      <w:r>
        <w:rPr>
          <w:spacing w:val="-3"/>
          <w:sz w:val="18"/>
        </w:rPr>
        <w:t xml:space="preserve"> </w:t>
      </w:r>
      <w:r>
        <w:rPr>
          <w:sz w:val="18"/>
        </w:rPr>
        <w:t>Commission,</w:t>
      </w:r>
      <w:r>
        <w:rPr>
          <w:spacing w:val="-1"/>
          <w:sz w:val="18"/>
        </w:rPr>
        <w:t xml:space="preserve"> </w:t>
      </w:r>
      <w:r>
        <w:rPr>
          <w:i/>
          <w:sz w:val="18"/>
        </w:rPr>
        <w:t>Balancing</w:t>
      </w:r>
      <w:r>
        <w:rPr>
          <w:i/>
          <w:spacing w:val="-5"/>
          <w:sz w:val="18"/>
        </w:rPr>
        <w:t xml:space="preserve"> </w:t>
      </w:r>
      <w:r>
        <w:rPr>
          <w:i/>
          <w:sz w:val="18"/>
        </w:rPr>
        <w:t>Life</w:t>
      </w:r>
      <w:r>
        <w:rPr>
          <w:i/>
          <w:spacing w:val="-4"/>
          <w:sz w:val="18"/>
        </w:rPr>
        <w:t xml:space="preserve"> </w:t>
      </w:r>
      <w:r>
        <w:rPr>
          <w:i/>
          <w:sz w:val="18"/>
        </w:rPr>
        <w:t>and</w:t>
      </w:r>
      <w:r>
        <w:rPr>
          <w:i/>
          <w:spacing w:val="-2"/>
          <w:sz w:val="18"/>
        </w:rPr>
        <w:t xml:space="preserve"> </w:t>
      </w:r>
      <w:r>
        <w:rPr>
          <w:i/>
          <w:sz w:val="18"/>
        </w:rPr>
        <w:t>Liberty:</w:t>
      </w:r>
      <w:r>
        <w:rPr>
          <w:i/>
          <w:spacing w:val="-3"/>
          <w:sz w:val="18"/>
        </w:rPr>
        <w:t xml:space="preserve"> </w:t>
      </w:r>
      <w:r>
        <w:rPr>
          <w:i/>
          <w:sz w:val="18"/>
        </w:rPr>
        <w:t>The</w:t>
      </w:r>
      <w:r>
        <w:rPr>
          <w:i/>
          <w:spacing w:val="-4"/>
          <w:sz w:val="18"/>
        </w:rPr>
        <w:t xml:space="preserve"> </w:t>
      </w:r>
      <w:r>
        <w:rPr>
          <w:i/>
          <w:sz w:val="18"/>
        </w:rPr>
        <w:t>Second</w:t>
      </w:r>
      <w:r>
        <w:rPr>
          <w:i/>
          <w:spacing w:val="-2"/>
          <w:sz w:val="18"/>
        </w:rPr>
        <w:t xml:space="preserve"> </w:t>
      </w:r>
      <w:r>
        <w:rPr>
          <w:i/>
          <w:sz w:val="18"/>
        </w:rPr>
        <w:t>Annual</w:t>
      </w:r>
      <w:r>
        <w:rPr>
          <w:i/>
          <w:spacing w:val="-5"/>
          <w:sz w:val="18"/>
        </w:rPr>
        <w:t xml:space="preserve"> </w:t>
      </w:r>
      <w:r>
        <w:rPr>
          <w:i/>
          <w:sz w:val="18"/>
        </w:rPr>
        <w:t>Report</w:t>
      </w:r>
      <w:r>
        <w:rPr>
          <w:i/>
          <w:spacing w:val="-6"/>
          <w:sz w:val="18"/>
        </w:rPr>
        <w:t xml:space="preserve"> </w:t>
      </w:r>
      <w:r>
        <w:rPr>
          <w:i/>
          <w:sz w:val="18"/>
        </w:rPr>
        <w:t>on</w:t>
      </w:r>
      <w:r>
        <w:rPr>
          <w:i/>
          <w:spacing w:val="-2"/>
          <w:sz w:val="18"/>
        </w:rPr>
        <w:t xml:space="preserve"> </w:t>
      </w:r>
      <w:r>
        <w:rPr>
          <w:i/>
          <w:sz w:val="18"/>
        </w:rPr>
        <w:t>the</w:t>
      </w:r>
      <w:r>
        <w:rPr>
          <w:i/>
          <w:spacing w:val="-4"/>
          <w:sz w:val="18"/>
        </w:rPr>
        <w:t xml:space="preserve"> </w:t>
      </w:r>
      <w:r>
        <w:rPr>
          <w:i/>
          <w:sz w:val="18"/>
        </w:rPr>
        <w:t>Annual</w:t>
      </w:r>
      <w:r>
        <w:rPr>
          <w:i/>
          <w:spacing w:val="-3"/>
          <w:sz w:val="18"/>
        </w:rPr>
        <w:t xml:space="preserve"> </w:t>
      </w:r>
      <w:r>
        <w:rPr>
          <w:i/>
          <w:sz w:val="18"/>
        </w:rPr>
        <w:t xml:space="preserve">Operation of Queensland’s </w:t>
      </w:r>
      <w:r>
        <w:rPr>
          <w:sz w:val="18"/>
        </w:rPr>
        <w:t xml:space="preserve">Human Rights Act 2019 </w:t>
      </w:r>
      <w:r>
        <w:rPr>
          <w:i/>
          <w:sz w:val="18"/>
        </w:rPr>
        <w:t>2020</w:t>
      </w:r>
      <w:r>
        <w:rPr>
          <w:sz w:val="18"/>
        </w:rPr>
        <w:t>–</w:t>
      </w:r>
      <w:r>
        <w:rPr>
          <w:i/>
          <w:sz w:val="18"/>
        </w:rPr>
        <w:t xml:space="preserve">21 </w:t>
      </w:r>
      <w:r>
        <w:rPr>
          <w:sz w:val="18"/>
        </w:rPr>
        <w:t>(QHRC, 2021) 34–37</w:t>
      </w:r>
    </w:p>
    <w:p w14:paraId="7CB25F8A" w14:textId="77777777" w:rsidR="008A4099" w:rsidRDefault="006A6EE2">
      <w:pPr>
        <w:spacing w:line="202" w:lineRule="exact"/>
        <w:ind w:left="160"/>
        <w:rPr>
          <w:sz w:val="18"/>
        </w:rPr>
      </w:pPr>
      <w:r>
        <w:rPr>
          <w:sz w:val="18"/>
        </w:rPr>
        <w:t>&lt;https://</w:t>
      </w:r>
      <w:hyperlink r:id="rId114">
        <w:r>
          <w:rPr>
            <w:sz w:val="18"/>
          </w:rPr>
          <w:t>www.qhrc.qld.gov.au/</w:t>
        </w:r>
      </w:hyperlink>
      <w:r>
        <w:rPr>
          <w:spacing w:val="35"/>
          <w:sz w:val="18"/>
          <w:u w:val="single"/>
        </w:rPr>
        <w:t xml:space="preserve">  </w:t>
      </w:r>
      <w:r>
        <w:rPr>
          <w:sz w:val="18"/>
        </w:rPr>
        <w:t>data/assets/pdf_file/0020/36506/Human-Rights-Annual-Report-2020-</w:t>
      </w:r>
      <w:r>
        <w:rPr>
          <w:spacing w:val="-2"/>
          <w:sz w:val="18"/>
        </w:rPr>
        <w:t>21.pdf&gt;.</w:t>
      </w:r>
    </w:p>
    <w:p w14:paraId="7CB25F8B" w14:textId="77777777" w:rsidR="008A4099" w:rsidRDefault="006A6EE2">
      <w:pPr>
        <w:spacing w:before="19"/>
        <w:ind w:left="160"/>
        <w:rPr>
          <w:sz w:val="18"/>
        </w:rPr>
      </w:pPr>
      <w:r>
        <w:rPr>
          <w:sz w:val="18"/>
          <w:vertAlign w:val="superscript"/>
        </w:rPr>
        <w:t>253</w:t>
      </w:r>
      <w:r>
        <w:rPr>
          <w:sz w:val="18"/>
        </w:rPr>
        <w:t xml:space="preserve"> Brett</w:t>
      </w:r>
      <w:r>
        <w:rPr>
          <w:spacing w:val="1"/>
          <w:sz w:val="18"/>
        </w:rPr>
        <w:t xml:space="preserve"> </w:t>
      </w:r>
      <w:r>
        <w:rPr>
          <w:sz w:val="18"/>
        </w:rPr>
        <w:t>Young,</w:t>
      </w:r>
      <w:r>
        <w:rPr>
          <w:spacing w:val="1"/>
          <w:sz w:val="18"/>
        </w:rPr>
        <w:t xml:space="preserve"> </w:t>
      </w:r>
      <w:r>
        <w:rPr>
          <w:i/>
          <w:sz w:val="18"/>
        </w:rPr>
        <w:t>From</w:t>
      </w:r>
      <w:r>
        <w:rPr>
          <w:i/>
          <w:spacing w:val="1"/>
          <w:sz w:val="18"/>
        </w:rPr>
        <w:t xml:space="preserve"> </w:t>
      </w:r>
      <w:r>
        <w:rPr>
          <w:i/>
          <w:sz w:val="18"/>
        </w:rPr>
        <w:t>Commitment</w:t>
      </w:r>
      <w:r>
        <w:rPr>
          <w:i/>
          <w:spacing w:val="-1"/>
          <w:sz w:val="18"/>
        </w:rPr>
        <w:t xml:space="preserve"> </w:t>
      </w:r>
      <w:r>
        <w:rPr>
          <w:i/>
          <w:sz w:val="18"/>
        </w:rPr>
        <w:t>to</w:t>
      </w:r>
      <w:r>
        <w:rPr>
          <w:i/>
          <w:spacing w:val="1"/>
          <w:sz w:val="18"/>
        </w:rPr>
        <w:t xml:space="preserve"> </w:t>
      </w:r>
      <w:r>
        <w:rPr>
          <w:i/>
          <w:sz w:val="18"/>
        </w:rPr>
        <w:t>Culture</w:t>
      </w:r>
      <w:r>
        <w:rPr>
          <w:i/>
          <w:spacing w:val="2"/>
          <w:sz w:val="18"/>
        </w:rPr>
        <w:t xml:space="preserve"> </w:t>
      </w:r>
      <w:r>
        <w:rPr>
          <w:spacing w:val="-5"/>
          <w:sz w:val="18"/>
        </w:rPr>
        <w:t>5.</w:t>
      </w:r>
    </w:p>
    <w:p w14:paraId="7CB25F8C" w14:textId="77777777" w:rsidR="008A4099" w:rsidRDefault="006A6EE2">
      <w:pPr>
        <w:spacing w:before="23"/>
        <w:ind w:left="160"/>
        <w:rPr>
          <w:sz w:val="18"/>
        </w:rPr>
      </w:pPr>
      <w:r>
        <w:rPr>
          <w:sz w:val="18"/>
          <w:vertAlign w:val="superscript"/>
        </w:rPr>
        <w:t>254</w:t>
      </w:r>
      <w:r>
        <w:rPr>
          <w:spacing w:val="6"/>
          <w:sz w:val="18"/>
        </w:rPr>
        <w:t xml:space="preserve"> </w:t>
      </w:r>
      <w:r>
        <w:rPr>
          <w:sz w:val="18"/>
        </w:rPr>
        <w:t>See</w:t>
      </w:r>
      <w:r>
        <w:rPr>
          <w:spacing w:val="6"/>
          <w:sz w:val="18"/>
        </w:rPr>
        <w:t xml:space="preserve"> </w:t>
      </w:r>
      <w:r>
        <w:rPr>
          <w:sz w:val="18"/>
        </w:rPr>
        <w:t>Victorian</w:t>
      </w:r>
      <w:r>
        <w:rPr>
          <w:spacing w:val="4"/>
          <w:sz w:val="18"/>
        </w:rPr>
        <w:t xml:space="preserve"> </w:t>
      </w:r>
      <w:r>
        <w:rPr>
          <w:sz w:val="18"/>
        </w:rPr>
        <w:t>Equal</w:t>
      </w:r>
      <w:r>
        <w:rPr>
          <w:spacing w:val="7"/>
          <w:sz w:val="18"/>
        </w:rPr>
        <w:t xml:space="preserve"> </w:t>
      </w:r>
      <w:r>
        <w:rPr>
          <w:sz w:val="18"/>
        </w:rPr>
        <w:t>Opportunity</w:t>
      </w:r>
      <w:r>
        <w:rPr>
          <w:spacing w:val="6"/>
          <w:sz w:val="18"/>
        </w:rPr>
        <w:t xml:space="preserve"> </w:t>
      </w:r>
      <w:r>
        <w:rPr>
          <w:sz w:val="18"/>
        </w:rPr>
        <w:t>and</w:t>
      </w:r>
      <w:r>
        <w:rPr>
          <w:spacing w:val="7"/>
          <w:sz w:val="18"/>
        </w:rPr>
        <w:t xml:space="preserve"> </w:t>
      </w:r>
      <w:r>
        <w:rPr>
          <w:sz w:val="18"/>
        </w:rPr>
        <w:t>Human</w:t>
      </w:r>
      <w:r>
        <w:rPr>
          <w:spacing w:val="8"/>
          <w:sz w:val="18"/>
        </w:rPr>
        <w:t xml:space="preserve"> </w:t>
      </w:r>
      <w:r>
        <w:rPr>
          <w:sz w:val="18"/>
        </w:rPr>
        <w:t>Rights</w:t>
      </w:r>
      <w:r>
        <w:rPr>
          <w:spacing w:val="6"/>
          <w:sz w:val="18"/>
        </w:rPr>
        <w:t xml:space="preserve"> </w:t>
      </w:r>
      <w:r>
        <w:rPr>
          <w:sz w:val="18"/>
        </w:rPr>
        <w:t>Commission,</w:t>
      </w:r>
      <w:r>
        <w:rPr>
          <w:spacing w:val="11"/>
          <w:sz w:val="18"/>
        </w:rPr>
        <w:t xml:space="preserve"> </w:t>
      </w:r>
      <w:r>
        <w:rPr>
          <w:i/>
          <w:sz w:val="18"/>
        </w:rPr>
        <w:t>Annual</w:t>
      </w:r>
      <w:r>
        <w:rPr>
          <w:i/>
          <w:spacing w:val="6"/>
          <w:sz w:val="18"/>
        </w:rPr>
        <w:t xml:space="preserve"> </w:t>
      </w:r>
      <w:r>
        <w:rPr>
          <w:i/>
          <w:sz w:val="18"/>
        </w:rPr>
        <w:t>Report</w:t>
      </w:r>
      <w:r>
        <w:rPr>
          <w:i/>
          <w:spacing w:val="5"/>
          <w:sz w:val="18"/>
        </w:rPr>
        <w:t xml:space="preserve"> </w:t>
      </w:r>
      <w:r>
        <w:rPr>
          <w:i/>
          <w:sz w:val="18"/>
        </w:rPr>
        <w:t>2020-2021</w:t>
      </w:r>
      <w:r>
        <w:rPr>
          <w:i/>
          <w:spacing w:val="6"/>
          <w:sz w:val="18"/>
        </w:rPr>
        <w:t xml:space="preserve"> </w:t>
      </w:r>
      <w:r>
        <w:rPr>
          <w:sz w:val="18"/>
        </w:rPr>
        <w:t>(State</w:t>
      </w:r>
      <w:r>
        <w:rPr>
          <w:spacing w:val="3"/>
          <w:sz w:val="18"/>
        </w:rPr>
        <w:t xml:space="preserve"> </w:t>
      </w:r>
      <w:r>
        <w:rPr>
          <w:sz w:val="18"/>
        </w:rPr>
        <w:t>of</w:t>
      </w:r>
      <w:r>
        <w:rPr>
          <w:spacing w:val="7"/>
          <w:sz w:val="18"/>
        </w:rPr>
        <w:t xml:space="preserve"> </w:t>
      </w:r>
      <w:r>
        <w:rPr>
          <w:sz w:val="18"/>
        </w:rPr>
        <w:t>Victora,</w:t>
      </w:r>
      <w:r>
        <w:rPr>
          <w:spacing w:val="6"/>
          <w:sz w:val="18"/>
        </w:rPr>
        <w:t xml:space="preserve"> </w:t>
      </w:r>
      <w:r>
        <w:rPr>
          <w:sz w:val="18"/>
        </w:rPr>
        <w:t>2021)</w:t>
      </w:r>
      <w:r>
        <w:rPr>
          <w:spacing w:val="5"/>
          <w:sz w:val="18"/>
        </w:rPr>
        <w:t xml:space="preserve"> </w:t>
      </w:r>
      <w:r>
        <w:rPr>
          <w:spacing w:val="-5"/>
          <w:sz w:val="18"/>
        </w:rPr>
        <w:t>48</w:t>
      </w:r>
    </w:p>
    <w:p w14:paraId="7CB25F8D" w14:textId="77777777" w:rsidR="008A4099" w:rsidRDefault="006A6EE2">
      <w:pPr>
        <w:spacing w:before="4"/>
        <w:ind w:left="160"/>
        <w:rPr>
          <w:sz w:val="18"/>
        </w:rPr>
      </w:pPr>
      <w:r>
        <w:rPr>
          <w:spacing w:val="-2"/>
          <w:sz w:val="18"/>
        </w:rPr>
        <w:t>&lt;https://</w:t>
      </w:r>
      <w:hyperlink r:id="rId115">
        <w:r>
          <w:rPr>
            <w:spacing w:val="-2"/>
            <w:sz w:val="18"/>
          </w:rPr>
          <w:t>www.humanrights.vic.gov.au/static/17e7f07a6011ef9bf0002454f5a65611/Resource_Annual_Report-2020-21.pdf&gt;</w:t>
        </w:r>
      </w:hyperlink>
      <w:r>
        <w:rPr>
          <w:spacing w:val="-2"/>
          <w:sz w:val="18"/>
        </w:rPr>
        <w:t>.</w:t>
      </w:r>
    </w:p>
    <w:p w14:paraId="7CB25F8E" w14:textId="77777777" w:rsidR="008A4099" w:rsidRDefault="006A6EE2">
      <w:pPr>
        <w:spacing w:before="19"/>
        <w:ind w:left="160"/>
        <w:rPr>
          <w:sz w:val="18"/>
        </w:rPr>
      </w:pPr>
      <w:r>
        <w:rPr>
          <w:sz w:val="18"/>
          <w:vertAlign w:val="superscript"/>
        </w:rPr>
        <w:t>255</w:t>
      </w:r>
      <w:r>
        <w:rPr>
          <w:spacing w:val="-1"/>
          <w:sz w:val="18"/>
        </w:rPr>
        <w:t xml:space="preserve"> </w:t>
      </w:r>
      <w:r>
        <w:rPr>
          <w:sz w:val="18"/>
        </w:rPr>
        <w:t>Mackie</w:t>
      </w:r>
      <w:r>
        <w:rPr>
          <w:spacing w:val="-1"/>
          <w:sz w:val="18"/>
        </w:rPr>
        <w:t xml:space="preserve"> </w:t>
      </w:r>
      <w:r>
        <w:rPr>
          <w:sz w:val="18"/>
        </w:rPr>
        <w:t>and</w:t>
      </w:r>
      <w:r>
        <w:rPr>
          <w:spacing w:val="-2"/>
          <w:sz w:val="18"/>
        </w:rPr>
        <w:t xml:space="preserve"> </w:t>
      </w:r>
      <w:r>
        <w:rPr>
          <w:sz w:val="18"/>
        </w:rPr>
        <w:t>Hilkemeijer,</w:t>
      </w:r>
      <w:r>
        <w:rPr>
          <w:spacing w:val="1"/>
          <w:sz w:val="18"/>
        </w:rPr>
        <w:t xml:space="preserve"> </w:t>
      </w:r>
      <w:r>
        <w:rPr>
          <w:color w:val="242424"/>
          <w:sz w:val="18"/>
        </w:rPr>
        <w:t>‘Human Rights</w:t>
      </w:r>
      <w:r>
        <w:rPr>
          <w:color w:val="242424"/>
          <w:spacing w:val="-2"/>
          <w:sz w:val="18"/>
        </w:rPr>
        <w:t xml:space="preserve"> </w:t>
      </w:r>
      <w:r>
        <w:rPr>
          <w:color w:val="242424"/>
          <w:sz w:val="18"/>
        </w:rPr>
        <w:t>Scrutiny in Tasmania’s</w:t>
      </w:r>
      <w:r>
        <w:rPr>
          <w:color w:val="242424"/>
          <w:spacing w:val="-4"/>
          <w:sz w:val="18"/>
        </w:rPr>
        <w:t xml:space="preserve"> </w:t>
      </w:r>
      <w:r>
        <w:rPr>
          <w:color w:val="242424"/>
          <w:sz w:val="18"/>
        </w:rPr>
        <w:t>Parliament’</w:t>
      </w:r>
      <w:r>
        <w:rPr>
          <w:color w:val="242424"/>
          <w:spacing w:val="-1"/>
          <w:sz w:val="18"/>
        </w:rPr>
        <w:t xml:space="preserve"> </w:t>
      </w:r>
      <w:r>
        <w:rPr>
          <w:spacing w:val="-2"/>
          <w:sz w:val="18"/>
        </w:rPr>
        <w:t>[17.100].</w:t>
      </w:r>
    </w:p>
    <w:p w14:paraId="7CB25F8F" w14:textId="77777777" w:rsidR="008A4099" w:rsidRDefault="008A4099">
      <w:pPr>
        <w:rPr>
          <w:sz w:val="18"/>
        </w:rPr>
        <w:sectPr w:rsidR="008A4099" w:rsidSect="00D43B2D">
          <w:pgSz w:w="11910" w:h="16840"/>
          <w:pgMar w:top="980" w:right="760" w:bottom="940" w:left="1280" w:header="718" w:footer="753" w:gutter="0"/>
          <w:cols w:space="720"/>
        </w:sectPr>
      </w:pPr>
    </w:p>
    <w:p w14:paraId="7CB25F90" w14:textId="77777777" w:rsidR="008A4099" w:rsidRDefault="008A4099">
      <w:pPr>
        <w:pStyle w:val="BodyText"/>
        <w:spacing w:before="194"/>
      </w:pPr>
    </w:p>
    <w:p w14:paraId="7CB25F91" w14:textId="77777777" w:rsidR="008A4099" w:rsidRDefault="006A6EE2">
      <w:pPr>
        <w:pStyle w:val="ListParagraph"/>
        <w:numPr>
          <w:ilvl w:val="2"/>
          <w:numId w:val="6"/>
        </w:numPr>
        <w:tabs>
          <w:tab w:val="left" w:pos="935"/>
        </w:tabs>
        <w:spacing w:before="1"/>
        <w:ind w:right="674" w:firstLine="0"/>
        <w:jc w:val="both"/>
        <w:rPr>
          <w:sz w:val="13"/>
        </w:rPr>
      </w:pPr>
      <w:r>
        <w:t>For example, in Tasmania, the Anti-Discrimination Commissioner (‘ADC’) provides some human rights input through the Commissioner’s role to advise the Government on matters relating to discrimination,</w:t>
      </w:r>
      <w:r>
        <w:rPr>
          <w:spacing w:val="-4"/>
        </w:rPr>
        <w:t xml:space="preserve"> </w:t>
      </w:r>
      <w:r>
        <w:t>and</w:t>
      </w:r>
      <w:r>
        <w:rPr>
          <w:spacing w:val="-1"/>
        </w:rPr>
        <w:t xml:space="preserve"> </w:t>
      </w:r>
      <w:r>
        <w:t>to</w:t>
      </w:r>
      <w:r>
        <w:rPr>
          <w:spacing w:val="-1"/>
        </w:rPr>
        <w:t xml:space="preserve"> </w:t>
      </w:r>
      <w:r>
        <w:t>‘examine</w:t>
      </w:r>
      <w:r>
        <w:rPr>
          <w:spacing w:val="-1"/>
        </w:rPr>
        <w:t xml:space="preserve"> </w:t>
      </w:r>
      <w:r>
        <w:t>legislation</w:t>
      </w:r>
      <w:r>
        <w:rPr>
          <w:spacing w:val="-1"/>
        </w:rPr>
        <w:t xml:space="preserve"> </w:t>
      </w:r>
      <w:r>
        <w:t>and</w:t>
      </w:r>
      <w:r>
        <w:rPr>
          <w:spacing w:val="-1"/>
        </w:rPr>
        <w:t xml:space="preserve"> </w:t>
      </w:r>
      <w:r>
        <w:t>report</w:t>
      </w:r>
      <w:r>
        <w:rPr>
          <w:spacing w:val="-3"/>
        </w:rPr>
        <w:t xml:space="preserve"> </w:t>
      </w:r>
      <w:r>
        <w:t>to</w:t>
      </w:r>
      <w:r>
        <w:rPr>
          <w:spacing w:val="-1"/>
        </w:rPr>
        <w:t xml:space="preserve"> </w:t>
      </w:r>
      <w:r>
        <w:t>the</w:t>
      </w:r>
      <w:r>
        <w:rPr>
          <w:spacing w:val="-1"/>
        </w:rPr>
        <w:t xml:space="preserve"> </w:t>
      </w:r>
      <w:r>
        <w:t>Minister</w:t>
      </w:r>
      <w:r>
        <w:rPr>
          <w:spacing w:val="-1"/>
        </w:rPr>
        <w:t xml:space="preserve"> </w:t>
      </w:r>
      <w:r>
        <w:t>as</w:t>
      </w:r>
      <w:r>
        <w:rPr>
          <w:spacing w:val="-3"/>
        </w:rPr>
        <w:t xml:space="preserve"> </w:t>
      </w:r>
      <w:r>
        <w:t>to</w:t>
      </w:r>
      <w:r>
        <w:rPr>
          <w:spacing w:val="-1"/>
        </w:rPr>
        <w:t xml:space="preserve"> </w:t>
      </w:r>
      <w:r>
        <w:t>whether</w:t>
      </w:r>
      <w:r>
        <w:rPr>
          <w:spacing w:val="-1"/>
        </w:rPr>
        <w:t xml:space="preserve"> </w:t>
      </w:r>
      <w:r>
        <w:t>it</w:t>
      </w:r>
      <w:r>
        <w:rPr>
          <w:spacing w:val="-3"/>
        </w:rPr>
        <w:t xml:space="preserve"> </w:t>
      </w:r>
      <w:r>
        <w:t>is</w:t>
      </w:r>
      <w:r>
        <w:rPr>
          <w:spacing w:val="-1"/>
        </w:rPr>
        <w:t xml:space="preserve"> </w:t>
      </w:r>
      <w:r>
        <w:t>discriminatory or not’.</w:t>
      </w:r>
      <w:r>
        <w:rPr>
          <w:position w:val="7"/>
          <w:sz w:val="13"/>
        </w:rPr>
        <w:t>256</w:t>
      </w:r>
      <w:r>
        <w:rPr>
          <w:spacing w:val="40"/>
          <w:position w:val="7"/>
          <w:sz w:val="13"/>
        </w:rPr>
        <w:t xml:space="preserve"> </w:t>
      </w:r>
      <w:r>
        <w:t>Submissions from the ADC on policies such as the Tasmanian Women’s Strategy 2018- 2020</w:t>
      </w:r>
      <w:r>
        <w:rPr>
          <w:spacing w:val="-2"/>
        </w:rPr>
        <w:t xml:space="preserve"> </w:t>
      </w:r>
      <w:r>
        <w:t>and the</w:t>
      </w:r>
      <w:r>
        <w:rPr>
          <w:spacing w:val="-1"/>
        </w:rPr>
        <w:t xml:space="preserve"> </w:t>
      </w:r>
      <w:r>
        <w:t>Disability Framework for Action 2018-2020 contributed valuable human rights analysis about</w:t>
      </w:r>
      <w:r>
        <w:rPr>
          <w:spacing w:val="-6"/>
        </w:rPr>
        <w:t xml:space="preserve"> </w:t>
      </w:r>
      <w:r>
        <w:t>discrimination</w:t>
      </w:r>
      <w:r>
        <w:rPr>
          <w:spacing w:val="-5"/>
        </w:rPr>
        <w:t xml:space="preserve"> </w:t>
      </w:r>
      <w:r>
        <w:t>and</w:t>
      </w:r>
      <w:r>
        <w:rPr>
          <w:spacing w:val="-5"/>
        </w:rPr>
        <w:t xml:space="preserve"> </w:t>
      </w:r>
      <w:r>
        <w:t>strengthened</w:t>
      </w:r>
      <w:r>
        <w:rPr>
          <w:spacing w:val="-7"/>
        </w:rPr>
        <w:t xml:space="preserve"> </w:t>
      </w:r>
      <w:r>
        <w:t>policy</w:t>
      </w:r>
      <w:r>
        <w:rPr>
          <w:spacing w:val="-7"/>
        </w:rPr>
        <w:t xml:space="preserve"> </w:t>
      </w:r>
      <w:r>
        <w:t>outcomes.</w:t>
      </w:r>
      <w:r>
        <w:rPr>
          <w:spacing w:val="-1"/>
        </w:rPr>
        <w:t xml:space="preserve"> </w:t>
      </w:r>
      <w:r>
        <w:t>It</w:t>
      </w:r>
      <w:r>
        <w:rPr>
          <w:spacing w:val="-4"/>
        </w:rPr>
        <w:t xml:space="preserve"> </w:t>
      </w:r>
      <w:r>
        <w:t>is</w:t>
      </w:r>
      <w:r>
        <w:rPr>
          <w:spacing w:val="-4"/>
        </w:rPr>
        <w:t xml:space="preserve"> </w:t>
      </w:r>
      <w:r>
        <w:t>not</w:t>
      </w:r>
      <w:r>
        <w:rPr>
          <w:spacing w:val="-6"/>
        </w:rPr>
        <w:t xml:space="preserve"> </w:t>
      </w:r>
      <w:r>
        <w:t>evident,</w:t>
      </w:r>
      <w:r>
        <w:rPr>
          <w:spacing w:val="-7"/>
        </w:rPr>
        <w:t xml:space="preserve"> </w:t>
      </w:r>
      <w:r>
        <w:t>however,</w:t>
      </w:r>
      <w:r>
        <w:rPr>
          <w:spacing w:val="-7"/>
        </w:rPr>
        <w:t xml:space="preserve"> </w:t>
      </w:r>
      <w:r>
        <w:t>that</w:t>
      </w:r>
      <w:r>
        <w:rPr>
          <w:spacing w:val="-4"/>
        </w:rPr>
        <w:t xml:space="preserve"> </w:t>
      </w:r>
      <w:r>
        <w:t>this</w:t>
      </w:r>
      <w:r>
        <w:rPr>
          <w:spacing w:val="-6"/>
        </w:rPr>
        <w:t xml:space="preserve"> </w:t>
      </w:r>
      <w:r>
        <w:t>review</w:t>
      </w:r>
      <w:r>
        <w:rPr>
          <w:spacing w:val="-5"/>
        </w:rPr>
        <w:t xml:space="preserve"> </w:t>
      </w:r>
      <w:r>
        <w:t>and advice is consistently sought or, in any event, made publicly available. For example, in relation to the Anti-Discrimination Amendment Bill 2015 (Tas), the explanatory notes for the Bill did not explicitly address human rights issues arising from the exception to the Act created by the Bill, which enables religious schools to discriminate on the ground of religion in admitting students,</w:t>
      </w:r>
      <w:r>
        <w:rPr>
          <w:position w:val="7"/>
          <w:sz w:val="13"/>
        </w:rPr>
        <w:t>257</w:t>
      </w:r>
      <w:r>
        <w:rPr>
          <w:spacing w:val="31"/>
          <w:position w:val="7"/>
          <w:sz w:val="13"/>
        </w:rPr>
        <w:t xml:space="preserve"> </w:t>
      </w:r>
      <w:r>
        <w:t>nor did the House of Assembly seek a briefing on the Bill from the ADC, the officer charged with the administration of the Act. In contrast, the Legislative Council sought a briefing from the ADC. The Bill was ultimately passed but did not adopt the recommendations of the ADC.</w:t>
      </w:r>
      <w:r>
        <w:rPr>
          <w:position w:val="7"/>
          <w:sz w:val="13"/>
        </w:rPr>
        <w:t>258</w:t>
      </w:r>
    </w:p>
    <w:p w14:paraId="7CB25F92" w14:textId="77777777" w:rsidR="008A4099" w:rsidRDefault="006A6EE2">
      <w:pPr>
        <w:pStyle w:val="ListParagraph"/>
        <w:numPr>
          <w:ilvl w:val="2"/>
          <w:numId w:val="6"/>
        </w:numPr>
        <w:tabs>
          <w:tab w:val="left" w:pos="879"/>
        </w:tabs>
        <w:spacing w:before="216"/>
        <w:ind w:right="675" w:firstLine="0"/>
        <w:jc w:val="both"/>
        <w:rPr>
          <w:sz w:val="13"/>
        </w:rPr>
      </w:pPr>
      <w:r>
        <w:t>The Tasmanian Government has also referred many important issues to the TLRI and to the University of Tasmania for</w:t>
      </w:r>
      <w:r>
        <w:rPr>
          <w:spacing w:val="-1"/>
        </w:rPr>
        <w:t xml:space="preserve"> </w:t>
      </w:r>
      <w:r>
        <w:t>review. Often, but not universally, these Reviews involve consideration of human rights. For example, the majority of the references received by the TLRI have been from the Attorney-General. To name but a few, such references have included: the Review</w:t>
      </w:r>
      <w:r>
        <w:rPr>
          <w:spacing w:val="-1"/>
        </w:rPr>
        <w:t xml:space="preserve"> </w:t>
      </w:r>
      <w:r>
        <w:t>of the Guardianship and Administration Act 1995 (Tas); Reviews of the Defences of Self-Defence, Insanity, and Intoxication</w:t>
      </w:r>
      <w:r>
        <w:rPr>
          <w:spacing w:val="-3"/>
        </w:rPr>
        <w:t xml:space="preserve"> </w:t>
      </w:r>
      <w:r>
        <w:t>under</w:t>
      </w:r>
      <w:r>
        <w:rPr>
          <w:spacing w:val="-5"/>
        </w:rPr>
        <w:t xml:space="preserve"> </w:t>
      </w:r>
      <w:r>
        <w:t>the</w:t>
      </w:r>
      <w:r>
        <w:rPr>
          <w:spacing w:val="-2"/>
        </w:rPr>
        <w:t xml:space="preserve"> </w:t>
      </w:r>
      <w:r>
        <w:t>Criminal</w:t>
      </w:r>
      <w:r>
        <w:rPr>
          <w:spacing w:val="-2"/>
        </w:rPr>
        <w:t xml:space="preserve"> </w:t>
      </w:r>
      <w:r>
        <w:t>Code</w:t>
      </w:r>
      <w:r>
        <w:rPr>
          <w:spacing w:val="-3"/>
        </w:rPr>
        <w:t xml:space="preserve"> </w:t>
      </w:r>
      <w:r>
        <w:t>1924</w:t>
      </w:r>
      <w:r>
        <w:rPr>
          <w:spacing w:val="-3"/>
        </w:rPr>
        <w:t xml:space="preserve"> </w:t>
      </w:r>
      <w:r>
        <w:t>(Tas);</w:t>
      </w:r>
      <w:r>
        <w:rPr>
          <w:spacing w:val="-2"/>
        </w:rPr>
        <w:t xml:space="preserve"> </w:t>
      </w:r>
      <w:r>
        <w:t>recidivist</w:t>
      </w:r>
      <w:r>
        <w:rPr>
          <w:spacing w:val="-2"/>
        </w:rPr>
        <w:t xml:space="preserve"> </w:t>
      </w:r>
      <w:r>
        <w:t>drink</w:t>
      </w:r>
      <w:r>
        <w:rPr>
          <w:spacing w:val="-3"/>
        </w:rPr>
        <w:t xml:space="preserve"> </w:t>
      </w:r>
      <w:r>
        <w:t>drivers;</w:t>
      </w:r>
      <w:r>
        <w:rPr>
          <w:spacing w:val="-2"/>
        </w:rPr>
        <w:t xml:space="preserve"> </w:t>
      </w:r>
      <w:r>
        <w:t>Facilitating</w:t>
      </w:r>
      <w:r>
        <w:rPr>
          <w:spacing w:val="-3"/>
        </w:rPr>
        <w:t xml:space="preserve"> </w:t>
      </w:r>
      <w:r>
        <w:t>Equal</w:t>
      </w:r>
      <w:r>
        <w:rPr>
          <w:spacing w:val="-2"/>
        </w:rPr>
        <w:t xml:space="preserve"> </w:t>
      </w:r>
      <w:r>
        <w:t>Access</w:t>
      </w:r>
      <w:r>
        <w:rPr>
          <w:spacing w:val="-5"/>
        </w:rPr>
        <w:t xml:space="preserve"> </w:t>
      </w:r>
      <w:r>
        <w:t>to Justice:</w:t>
      </w:r>
      <w:r>
        <w:rPr>
          <w:spacing w:val="-14"/>
        </w:rPr>
        <w:t xml:space="preserve"> </w:t>
      </w:r>
      <w:r>
        <w:t>An</w:t>
      </w:r>
      <w:r>
        <w:rPr>
          <w:spacing w:val="-14"/>
        </w:rPr>
        <w:t xml:space="preserve"> </w:t>
      </w:r>
      <w:r>
        <w:t>Intermediary/Communication</w:t>
      </w:r>
      <w:r>
        <w:rPr>
          <w:spacing w:val="-14"/>
        </w:rPr>
        <w:t xml:space="preserve"> </w:t>
      </w:r>
      <w:r>
        <w:t>Assistant</w:t>
      </w:r>
      <w:r>
        <w:rPr>
          <w:spacing w:val="-13"/>
        </w:rPr>
        <w:t xml:space="preserve"> </w:t>
      </w:r>
      <w:r>
        <w:t>Scheme</w:t>
      </w:r>
      <w:r>
        <w:rPr>
          <w:spacing w:val="-14"/>
        </w:rPr>
        <w:t xml:space="preserve"> </w:t>
      </w:r>
      <w:r>
        <w:t>for</w:t>
      </w:r>
      <w:r>
        <w:rPr>
          <w:spacing w:val="-14"/>
        </w:rPr>
        <w:t xml:space="preserve"> </w:t>
      </w:r>
      <w:r>
        <w:t>Tasmania;</w:t>
      </w:r>
      <w:r>
        <w:rPr>
          <w:spacing w:val="-14"/>
        </w:rPr>
        <w:t xml:space="preserve"> </w:t>
      </w:r>
      <w:r>
        <w:t>Bullying;</w:t>
      </w:r>
      <w:r>
        <w:rPr>
          <w:spacing w:val="-13"/>
        </w:rPr>
        <w:t xml:space="preserve"> </w:t>
      </w:r>
      <w:r>
        <w:t>Problem</w:t>
      </w:r>
      <w:r>
        <w:rPr>
          <w:spacing w:val="-14"/>
        </w:rPr>
        <w:t xml:space="preserve"> </w:t>
      </w:r>
      <w:r>
        <w:t>Trees</w:t>
      </w:r>
      <w:r>
        <w:rPr>
          <w:spacing w:val="-14"/>
        </w:rPr>
        <w:t xml:space="preserve"> </w:t>
      </w:r>
      <w:r>
        <w:t>and Hedges; and Adoption by Same Sex Couples. The initial reference to explore the need for a human rights enactment in Tasmania was provided to the TLRI. Since 2006, the TLRI has framed its advice with</w:t>
      </w:r>
      <w:r>
        <w:rPr>
          <w:spacing w:val="-5"/>
        </w:rPr>
        <w:t xml:space="preserve"> </w:t>
      </w:r>
      <w:r>
        <w:t>reference</w:t>
      </w:r>
      <w:r>
        <w:rPr>
          <w:spacing w:val="-2"/>
        </w:rPr>
        <w:t xml:space="preserve"> </w:t>
      </w:r>
      <w:r>
        <w:t>to</w:t>
      </w:r>
      <w:r>
        <w:rPr>
          <w:spacing w:val="-2"/>
        </w:rPr>
        <w:t xml:space="preserve"> </w:t>
      </w:r>
      <w:r>
        <w:t>relevant</w:t>
      </w:r>
      <w:r>
        <w:rPr>
          <w:spacing w:val="-1"/>
        </w:rPr>
        <w:t xml:space="preserve"> </w:t>
      </w:r>
      <w:r>
        <w:t>human</w:t>
      </w:r>
      <w:r>
        <w:rPr>
          <w:spacing w:val="-4"/>
        </w:rPr>
        <w:t xml:space="preserve"> </w:t>
      </w:r>
      <w:r>
        <w:t>rights.</w:t>
      </w:r>
      <w:r>
        <w:rPr>
          <w:spacing w:val="-2"/>
        </w:rPr>
        <w:t xml:space="preserve"> </w:t>
      </w:r>
      <w:r>
        <w:t>This</w:t>
      </w:r>
      <w:r>
        <w:rPr>
          <w:spacing w:val="-4"/>
        </w:rPr>
        <w:t xml:space="preserve"> </w:t>
      </w:r>
      <w:r>
        <w:t>has</w:t>
      </w:r>
      <w:r>
        <w:rPr>
          <w:spacing w:val="-2"/>
        </w:rPr>
        <w:t xml:space="preserve"> </w:t>
      </w:r>
      <w:r>
        <w:t>enabled</w:t>
      </w:r>
      <w:r>
        <w:rPr>
          <w:spacing w:val="-2"/>
        </w:rPr>
        <w:t xml:space="preserve"> </w:t>
      </w:r>
      <w:r>
        <w:t>human</w:t>
      </w:r>
      <w:r>
        <w:rPr>
          <w:spacing w:val="-4"/>
        </w:rPr>
        <w:t xml:space="preserve"> </w:t>
      </w:r>
      <w:r>
        <w:t>rights</w:t>
      </w:r>
      <w:r>
        <w:rPr>
          <w:spacing w:val="-2"/>
        </w:rPr>
        <w:t xml:space="preserve"> </w:t>
      </w:r>
      <w:r>
        <w:t>principles</w:t>
      </w:r>
      <w:r>
        <w:rPr>
          <w:spacing w:val="-4"/>
        </w:rPr>
        <w:t xml:space="preserve"> </w:t>
      </w:r>
      <w:r>
        <w:t>and</w:t>
      </w:r>
      <w:r>
        <w:rPr>
          <w:spacing w:val="-4"/>
        </w:rPr>
        <w:t xml:space="preserve"> </w:t>
      </w:r>
      <w:r>
        <w:t>jurisprudence</w:t>
      </w:r>
      <w:r>
        <w:rPr>
          <w:spacing w:val="-4"/>
        </w:rPr>
        <w:t xml:space="preserve"> </w:t>
      </w:r>
      <w:r>
        <w:t>to be</w:t>
      </w:r>
      <w:r>
        <w:rPr>
          <w:spacing w:val="-7"/>
        </w:rPr>
        <w:t xml:space="preserve"> </w:t>
      </w:r>
      <w:r>
        <w:t>incorporated</w:t>
      </w:r>
      <w:r>
        <w:rPr>
          <w:spacing w:val="-7"/>
        </w:rPr>
        <w:t xml:space="preserve"> </w:t>
      </w:r>
      <w:r>
        <w:t>into</w:t>
      </w:r>
      <w:r>
        <w:rPr>
          <w:spacing w:val="-7"/>
        </w:rPr>
        <w:t xml:space="preserve"> </w:t>
      </w:r>
      <w:r>
        <w:t>the</w:t>
      </w:r>
      <w:r>
        <w:rPr>
          <w:spacing w:val="-7"/>
        </w:rPr>
        <w:t xml:space="preserve"> </w:t>
      </w:r>
      <w:r>
        <w:t>advice</w:t>
      </w:r>
      <w:r>
        <w:rPr>
          <w:spacing w:val="-7"/>
        </w:rPr>
        <w:t xml:space="preserve"> </w:t>
      </w:r>
      <w:r>
        <w:t>given.</w:t>
      </w:r>
      <w:r>
        <w:rPr>
          <w:spacing w:val="-7"/>
        </w:rPr>
        <w:t xml:space="preserve"> </w:t>
      </w:r>
      <w:r>
        <w:t>The</w:t>
      </w:r>
      <w:r>
        <w:rPr>
          <w:spacing w:val="-7"/>
        </w:rPr>
        <w:t xml:space="preserve"> </w:t>
      </w:r>
      <w:r>
        <w:t>Tasmanian</w:t>
      </w:r>
      <w:r>
        <w:rPr>
          <w:spacing w:val="-7"/>
        </w:rPr>
        <w:t xml:space="preserve"> </w:t>
      </w:r>
      <w:r>
        <w:t>Policy</w:t>
      </w:r>
      <w:r>
        <w:rPr>
          <w:spacing w:val="-7"/>
        </w:rPr>
        <w:t xml:space="preserve"> </w:t>
      </w:r>
      <w:r>
        <w:t>Exchange</w:t>
      </w:r>
      <w:r>
        <w:rPr>
          <w:position w:val="7"/>
          <w:sz w:val="13"/>
        </w:rPr>
        <w:t>259</w:t>
      </w:r>
      <w:r>
        <w:rPr>
          <w:spacing w:val="15"/>
          <w:position w:val="7"/>
          <w:sz w:val="13"/>
        </w:rPr>
        <w:t xml:space="preserve"> </w:t>
      </w:r>
      <w:r>
        <w:t>was</w:t>
      </w:r>
      <w:r>
        <w:rPr>
          <w:spacing w:val="-6"/>
        </w:rPr>
        <w:t xml:space="preserve"> </w:t>
      </w:r>
      <w:r>
        <w:t>commissioned</w:t>
      </w:r>
      <w:r>
        <w:rPr>
          <w:spacing w:val="-7"/>
        </w:rPr>
        <w:t xml:space="preserve"> </w:t>
      </w:r>
      <w:r>
        <w:t>to</w:t>
      </w:r>
      <w:r>
        <w:rPr>
          <w:spacing w:val="-10"/>
        </w:rPr>
        <w:t xml:space="preserve"> </w:t>
      </w:r>
      <w:r>
        <w:t>review the</w:t>
      </w:r>
      <w:r>
        <w:rPr>
          <w:spacing w:val="-2"/>
        </w:rPr>
        <w:t xml:space="preserve"> </w:t>
      </w:r>
      <w:r>
        <w:t>End-of-Life</w:t>
      </w:r>
      <w:r>
        <w:rPr>
          <w:spacing w:val="-4"/>
        </w:rPr>
        <w:t xml:space="preserve"> </w:t>
      </w:r>
      <w:r>
        <w:t>Choices</w:t>
      </w:r>
      <w:r>
        <w:rPr>
          <w:spacing w:val="-4"/>
        </w:rPr>
        <w:t xml:space="preserve"> </w:t>
      </w:r>
      <w:r>
        <w:t>(Voluntary</w:t>
      </w:r>
      <w:r>
        <w:rPr>
          <w:spacing w:val="-5"/>
        </w:rPr>
        <w:t xml:space="preserve"> </w:t>
      </w:r>
      <w:r>
        <w:t>Assisted</w:t>
      </w:r>
      <w:r>
        <w:rPr>
          <w:spacing w:val="-2"/>
        </w:rPr>
        <w:t xml:space="preserve"> </w:t>
      </w:r>
      <w:r>
        <w:t>Dying)</w:t>
      </w:r>
      <w:r>
        <w:rPr>
          <w:spacing w:val="-2"/>
        </w:rPr>
        <w:t xml:space="preserve"> </w:t>
      </w:r>
      <w:r>
        <w:t>Bill</w:t>
      </w:r>
      <w:r>
        <w:rPr>
          <w:spacing w:val="-1"/>
        </w:rPr>
        <w:t xml:space="preserve"> </w:t>
      </w:r>
      <w:r>
        <w:t>2020</w:t>
      </w:r>
      <w:r>
        <w:rPr>
          <w:spacing w:val="-1"/>
        </w:rPr>
        <w:t xml:space="preserve"> </w:t>
      </w:r>
      <w:r>
        <w:t>(Tas)</w:t>
      </w:r>
      <w:r>
        <w:rPr>
          <w:spacing w:val="-3"/>
        </w:rPr>
        <w:t xml:space="preserve"> </w:t>
      </w:r>
      <w:r>
        <w:t>and</w:t>
      </w:r>
      <w:r>
        <w:rPr>
          <w:spacing w:val="-4"/>
        </w:rPr>
        <w:t xml:space="preserve"> </w:t>
      </w:r>
      <w:r>
        <w:t>to</w:t>
      </w:r>
      <w:r>
        <w:rPr>
          <w:spacing w:val="-5"/>
        </w:rPr>
        <w:t xml:space="preserve"> </w:t>
      </w:r>
      <w:r>
        <w:t>assist</w:t>
      </w:r>
      <w:r>
        <w:rPr>
          <w:spacing w:val="-4"/>
        </w:rPr>
        <w:t xml:space="preserve"> </w:t>
      </w:r>
      <w:r>
        <w:t>with</w:t>
      </w:r>
      <w:r>
        <w:rPr>
          <w:spacing w:val="-5"/>
        </w:rPr>
        <w:t xml:space="preserve"> </w:t>
      </w:r>
      <w:r>
        <w:t>risk</w:t>
      </w:r>
      <w:r>
        <w:rPr>
          <w:spacing w:val="-2"/>
        </w:rPr>
        <w:t xml:space="preserve"> </w:t>
      </w:r>
      <w:r>
        <w:t>assessment modelling</w:t>
      </w:r>
      <w:r>
        <w:rPr>
          <w:spacing w:val="-14"/>
        </w:rPr>
        <w:t xml:space="preserve"> </w:t>
      </w:r>
      <w:r>
        <w:t>of</w:t>
      </w:r>
      <w:r>
        <w:rPr>
          <w:spacing w:val="-14"/>
        </w:rPr>
        <w:t xml:space="preserve"> </w:t>
      </w:r>
      <w:r>
        <w:t>the</w:t>
      </w:r>
      <w:r>
        <w:rPr>
          <w:spacing w:val="-14"/>
        </w:rPr>
        <w:t xml:space="preserve"> </w:t>
      </w:r>
      <w:r>
        <w:t>impacts</w:t>
      </w:r>
      <w:r>
        <w:rPr>
          <w:spacing w:val="-13"/>
        </w:rPr>
        <w:t xml:space="preserve"> </w:t>
      </w:r>
      <w:r>
        <w:t>of</w:t>
      </w:r>
      <w:r>
        <w:rPr>
          <w:spacing w:val="-14"/>
        </w:rPr>
        <w:t xml:space="preserve"> </w:t>
      </w:r>
      <w:r>
        <w:t>COVID-19.</w:t>
      </w:r>
      <w:r>
        <w:rPr>
          <w:spacing w:val="-14"/>
        </w:rPr>
        <w:t xml:space="preserve"> </w:t>
      </w:r>
      <w:r>
        <w:t>However,</w:t>
      </w:r>
      <w:r>
        <w:rPr>
          <w:spacing w:val="-14"/>
        </w:rPr>
        <w:t xml:space="preserve"> </w:t>
      </w:r>
      <w:r>
        <w:t>neither</w:t>
      </w:r>
      <w:r>
        <w:rPr>
          <w:spacing w:val="-12"/>
        </w:rPr>
        <w:t xml:space="preserve"> </w:t>
      </w:r>
      <w:r>
        <w:t>Review</w:t>
      </w:r>
      <w:r>
        <w:rPr>
          <w:spacing w:val="-14"/>
        </w:rPr>
        <w:t xml:space="preserve"> </w:t>
      </w:r>
      <w:r>
        <w:t>explicitly</w:t>
      </w:r>
      <w:r>
        <w:rPr>
          <w:spacing w:val="-13"/>
        </w:rPr>
        <w:t xml:space="preserve"> </w:t>
      </w:r>
      <w:r>
        <w:t>examined</w:t>
      </w:r>
      <w:r>
        <w:rPr>
          <w:spacing w:val="-14"/>
        </w:rPr>
        <w:t xml:space="preserve"> </w:t>
      </w:r>
      <w:r>
        <w:t>the</w:t>
      </w:r>
      <w:r>
        <w:rPr>
          <w:spacing w:val="-13"/>
        </w:rPr>
        <w:t xml:space="preserve"> </w:t>
      </w:r>
      <w:r>
        <w:t>human</w:t>
      </w:r>
      <w:r>
        <w:rPr>
          <w:spacing w:val="-14"/>
        </w:rPr>
        <w:t xml:space="preserve"> </w:t>
      </w:r>
      <w:r>
        <w:t>rights implications of those matters.</w:t>
      </w:r>
      <w:r>
        <w:rPr>
          <w:position w:val="7"/>
          <w:sz w:val="13"/>
        </w:rPr>
        <w:t>260</w:t>
      </w:r>
    </w:p>
    <w:p w14:paraId="7CB25F93" w14:textId="77777777" w:rsidR="008A4099" w:rsidRDefault="006A6EE2">
      <w:pPr>
        <w:pStyle w:val="ListParagraph"/>
        <w:numPr>
          <w:ilvl w:val="2"/>
          <w:numId w:val="6"/>
        </w:numPr>
        <w:tabs>
          <w:tab w:val="left" w:pos="879"/>
        </w:tabs>
        <w:spacing w:before="217"/>
        <w:ind w:right="675" w:firstLine="0"/>
        <w:jc w:val="both"/>
      </w:pPr>
      <w:r>
        <w:t>Moreover, no referral was made for external advice in respect of the Tasmanian anti-protest laws</w:t>
      </w:r>
      <w:r>
        <w:rPr>
          <w:spacing w:val="-11"/>
        </w:rPr>
        <w:t xml:space="preserve"> </w:t>
      </w:r>
      <w:r>
        <w:t>that</w:t>
      </w:r>
      <w:r>
        <w:rPr>
          <w:spacing w:val="-10"/>
        </w:rPr>
        <w:t xml:space="preserve"> </w:t>
      </w:r>
      <w:r>
        <w:t>applied</w:t>
      </w:r>
      <w:r>
        <w:rPr>
          <w:spacing w:val="-13"/>
        </w:rPr>
        <w:t xml:space="preserve"> </w:t>
      </w:r>
      <w:r>
        <w:t>to</w:t>
      </w:r>
      <w:r>
        <w:rPr>
          <w:spacing w:val="-11"/>
        </w:rPr>
        <w:t xml:space="preserve"> </w:t>
      </w:r>
      <w:r>
        <w:t>workplaces,</w:t>
      </w:r>
      <w:r>
        <w:rPr>
          <w:spacing w:val="-13"/>
        </w:rPr>
        <w:t xml:space="preserve"> </w:t>
      </w:r>
      <w:r>
        <w:t>reflecting</w:t>
      </w:r>
      <w:r>
        <w:rPr>
          <w:spacing w:val="-11"/>
        </w:rPr>
        <w:t xml:space="preserve"> </w:t>
      </w:r>
      <w:r>
        <w:t>the</w:t>
      </w:r>
      <w:r>
        <w:rPr>
          <w:spacing w:val="-11"/>
        </w:rPr>
        <w:t xml:space="preserve"> </w:t>
      </w:r>
      <w:r>
        <w:t>reality</w:t>
      </w:r>
      <w:r>
        <w:rPr>
          <w:spacing w:val="-13"/>
        </w:rPr>
        <w:t xml:space="preserve"> </w:t>
      </w:r>
      <w:r>
        <w:t>that</w:t>
      </w:r>
      <w:r>
        <w:rPr>
          <w:spacing w:val="-10"/>
        </w:rPr>
        <w:t xml:space="preserve"> </w:t>
      </w:r>
      <w:r>
        <w:t>decisions</w:t>
      </w:r>
      <w:r>
        <w:rPr>
          <w:spacing w:val="-10"/>
        </w:rPr>
        <w:t xml:space="preserve"> </w:t>
      </w:r>
      <w:r>
        <w:t>about</w:t>
      </w:r>
      <w:r>
        <w:rPr>
          <w:spacing w:val="-10"/>
        </w:rPr>
        <w:t xml:space="preserve"> </w:t>
      </w:r>
      <w:r>
        <w:t>whether</w:t>
      </w:r>
      <w:r>
        <w:rPr>
          <w:spacing w:val="-12"/>
        </w:rPr>
        <w:t xml:space="preserve"> </w:t>
      </w:r>
      <w:r>
        <w:t>to</w:t>
      </w:r>
      <w:r>
        <w:rPr>
          <w:spacing w:val="-11"/>
        </w:rPr>
        <w:t xml:space="preserve"> </w:t>
      </w:r>
      <w:r>
        <w:t>refer</w:t>
      </w:r>
      <w:r>
        <w:rPr>
          <w:spacing w:val="-10"/>
        </w:rPr>
        <w:t xml:space="preserve"> </w:t>
      </w:r>
      <w:r>
        <w:t>and</w:t>
      </w:r>
      <w:r>
        <w:rPr>
          <w:spacing w:val="-11"/>
        </w:rPr>
        <w:t xml:space="preserve"> </w:t>
      </w:r>
      <w:r>
        <w:t>the</w:t>
      </w:r>
      <w:r>
        <w:rPr>
          <w:spacing w:val="-11"/>
        </w:rPr>
        <w:t xml:space="preserve"> </w:t>
      </w:r>
      <w:r>
        <w:t>terms of reference for an inquiry are at the discretion of the Tasmanian Government. Further, while some reform recommendations are enacted,</w:t>
      </w:r>
      <w:r>
        <w:rPr>
          <w:spacing w:val="-1"/>
        </w:rPr>
        <w:t xml:space="preserve"> </w:t>
      </w:r>
      <w:r>
        <w:t>there</w:t>
      </w:r>
      <w:r>
        <w:rPr>
          <w:spacing w:val="-3"/>
        </w:rPr>
        <w:t xml:space="preserve"> </w:t>
      </w:r>
      <w:r>
        <w:t>is</w:t>
      </w:r>
      <w:r>
        <w:rPr>
          <w:spacing w:val="-1"/>
        </w:rPr>
        <w:t xml:space="preserve"> </w:t>
      </w:r>
      <w:r>
        <w:t>no</w:t>
      </w:r>
      <w:r>
        <w:rPr>
          <w:spacing w:val="-1"/>
        </w:rPr>
        <w:t xml:space="preserve"> </w:t>
      </w:r>
      <w:r>
        <w:t>obligation</w:t>
      </w:r>
      <w:r>
        <w:rPr>
          <w:spacing w:val="-1"/>
        </w:rPr>
        <w:t xml:space="preserve"> </w:t>
      </w:r>
      <w:r>
        <w:t>on</w:t>
      </w:r>
      <w:r>
        <w:rPr>
          <w:spacing w:val="-3"/>
        </w:rPr>
        <w:t xml:space="preserve"> </w:t>
      </w:r>
      <w:r>
        <w:t>the</w:t>
      </w:r>
      <w:r>
        <w:rPr>
          <w:spacing w:val="-1"/>
        </w:rPr>
        <w:t xml:space="preserve"> </w:t>
      </w:r>
      <w:r>
        <w:t>Tasmanian Government to</w:t>
      </w:r>
      <w:r>
        <w:rPr>
          <w:spacing w:val="-1"/>
        </w:rPr>
        <w:t xml:space="preserve"> </w:t>
      </w:r>
      <w:r>
        <w:t>respond to, or implement, any recommendations made by the TLRI or other organisations.</w:t>
      </w:r>
    </w:p>
    <w:p w14:paraId="7CB25F94" w14:textId="77777777" w:rsidR="008A4099" w:rsidRDefault="006A6EE2">
      <w:pPr>
        <w:pStyle w:val="ListParagraph"/>
        <w:numPr>
          <w:ilvl w:val="2"/>
          <w:numId w:val="6"/>
        </w:numPr>
        <w:tabs>
          <w:tab w:val="left" w:pos="879"/>
        </w:tabs>
        <w:spacing w:before="214"/>
        <w:ind w:right="675" w:firstLine="0"/>
        <w:jc w:val="both"/>
      </w:pPr>
      <w:r>
        <w:t>The Legislative Council requests or accepts offers of briefings from stakeholders and experts, including</w:t>
      </w:r>
      <w:r>
        <w:rPr>
          <w:spacing w:val="-2"/>
        </w:rPr>
        <w:t xml:space="preserve"> </w:t>
      </w:r>
      <w:r>
        <w:t>the TLRI, prior</w:t>
      </w:r>
      <w:r>
        <w:rPr>
          <w:spacing w:val="-2"/>
        </w:rPr>
        <w:t xml:space="preserve"> </w:t>
      </w:r>
      <w:r>
        <w:t>to debating</w:t>
      </w:r>
      <w:r>
        <w:rPr>
          <w:spacing w:val="-2"/>
        </w:rPr>
        <w:t xml:space="preserve"> </w:t>
      </w:r>
      <w:r>
        <w:t>legislation.</w:t>
      </w:r>
      <w:r>
        <w:rPr>
          <w:spacing w:val="-3"/>
        </w:rPr>
        <w:t xml:space="preserve"> </w:t>
      </w:r>
      <w:r>
        <w:t>Again, this</w:t>
      </w:r>
      <w:r>
        <w:rPr>
          <w:spacing w:val="-2"/>
        </w:rPr>
        <w:t xml:space="preserve"> </w:t>
      </w:r>
      <w:r>
        <w:t>provides an opportunity</w:t>
      </w:r>
      <w:r>
        <w:rPr>
          <w:spacing w:val="-3"/>
        </w:rPr>
        <w:t xml:space="preserve"> </w:t>
      </w:r>
      <w:r>
        <w:t>for discussion</w:t>
      </w:r>
      <w:r>
        <w:rPr>
          <w:spacing w:val="-2"/>
        </w:rPr>
        <w:t xml:space="preserve"> </w:t>
      </w:r>
      <w:r>
        <w:t>of human rights implications, but it is an ad hoc process, rather than a routine, structured examination of whether proposed laws are consistent with human rights, as recommended in the TLRI 2007 Final Report.</w:t>
      </w:r>
      <w:r>
        <w:rPr>
          <w:spacing w:val="-2"/>
        </w:rPr>
        <w:t xml:space="preserve"> </w:t>
      </w:r>
      <w:r>
        <w:t>In</w:t>
      </w:r>
      <w:r>
        <w:rPr>
          <w:spacing w:val="-2"/>
        </w:rPr>
        <w:t xml:space="preserve"> </w:t>
      </w:r>
      <w:r>
        <w:t>summary,</w:t>
      </w:r>
      <w:r>
        <w:rPr>
          <w:spacing w:val="-5"/>
        </w:rPr>
        <w:t xml:space="preserve"> </w:t>
      </w:r>
      <w:r>
        <w:t>the</w:t>
      </w:r>
      <w:r>
        <w:rPr>
          <w:spacing w:val="-4"/>
        </w:rPr>
        <w:t xml:space="preserve"> </w:t>
      </w:r>
      <w:r>
        <w:t>lack</w:t>
      </w:r>
      <w:r>
        <w:rPr>
          <w:spacing w:val="-2"/>
        </w:rPr>
        <w:t xml:space="preserve"> </w:t>
      </w:r>
      <w:r>
        <w:t>of</w:t>
      </w:r>
      <w:r>
        <w:rPr>
          <w:spacing w:val="-4"/>
        </w:rPr>
        <w:t xml:space="preserve"> </w:t>
      </w:r>
      <w:r>
        <w:t>a</w:t>
      </w:r>
      <w:r>
        <w:rPr>
          <w:spacing w:val="-4"/>
        </w:rPr>
        <w:t xml:space="preserve"> </w:t>
      </w:r>
      <w:r>
        <w:t>formal</w:t>
      </w:r>
      <w:r>
        <w:rPr>
          <w:spacing w:val="-4"/>
        </w:rPr>
        <w:t xml:space="preserve"> </w:t>
      </w:r>
      <w:r>
        <w:t>mechanism</w:t>
      </w:r>
      <w:r>
        <w:rPr>
          <w:spacing w:val="-1"/>
        </w:rPr>
        <w:t xml:space="preserve"> </w:t>
      </w:r>
      <w:r>
        <w:t>in</w:t>
      </w:r>
      <w:r>
        <w:rPr>
          <w:spacing w:val="-5"/>
        </w:rPr>
        <w:t xml:space="preserve"> </w:t>
      </w:r>
      <w:r>
        <w:t>Tasmania</w:t>
      </w:r>
      <w:r>
        <w:rPr>
          <w:spacing w:val="-4"/>
        </w:rPr>
        <w:t xml:space="preserve"> </w:t>
      </w:r>
      <w:r>
        <w:t>for</w:t>
      </w:r>
      <w:r>
        <w:rPr>
          <w:spacing w:val="-4"/>
        </w:rPr>
        <w:t xml:space="preserve"> </w:t>
      </w:r>
      <w:r>
        <w:t>routine</w:t>
      </w:r>
      <w:r>
        <w:rPr>
          <w:spacing w:val="-4"/>
        </w:rPr>
        <w:t xml:space="preserve"> </w:t>
      </w:r>
      <w:r>
        <w:t>external</w:t>
      </w:r>
      <w:r>
        <w:rPr>
          <w:spacing w:val="-4"/>
        </w:rPr>
        <w:t xml:space="preserve"> </w:t>
      </w:r>
      <w:r>
        <w:t>scrutiny</w:t>
      </w:r>
      <w:r>
        <w:rPr>
          <w:spacing w:val="-5"/>
        </w:rPr>
        <w:t xml:space="preserve"> </w:t>
      </w:r>
      <w:r>
        <w:t>appears to mean that referrals for advice or briefings are ad hoc and inconsistently used.</w:t>
      </w:r>
    </w:p>
    <w:p w14:paraId="7CB25F95" w14:textId="77777777" w:rsidR="008A4099" w:rsidRDefault="006A6EE2">
      <w:pPr>
        <w:pStyle w:val="ListParagraph"/>
        <w:numPr>
          <w:ilvl w:val="2"/>
          <w:numId w:val="6"/>
        </w:numPr>
        <w:tabs>
          <w:tab w:val="left" w:pos="879"/>
        </w:tabs>
        <w:spacing w:before="218" w:line="237" w:lineRule="auto"/>
        <w:ind w:right="678" w:firstLine="0"/>
        <w:jc w:val="both"/>
      </w:pPr>
      <w:r>
        <w:t>In contrast, several jurisdictions with human rights enactments have established mechanisms for the routine external scrutiny of legislation and policy through the establishment and resourcing of dedicated</w:t>
      </w:r>
      <w:r>
        <w:rPr>
          <w:spacing w:val="-7"/>
        </w:rPr>
        <w:t xml:space="preserve"> </w:t>
      </w:r>
      <w:r>
        <w:t>Human</w:t>
      </w:r>
      <w:r>
        <w:rPr>
          <w:spacing w:val="-9"/>
        </w:rPr>
        <w:t xml:space="preserve"> </w:t>
      </w:r>
      <w:r>
        <w:t>Rights</w:t>
      </w:r>
      <w:r>
        <w:rPr>
          <w:spacing w:val="-9"/>
        </w:rPr>
        <w:t xml:space="preserve"> </w:t>
      </w:r>
      <w:r>
        <w:t>Commissions.</w:t>
      </w:r>
      <w:r>
        <w:rPr>
          <w:spacing w:val="-6"/>
        </w:rPr>
        <w:t xml:space="preserve"> </w:t>
      </w:r>
      <w:r>
        <w:t>This</w:t>
      </w:r>
      <w:r>
        <w:rPr>
          <w:spacing w:val="-10"/>
        </w:rPr>
        <w:t xml:space="preserve"> </w:t>
      </w:r>
      <w:r>
        <w:t>allows</w:t>
      </w:r>
      <w:r>
        <w:rPr>
          <w:spacing w:val="-6"/>
        </w:rPr>
        <w:t xml:space="preserve"> </w:t>
      </w:r>
      <w:r>
        <w:t>for</w:t>
      </w:r>
      <w:r>
        <w:rPr>
          <w:spacing w:val="-6"/>
        </w:rPr>
        <w:t xml:space="preserve"> </w:t>
      </w:r>
      <w:r>
        <w:t>the</w:t>
      </w:r>
      <w:r>
        <w:rPr>
          <w:spacing w:val="-9"/>
        </w:rPr>
        <w:t xml:space="preserve"> </w:t>
      </w:r>
      <w:r>
        <w:t>consistent</w:t>
      </w:r>
      <w:r>
        <w:rPr>
          <w:spacing w:val="-7"/>
        </w:rPr>
        <w:t xml:space="preserve"> </w:t>
      </w:r>
      <w:r>
        <w:t>provision</w:t>
      </w:r>
      <w:r>
        <w:rPr>
          <w:spacing w:val="-7"/>
        </w:rPr>
        <w:t xml:space="preserve"> </w:t>
      </w:r>
      <w:r>
        <w:t>of</w:t>
      </w:r>
      <w:r>
        <w:rPr>
          <w:spacing w:val="-8"/>
        </w:rPr>
        <w:t xml:space="preserve"> </w:t>
      </w:r>
      <w:r>
        <w:t>expert</w:t>
      </w:r>
      <w:r>
        <w:rPr>
          <w:spacing w:val="-8"/>
        </w:rPr>
        <w:t xml:space="preserve"> </w:t>
      </w:r>
      <w:r>
        <w:t>human</w:t>
      </w:r>
      <w:r>
        <w:rPr>
          <w:spacing w:val="-9"/>
        </w:rPr>
        <w:t xml:space="preserve"> </w:t>
      </w:r>
      <w:r>
        <w:rPr>
          <w:spacing w:val="-2"/>
        </w:rPr>
        <w:t>rights</w:t>
      </w:r>
    </w:p>
    <w:p w14:paraId="7CB25F96" w14:textId="77777777" w:rsidR="008A4099" w:rsidRDefault="006A6EE2">
      <w:pPr>
        <w:pStyle w:val="BodyText"/>
        <w:spacing w:before="70"/>
        <w:rPr>
          <w:sz w:val="20"/>
        </w:rPr>
      </w:pPr>
      <w:r>
        <w:rPr>
          <w:noProof/>
        </w:rPr>
        <mc:AlternateContent>
          <mc:Choice Requires="wps">
            <w:drawing>
              <wp:anchor distT="0" distB="0" distL="0" distR="0" simplePos="0" relativeHeight="487608320" behindDoc="1" locked="0" layoutInCell="1" allowOverlap="1" wp14:anchorId="7CB26629" wp14:editId="7CB2662A">
                <wp:simplePos x="0" y="0"/>
                <wp:positionH relativeFrom="page">
                  <wp:posOffset>914704</wp:posOffset>
                </wp:positionH>
                <wp:positionV relativeFrom="paragraph">
                  <wp:posOffset>206331</wp:posOffset>
                </wp:positionV>
                <wp:extent cx="1829435" cy="762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CB2FCA" id="Graphic 82" o:spid="_x0000_s1026" style="position:absolute;margin-left:1in;margin-top:16.25pt;width:144.05pt;height:.6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" path="m1829054,l,,,7619r1829054,l1829054,xe" fillcolor="black" stroked="f">
                <v:path arrowok="t"/>
                <w10:wrap type="topAndBottom" anchorx="page"/>
              </v:shape>
            </w:pict>
          </mc:Fallback>
        </mc:AlternateContent>
      </w:r>
    </w:p>
    <w:p w14:paraId="7CB25F97" w14:textId="77777777" w:rsidR="008A4099" w:rsidRDefault="006A6EE2">
      <w:pPr>
        <w:spacing w:before="112"/>
        <w:ind w:left="160"/>
        <w:jc w:val="both"/>
        <w:rPr>
          <w:sz w:val="18"/>
        </w:rPr>
      </w:pPr>
      <w:r>
        <w:rPr>
          <w:sz w:val="18"/>
          <w:vertAlign w:val="superscript"/>
        </w:rPr>
        <w:t>256</w:t>
      </w:r>
      <w:r>
        <w:rPr>
          <w:sz w:val="18"/>
        </w:rPr>
        <w:t xml:space="preserve"> </w:t>
      </w:r>
      <w:r>
        <w:rPr>
          <w:i/>
          <w:sz w:val="18"/>
        </w:rPr>
        <w:t>Anti-Discrimination</w:t>
      </w:r>
      <w:r>
        <w:rPr>
          <w:i/>
          <w:spacing w:val="1"/>
          <w:sz w:val="18"/>
        </w:rPr>
        <w:t xml:space="preserve"> </w:t>
      </w:r>
      <w:r>
        <w:rPr>
          <w:i/>
          <w:sz w:val="18"/>
        </w:rPr>
        <w:t>Act</w:t>
      </w:r>
      <w:r>
        <w:rPr>
          <w:i/>
          <w:spacing w:val="-1"/>
          <w:sz w:val="18"/>
        </w:rPr>
        <w:t xml:space="preserve"> </w:t>
      </w:r>
      <w:r>
        <w:rPr>
          <w:i/>
          <w:sz w:val="18"/>
        </w:rPr>
        <w:t>1998</w:t>
      </w:r>
      <w:r>
        <w:rPr>
          <w:i/>
          <w:spacing w:val="3"/>
          <w:sz w:val="18"/>
        </w:rPr>
        <w:t xml:space="preserve"> </w:t>
      </w:r>
      <w:r>
        <w:rPr>
          <w:sz w:val="18"/>
        </w:rPr>
        <w:t>(Tas)</w:t>
      </w:r>
      <w:r>
        <w:rPr>
          <w:spacing w:val="1"/>
          <w:sz w:val="18"/>
        </w:rPr>
        <w:t xml:space="preserve"> </w:t>
      </w:r>
      <w:r>
        <w:rPr>
          <w:sz w:val="18"/>
        </w:rPr>
        <w:t xml:space="preserve">s </w:t>
      </w:r>
      <w:r>
        <w:rPr>
          <w:spacing w:val="-4"/>
          <w:sz w:val="18"/>
        </w:rPr>
        <w:t>6(g).</w:t>
      </w:r>
    </w:p>
    <w:p w14:paraId="7CB25F98" w14:textId="77777777" w:rsidR="008A4099" w:rsidRDefault="006A6EE2">
      <w:pPr>
        <w:spacing w:before="24"/>
        <w:ind w:left="160"/>
        <w:jc w:val="both"/>
        <w:rPr>
          <w:sz w:val="18"/>
        </w:rPr>
      </w:pPr>
      <w:r>
        <w:rPr>
          <w:sz w:val="18"/>
          <w:vertAlign w:val="superscript"/>
        </w:rPr>
        <w:t>257</w:t>
      </w:r>
      <w:r>
        <w:rPr>
          <w:sz w:val="18"/>
        </w:rPr>
        <w:t xml:space="preserve"> </w:t>
      </w:r>
      <w:r>
        <w:rPr>
          <w:i/>
          <w:sz w:val="18"/>
        </w:rPr>
        <w:t>Anti-Discrimination</w:t>
      </w:r>
      <w:r>
        <w:rPr>
          <w:i/>
          <w:spacing w:val="1"/>
          <w:sz w:val="18"/>
        </w:rPr>
        <w:t xml:space="preserve"> </w:t>
      </w:r>
      <w:r>
        <w:rPr>
          <w:i/>
          <w:sz w:val="18"/>
        </w:rPr>
        <w:t>Act</w:t>
      </w:r>
      <w:r>
        <w:rPr>
          <w:i/>
          <w:spacing w:val="-1"/>
          <w:sz w:val="18"/>
        </w:rPr>
        <w:t xml:space="preserve"> </w:t>
      </w:r>
      <w:r>
        <w:rPr>
          <w:i/>
          <w:sz w:val="18"/>
        </w:rPr>
        <w:t>1998</w:t>
      </w:r>
      <w:r>
        <w:rPr>
          <w:i/>
          <w:spacing w:val="3"/>
          <w:sz w:val="18"/>
        </w:rPr>
        <w:t xml:space="preserve"> </w:t>
      </w:r>
      <w:r>
        <w:rPr>
          <w:sz w:val="18"/>
        </w:rPr>
        <w:t>(Tas)</w:t>
      </w:r>
      <w:r>
        <w:rPr>
          <w:spacing w:val="1"/>
          <w:sz w:val="18"/>
        </w:rPr>
        <w:t xml:space="preserve"> </w:t>
      </w:r>
      <w:r>
        <w:rPr>
          <w:sz w:val="18"/>
        </w:rPr>
        <w:t xml:space="preserve">s </w:t>
      </w:r>
      <w:r>
        <w:rPr>
          <w:spacing w:val="-4"/>
          <w:sz w:val="18"/>
        </w:rPr>
        <w:t>51A.</w:t>
      </w:r>
    </w:p>
    <w:p w14:paraId="7CB25F99" w14:textId="77777777" w:rsidR="008A4099" w:rsidRDefault="006A6EE2">
      <w:pPr>
        <w:spacing w:before="23" w:line="242" w:lineRule="auto"/>
        <w:ind w:left="160" w:right="677"/>
        <w:jc w:val="both"/>
        <w:rPr>
          <w:sz w:val="18"/>
        </w:rPr>
      </w:pPr>
      <w:r>
        <w:rPr>
          <w:sz w:val="18"/>
          <w:vertAlign w:val="superscript"/>
        </w:rPr>
        <w:t>258</w:t>
      </w:r>
      <w:r>
        <w:rPr>
          <w:sz w:val="18"/>
        </w:rPr>
        <w:t xml:space="preserve"> See advice quoted by the Hon Ruth Forrest MLC: Tasmania, </w:t>
      </w:r>
      <w:r>
        <w:rPr>
          <w:i/>
          <w:sz w:val="18"/>
        </w:rPr>
        <w:t>Parliamentary Debates</w:t>
      </w:r>
      <w:r>
        <w:rPr>
          <w:sz w:val="18"/>
        </w:rPr>
        <w:t>, Legislative Council, 27 May 2015, 46–47</w:t>
      </w:r>
      <w:r>
        <w:rPr>
          <w:spacing w:val="-3"/>
          <w:sz w:val="18"/>
        </w:rPr>
        <w:t xml:space="preserve"> </w:t>
      </w:r>
      <w:r>
        <w:rPr>
          <w:sz w:val="18"/>
        </w:rPr>
        <w:t>(Ruth</w:t>
      </w:r>
      <w:r>
        <w:rPr>
          <w:spacing w:val="-3"/>
          <w:sz w:val="18"/>
        </w:rPr>
        <w:t xml:space="preserve"> </w:t>
      </w:r>
      <w:r>
        <w:rPr>
          <w:sz w:val="18"/>
        </w:rPr>
        <w:t>Forrest).</w:t>
      </w:r>
      <w:r>
        <w:rPr>
          <w:spacing w:val="-4"/>
          <w:sz w:val="18"/>
        </w:rPr>
        <w:t xml:space="preserve"> </w:t>
      </w:r>
      <w:r>
        <w:rPr>
          <w:sz w:val="18"/>
        </w:rPr>
        <w:t>The</w:t>
      </w:r>
      <w:r>
        <w:rPr>
          <w:spacing w:val="-5"/>
          <w:sz w:val="18"/>
        </w:rPr>
        <w:t xml:space="preserve"> </w:t>
      </w:r>
      <w:r>
        <w:rPr>
          <w:sz w:val="18"/>
        </w:rPr>
        <w:t>Anti-Discrimination</w:t>
      </w:r>
      <w:r>
        <w:rPr>
          <w:spacing w:val="-3"/>
          <w:sz w:val="18"/>
        </w:rPr>
        <w:t xml:space="preserve"> </w:t>
      </w:r>
      <w:r>
        <w:rPr>
          <w:sz w:val="18"/>
        </w:rPr>
        <w:t>Commissioner</w:t>
      </w:r>
      <w:r>
        <w:rPr>
          <w:spacing w:val="-4"/>
          <w:sz w:val="18"/>
        </w:rPr>
        <w:t xml:space="preserve"> </w:t>
      </w:r>
      <w:r>
        <w:rPr>
          <w:sz w:val="18"/>
        </w:rPr>
        <w:t>suggested</w:t>
      </w:r>
      <w:r>
        <w:rPr>
          <w:spacing w:val="-1"/>
          <w:sz w:val="18"/>
        </w:rPr>
        <w:t xml:space="preserve"> </w:t>
      </w:r>
      <w:r>
        <w:rPr>
          <w:sz w:val="18"/>
        </w:rPr>
        <w:t>that,</w:t>
      </w:r>
      <w:r>
        <w:rPr>
          <w:spacing w:val="-4"/>
          <w:sz w:val="18"/>
        </w:rPr>
        <w:t xml:space="preserve"> </w:t>
      </w:r>
      <w:r>
        <w:rPr>
          <w:sz w:val="18"/>
        </w:rPr>
        <w:t>instead</w:t>
      </w:r>
      <w:r>
        <w:rPr>
          <w:spacing w:val="-3"/>
          <w:sz w:val="18"/>
        </w:rPr>
        <w:t xml:space="preserve"> </w:t>
      </w:r>
      <w:r>
        <w:rPr>
          <w:sz w:val="18"/>
        </w:rPr>
        <w:t>of</w:t>
      </w:r>
      <w:r>
        <w:rPr>
          <w:spacing w:val="-4"/>
          <w:sz w:val="18"/>
        </w:rPr>
        <w:t xml:space="preserve"> </w:t>
      </w:r>
      <w:r>
        <w:rPr>
          <w:sz w:val="18"/>
        </w:rPr>
        <w:t>enacting</w:t>
      </w:r>
      <w:r>
        <w:rPr>
          <w:spacing w:val="-1"/>
          <w:sz w:val="18"/>
        </w:rPr>
        <w:t xml:space="preserve"> </w:t>
      </w:r>
      <w:r>
        <w:rPr>
          <w:sz w:val="18"/>
        </w:rPr>
        <w:t>an</w:t>
      </w:r>
      <w:r>
        <w:rPr>
          <w:spacing w:val="-6"/>
          <w:sz w:val="18"/>
        </w:rPr>
        <w:t xml:space="preserve"> </w:t>
      </w:r>
      <w:r>
        <w:rPr>
          <w:sz w:val="18"/>
        </w:rPr>
        <w:t>exception,</w:t>
      </w:r>
      <w:r>
        <w:rPr>
          <w:spacing w:val="-2"/>
          <w:sz w:val="18"/>
        </w:rPr>
        <w:t xml:space="preserve"> </w:t>
      </w:r>
      <w:r>
        <w:rPr>
          <w:sz w:val="18"/>
        </w:rPr>
        <w:t>an</w:t>
      </w:r>
      <w:r>
        <w:rPr>
          <w:spacing w:val="-3"/>
          <w:sz w:val="18"/>
        </w:rPr>
        <w:t xml:space="preserve"> </w:t>
      </w:r>
      <w:r>
        <w:rPr>
          <w:sz w:val="18"/>
        </w:rPr>
        <w:t>exemption be created, for which schools would have to apply.</w:t>
      </w:r>
    </w:p>
    <w:p w14:paraId="7CB25F9A" w14:textId="77777777" w:rsidR="008A4099" w:rsidRDefault="006A6EE2">
      <w:pPr>
        <w:spacing w:before="16" w:line="242" w:lineRule="auto"/>
        <w:ind w:left="160" w:right="674"/>
        <w:jc w:val="both"/>
        <w:rPr>
          <w:sz w:val="18"/>
        </w:rPr>
      </w:pPr>
      <w:r>
        <w:rPr>
          <w:sz w:val="18"/>
          <w:vertAlign w:val="superscript"/>
        </w:rPr>
        <w:t>259</w:t>
      </w:r>
      <w:r>
        <w:rPr>
          <w:spacing w:val="-3"/>
          <w:sz w:val="18"/>
        </w:rPr>
        <w:t xml:space="preserve"> </w:t>
      </w:r>
      <w:r>
        <w:rPr>
          <w:sz w:val="18"/>
        </w:rPr>
        <w:t>The</w:t>
      </w:r>
      <w:r>
        <w:rPr>
          <w:spacing w:val="-4"/>
          <w:sz w:val="18"/>
        </w:rPr>
        <w:t xml:space="preserve"> </w:t>
      </w:r>
      <w:r>
        <w:rPr>
          <w:sz w:val="18"/>
        </w:rPr>
        <w:t>Tasmanian</w:t>
      </w:r>
      <w:r>
        <w:rPr>
          <w:spacing w:val="-3"/>
          <w:sz w:val="18"/>
        </w:rPr>
        <w:t xml:space="preserve"> </w:t>
      </w:r>
      <w:r>
        <w:rPr>
          <w:sz w:val="18"/>
        </w:rPr>
        <w:t>Policy</w:t>
      </w:r>
      <w:r>
        <w:rPr>
          <w:spacing w:val="-2"/>
          <w:sz w:val="18"/>
        </w:rPr>
        <w:t xml:space="preserve"> </w:t>
      </w:r>
      <w:r>
        <w:rPr>
          <w:sz w:val="18"/>
        </w:rPr>
        <w:t>Exchange</w:t>
      </w:r>
      <w:r>
        <w:rPr>
          <w:spacing w:val="-4"/>
          <w:sz w:val="18"/>
        </w:rPr>
        <w:t xml:space="preserve"> </w:t>
      </w:r>
      <w:r>
        <w:rPr>
          <w:sz w:val="18"/>
        </w:rPr>
        <w:t>was</w:t>
      </w:r>
      <w:r>
        <w:rPr>
          <w:spacing w:val="-4"/>
          <w:sz w:val="18"/>
        </w:rPr>
        <w:t xml:space="preserve"> </w:t>
      </w:r>
      <w:r>
        <w:rPr>
          <w:sz w:val="18"/>
        </w:rPr>
        <w:t>established</w:t>
      </w:r>
      <w:r>
        <w:rPr>
          <w:spacing w:val="-2"/>
          <w:sz w:val="18"/>
        </w:rPr>
        <w:t xml:space="preserve"> </w:t>
      </w:r>
      <w:r>
        <w:rPr>
          <w:sz w:val="18"/>
        </w:rPr>
        <w:t>in</w:t>
      </w:r>
      <w:r>
        <w:rPr>
          <w:spacing w:val="-4"/>
          <w:sz w:val="18"/>
        </w:rPr>
        <w:t xml:space="preserve"> </w:t>
      </w:r>
      <w:r>
        <w:rPr>
          <w:sz w:val="18"/>
        </w:rPr>
        <w:t>2020</w:t>
      </w:r>
      <w:r>
        <w:rPr>
          <w:spacing w:val="-2"/>
          <w:sz w:val="18"/>
        </w:rPr>
        <w:t xml:space="preserve"> </w:t>
      </w:r>
      <w:r>
        <w:rPr>
          <w:sz w:val="18"/>
        </w:rPr>
        <w:t>as</w:t>
      </w:r>
      <w:r>
        <w:rPr>
          <w:spacing w:val="-4"/>
          <w:sz w:val="18"/>
        </w:rPr>
        <w:t xml:space="preserve"> </w:t>
      </w:r>
      <w:r>
        <w:rPr>
          <w:sz w:val="18"/>
        </w:rPr>
        <w:t>a ‘strategic</w:t>
      </w:r>
      <w:r>
        <w:rPr>
          <w:spacing w:val="-4"/>
          <w:sz w:val="18"/>
        </w:rPr>
        <w:t xml:space="preserve"> </w:t>
      </w:r>
      <w:r>
        <w:rPr>
          <w:sz w:val="18"/>
        </w:rPr>
        <w:t>initiative</w:t>
      </w:r>
      <w:r>
        <w:rPr>
          <w:spacing w:val="-4"/>
          <w:sz w:val="18"/>
        </w:rPr>
        <w:t xml:space="preserve"> </w:t>
      </w:r>
      <w:r>
        <w:rPr>
          <w:sz w:val="18"/>
        </w:rPr>
        <w:t>to</w:t>
      </w:r>
      <w:r>
        <w:rPr>
          <w:spacing w:val="-2"/>
          <w:sz w:val="18"/>
        </w:rPr>
        <w:t xml:space="preserve"> </w:t>
      </w:r>
      <w:r>
        <w:rPr>
          <w:sz w:val="18"/>
        </w:rPr>
        <w:t>enhance</w:t>
      </w:r>
      <w:r>
        <w:rPr>
          <w:spacing w:val="-4"/>
          <w:sz w:val="18"/>
        </w:rPr>
        <w:t xml:space="preserve"> </w:t>
      </w:r>
      <w:r>
        <w:rPr>
          <w:sz w:val="18"/>
        </w:rPr>
        <w:t>the</w:t>
      </w:r>
      <w:r>
        <w:rPr>
          <w:spacing w:val="-4"/>
          <w:sz w:val="18"/>
        </w:rPr>
        <w:t xml:space="preserve"> </w:t>
      </w:r>
      <w:r>
        <w:rPr>
          <w:sz w:val="18"/>
        </w:rPr>
        <w:t>University of</w:t>
      </w:r>
      <w:r>
        <w:rPr>
          <w:spacing w:val="-3"/>
          <w:sz w:val="18"/>
        </w:rPr>
        <w:t xml:space="preserve"> </w:t>
      </w:r>
      <w:r>
        <w:rPr>
          <w:sz w:val="18"/>
        </w:rPr>
        <w:t>Tasmania’s capacity to make timely and informed contributions to policy issues and debates which will shape Tasmania’s future’. For more information, see Tasmanian Policy Exchange &lt;https://</w:t>
      </w:r>
      <w:hyperlink r:id="rId116">
        <w:r>
          <w:rPr>
            <w:sz w:val="18"/>
          </w:rPr>
          <w:t>www.utas.edu.au/community-and-partners/tpe</w:t>
        </w:r>
      </w:hyperlink>
      <w:r>
        <w:rPr>
          <w:sz w:val="18"/>
        </w:rPr>
        <w:t>&gt;.</w:t>
      </w:r>
    </w:p>
    <w:p w14:paraId="7CB25F9B" w14:textId="77777777" w:rsidR="008A4099" w:rsidRDefault="006A6EE2">
      <w:pPr>
        <w:spacing w:before="19"/>
        <w:ind w:left="160"/>
        <w:jc w:val="both"/>
        <w:rPr>
          <w:i/>
          <w:sz w:val="18"/>
        </w:rPr>
      </w:pPr>
      <w:r>
        <w:rPr>
          <w:sz w:val="18"/>
          <w:vertAlign w:val="superscript"/>
        </w:rPr>
        <w:t>260</w:t>
      </w:r>
      <w:r>
        <w:rPr>
          <w:spacing w:val="-3"/>
          <w:sz w:val="18"/>
        </w:rPr>
        <w:t xml:space="preserve"> </w:t>
      </w:r>
      <w:r>
        <w:rPr>
          <w:sz w:val="18"/>
        </w:rPr>
        <w:t>See</w:t>
      </w:r>
      <w:r>
        <w:rPr>
          <w:spacing w:val="15"/>
          <w:sz w:val="18"/>
        </w:rPr>
        <w:t xml:space="preserve"> </w:t>
      </w:r>
      <w:r>
        <w:rPr>
          <w:sz w:val="18"/>
        </w:rPr>
        <w:t>Tasmanian</w:t>
      </w:r>
      <w:r>
        <w:rPr>
          <w:spacing w:val="14"/>
          <w:sz w:val="18"/>
        </w:rPr>
        <w:t xml:space="preserve"> </w:t>
      </w:r>
      <w:r>
        <w:rPr>
          <w:sz w:val="18"/>
        </w:rPr>
        <w:t>Policy</w:t>
      </w:r>
      <w:r>
        <w:rPr>
          <w:spacing w:val="14"/>
          <w:sz w:val="18"/>
        </w:rPr>
        <w:t xml:space="preserve"> </w:t>
      </w:r>
      <w:r>
        <w:rPr>
          <w:sz w:val="18"/>
        </w:rPr>
        <w:t>Exchange,</w:t>
      </w:r>
      <w:r>
        <w:rPr>
          <w:spacing w:val="20"/>
          <w:sz w:val="18"/>
        </w:rPr>
        <w:t xml:space="preserve"> </w:t>
      </w:r>
      <w:r>
        <w:rPr>
          <w:i/>
          <w:sz w:val="18"/>
        </w:rPr>
        <w:t>Independent</w:t>
      </w:r>
      <w:r>
        <w:rPr>
          <w:i/>
          <w:spacing w:val="14"/>
          <w:sz w:val="18"/>
        </w:rPr>
        <w:t xml:space="preserve"> </w:t>
      </w:r>
      <w:r>
        <w:rPr>
          <w:i/>
          <w:sz w:val="18"/>
        </w:rPr>
        <w:t>Review</w:t>
      </w:r>
      <w:r>
        <w:rPr>
          <w:i/>
          <w:spacing w:val="15"/>
          <w:sz w:val="18"/>
        </w:rPr>
        <w:t xml:space="preserve"> </w:t>
      </w:r>
      <w:r>
        <w:rPr>
          <w:i/>
          <w:sz w:val="18"/>
        </w:rPr>
        <w:t>of</w:t>
      </w:r>
      <w:r>
        <w:rPr>
          <w:i/>
          <w:spacing w:val="14"/>
          <w:sz w:val="18"/>
        </w:rPr>
        <w:t xml:space="preserve"> </w:t>
      </w:r>
      <w:r>
        <w:rPr>
          <w:i/>
          <w:sz w:val="18"/>
        </w:rPr>
        <w:t>the</w:t>
      </w:r>
      <w:r>
        <w:rPr>
          <w:i/>
          <w:spacing w:val="13"/>
          <w:sz w:val="18"/>
        </w:rPr>
        <w:t xml:space="preserve"> </w:t>
      </w:r>
      <w:r>
        <w:rPr>
          <w:i/>
          <w:sz w:val="18"/>
        </w:rPr>
        <w:t>End-of-Life</w:t>
      </w:r>
      <w:r>
        <w:rPr>
          <w:i/>
          <w:spacing w:val="13"/>
          <w:sz w:val="18"/>
        </w:rPr>
        <w:t xml:space="preserve"> </w:t>
      </w:r>
      <w:r>
        <w:rPr>
          <w:i/>
          <w:sz w:val="18"/>
        </w:rPr>
        <w:t>Choices</w:t>
      </w:r>
      <w:r>
        <w:rPr>
          <w:i/>
          <w:spacing w:val="16"/>
          <w:sz w:val="18"/>
        </w:rPr>
        <w:t xml:space="preserve"> </w:t>
      </w:r>
      <w:r>
        <w:rPr>
          <w:i/>
          <w:sz w:val="18"/>
        </w:rPr>
        <w:t>(Voluntary</w:t>
      </w:r>
      <w:r>
        <w:rPr>
          <w:i/>
          <w:spacing w:val="15"/>
          <w:sz w:val="18"/>
        </w:rPr>
        <w:t xml:space="preserve"> </w:t>
      </w:r>
      <w:r>
        <w:rPr>
          <w:i/>
          <w:sz w:val="18"/>
        </w:rPr>
        <w:t>Assisted</w:t>
      </w:r>
      <w:r>
        <w:rPr>
          <w:i/>
          <w:spacing w:val="17"/>
          <w:sz w:val="18"/>
        </w:rPr>
        <w:t xml:space="preserve"> </w:t>
      </w:r>
      <w:r>
        <w:rPr>
          <w:i/>
          <w:sz w:val="18"/>
        </w:rPr>
        <w:t>Dying)</w:t>
      </w:r>
      <w:r>
        <w:rPr>
          <w:i/>
          <w:spacing w:val="16"/>
          <w:sz w:val="18"/>
        </w:rPr>
        <w:t xml:space="preserve"> </w:t>
      </w:r>
      <w:r>
        <w:rPr>
          <w:i/>
          <w:sz w:val="18"/>
        </w:rPr>
        <w:t>Bill</w:t>
      </w:r>
      <w:r>
        <w:rPr>
          <w:i/>
          <w:spacing w:val="14"/>
          <w:sz w:val="18"/>
        </w:rPr>
        <w:t xml:space="preserve"> </w:t>
      </w:r>
      <w:r>
        <w:rPr>
          <w:i/>
          <w:spacing w:val="-4"/>
          <w:sz w:val="18"/>
        </w:rPr>
        <w:t>2020</w:t>
      </w:r>
    </w:p>
    <w:p w14:paraId="7CB25F9C" w14:textId="77777777" w:rsidR="008A4099" w:rsidRDefault="006A6EE2">
      <w:pPr>
        <w:spacing w:before="4"/>
        <w:ind w:left="160"/>
        <w:jc w:val="both"/>
        <w:rPr>
          <w:sz w:val="18"/>
        </w:rPr>
      </w:pPr>
      <w:r>
        <w:rPr>
          <w:sz w:val="18"/>
        </w:rPr>
        <w:t>(2021)</w:t>
      </w:r>
      <w:r>
        <w:rPr>
          <w:spacing w:val="-4"/>
          <w:sz w:val="18"/>
        </w:rPr>
        <w:t xml:space="preserve"> </w:t>
      </w:r>
      <w:r>
        <w:rPr>
          <w:sz w:val="18"/>
        </w:rPr>
        <w:t>&lt;https:/</w:t>
      </w:r>
      <w:hyperlink r:id="rId117">
        <w:r>
          <w:rPr>
            <w:sz w:val="18"/>
          </w:rPr>
          <w:t>/www.utas.edu.au/</w:t>
        </w:r>
      </w:hyperlink>
      <w:r>
        <w:rPr>
          <w:spacing w:val="38"/>
          <w:sz w:val="18"/>
          <w:u w:val="single"/>
        </w:rPr>
        <w:t xml:space="preserve">  </w:t>
      </w:r>
      <w:r>
        <w:rPr>
          <w:sz w:val="18"/>
        </w:rPr>
        <w:t>data/assets/pdf_file/0009/1475568/Independent-review-voluntary-assisted-</w:t>
      </w:r>
      <w:r>
        <w:rPr>
          <w:spacing w:val="-2"/>
          <w:sz w:val="18"/>
        </w:rPr>
        <w:t>dying.pdf&gt;.</w:t>
      </w:r>
    </w:p>
    <w:p w14:paraId="7CB25F9D"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5F9E" w14:textId="77777777" w:rsidR="008A4099" w:rsidRDefault="008A4099">
      <w:pPr>
        <w:pStyle w:val="BodyText"/>
        <w:spacing w:before="194"/>
      </w:pPr>
    </w:p>
    <w:p w14:paraId="7CB25F9F" w14:textId="77777777" w:rsidR="008A4099" w:rsidRDefault="006A6EE2">
      <w:pPr>
        <w:pStyle w:val="BodyText"/>
        <w:ind w:left="160" w:right="676"/>
        <w:jc w:val="both"/>
        <w:rPr>
          <w:sz w:val="13"/>
        </w:rPr>
      </w:pPr>
      <w:r>
        <w:t>advice in the scrutiny of legislation. For example, in 2021-2022, the Queensland Human Rights Commission</w:t>
      </w:r>
      <w:r>
        <w:rPr>
          <w:spacing w:val="-7"/>
        </w:rPr>
        <w:t xml:space="preserve"> </w:t>
      </w:r>
      <w:r>
        <w:t>(‘QHRC’)</w:t>
      </w:r>
      <w:r>
        <w:rPr>
          <w:spacing w:val="-4"/>
        </w:rPr>
        <w:t xml:space="preserve"> </w:t>
      </w:r>
      <w:r>
        <w:t>provided</w:t>
      </w:r>
      <w:r>
        <w:rPr>
          <w:spacing w:val="-7"/>
        </w:rPr>
        <w:t xml:space="preserve"> </w:t>
      </w:r>
      <w:r>
        <w:t>31</w:t>
      </w:r>
      <w:r>
        <w:rPr>
          <w:spacing w:val="-5"/>
        </w:rPr>
        <w:t xml:space="preserve"> </w:t>
      </w:r>
      <w:r>
        <w:t>submissions</w:t>
      </w:r>
      <w:r>
        <w:rPr>
          <w:spacing w:val="-4"/>
        </w:rPr>
        <w:t xml:space="preserve"> </w:t>
      </w:r>
      <w:r>
        <w:t>to</w:t>
      </w:r>
      <w:r>
        <w:rPr>
          <w:spacing w:val="-7"/>
        </w:rPr>
        <w:t xml:space="preserve"> </w:t>
      </w:r>
      <w:r>
        <w:t>Parliamentary</w:t>
      </w:r>
      <w:r>
        <w:rPr>
          <w:spacing w:val="-7"/>
        </w:rPr>
        <w:t xml:space="preserve"> </w:t>
      </w:r>
      <w:r>
        <w:t>Committees</w:t>
      </w:r>
      <w:r>
        <w:rPr>
          <w:spacing w:val="-4"/>
        </w:rPr>
        <w:t xml:space="preserve"> </w:t>
      </w:r>
      <w:r>
        <w:t>and</w:t>
      </w:r>
      <w:r>
        <w:rPr>
          <w:spacing w:val="-5"/>
        </w:rPr>
        <w:t xml:space="preserve"> </w:t>
      </w:r>
      <w:r>
        <w:t>other</w:t>
      </w:r>
      <w:r>
        <w:rPr>
          <w:spacing w:val="-4"/>
        </w:rPr>
        <w:t xml:space="preserve"> </w:t>
      </w:r>
      <w:r>
        <w:t>bodies</w:t>
      </w:r>
      <w:r>
        <w:rPr>
          <w:spacing w:val="-4"/>
        </w:rPr>
        <w:t xml:space="preserve"> </w:t>
      </w:r>
      <w:r>
        <w:t>on</w:t>
      </w:r>
      <w:r>
        <w:rPr>
          <w:spacing w:val="-7"/>
        </w:rPr>
        <w:t xml:space="preserve"> </w:t>
      </w:r>
      <w:r>
        <w:t>the development</w:t>
      </w:r>
      <w:r>
        <w:rPr>
          <w:spacing w:val="-14"/>
        </w:rPr>
        <w:t xml:space="preserve"> </w:t>
      </w:r>
      <w:r>
        <w:t>of</w:t>
      </w:r>
      <w:r>
        <w:rPr>
          <w:spacing w:val="-14"/>
        </w:rPr>
        <w:t xml:space="preserve"> </w:t>
      </w:r>
      <w:r>
        <w:t>government</w:t>
      </w:r>
      <w:r>
        <w:rPr>
          <w:spacing w:val="-14"/>
        </w:rPr>
        <w:t xml:space="preserve"> </w:t>
      </w:r>
      <w:r>
        <w:t>policies</w:t>
      </w:r>
      <w:r>
        <w:rPr>
          <w:spacing w:val="-13"/>
        </w:rPr>
        <w:t xml:space="preserve"> </w:t>
      </w:r>
      <w:r>
        <w:t>and</w:t>
      </w:r>
      <w:r>
        <w:rPr>
          <w:spacing w:val="-14"/>
        </w:rPr>
        <w:t xml:space="preserve"> </w:t>
      </w:r>
      <w:r>
        <w:t>legislation.</w:t>
      </w:r>
      <w:r>
        <w:rPr>
          <w:position w:val="7"/>
          <w:sz w:val="13"/>
        </w:rPr>
        <w:t>261</w:t>
      </w:r>
      <w:r>
        <w:rPr>
          <w:spacing w:val="2"/>
          <w:position w:val="7"/>
          <w:sz w:val="13"/>
        </w:rPr>
        <w:t xml:space="preserve"> </w:t>
      </w:r>
      <w:r>
        <w:t>The</w:t>
      </w:r>
      <w:r>
        <w:rPr>
          <w:spacing w:val="-14"/>
        </w:rPr>
        <w:t xml:space="preserve"> </w:t>
      </w:r>
      <w:r>
        <w:t>VEOHRC</w:t>
      </w:r>
      <w:r>
        <w:rPr>
          <w:spacing w:val="-14"/>
        </w:rPr>
        <w:t xml:space="preserve"> </w:t>
      </w:r>
      <w:r>
        <w:t>prepared</w:t>
      </w:r>
      <w:r>
        <w:rPr>
          <w:spacing w:val="-14"/>
        </w:rPr>
        <w:t xml:space="preserve"> </w:t>
      </w:r>
      <w:r>
        <w:t>four</w:t>
      </w:r>
      <w:r>
        <w:rPr>
          <w:spacing w:val="-13"/>
        </w:rPr>
        <w:t xml:space="preserve"> </w:t>
      </w:r>
      <w:r>
        <w:t>policy</w:t>
      </w:r>
      <w:r>
        <w:rPr>
          <w:spacing w:val="-14"/>
        </w:rPr>
        <w:t xml:space="preserve"> </w:t>
      </w:r>
      <w:r>
        <w:t>submissions and witness statements</w:t>
      </w:r>
      <w:r>
        <w:rPr>
          <w:position w:val="7"/>
          <w:sz w:val="13"/>
        </w:rPr>
        <w:t>262</w:t>
      </w:r>
      <w:r>
        <w:rPr>
          <w:spacing w:val="40"/>
          <w:position w:val="7"/>
          <w:sz w:val="13"/>
        </w:rPr>
        <w:t xml:space="preserve"> </w:t>
      </w:r>
      <w:r>
        <w:t>and contributed to the review of proposed Covid laws, resulting in some problematic provisions being removed from the Bill.</w:t>
      </w:r>
      <w:r>
        <w:rPr>
          <w:position w:val="7"/>
          <w:sz w:val="13"/>
        </w:rPr>
        <w:t>263</w:t>
      </w:r>
    </w:p>
    <w:p w14:paraId="7CB25FA0" w14:textId="77777777" w:rsidR="008A4099" w:rsidRDefault="006A6EE2">
      <w:pPr>
        <w:pStyle w:val="ListParagraph"/>
        <w:numPr>
          <w:ilvl w:val="2"/>
          <w:numId w:val="6"/>
        </w:numPr>
        <w:tabs>
          <w:tab w:val="left" w:pos="879"/>
        </w:tabs>
        <w:spacing w:before="222"/>
        <w:ind w:right="674" w:firstLine="0"/>
        <w:jc w:val="both"/>
      </w:pPr>
      <w:r>
        <w:t>In</w:t>
      </w:r>
      <w:r>
        <w:rPr>
          <w:spacing w:val="-8"/>
        </w:rPr>
        <w:t xml:space="preserve"> </w:t>
      </w:r>
      <w:r>
        <w:t>2020-2021,</w:t>
      </w:r>
      <w:r>
        <w:rPr>
          <w:spacing w:val="-8"/>
        </w:rPr>
        <w:t xml:space="preserve"> </w:t>
      </w:r>
      <w:r>
        <w:t>the</w:t>
      </w:r>
      <w:r>
        <w:rPr>
          <w:spacing w:val="-8"/>
        </w:rPr>
        <w:t xml:space="preserve"> </w:t>
      </w:r>
      <w:r>
        <w:t>ACT</w:t>
      </w:r>
      <w:r>
        <w:rPr>
          <w:spacing w:val="-9"/>
        </w:rPr>
        <w:t xml:space="preserve"> </w:t>
      </w:r>
      <w:r>
        <w:t>Human</w:t>
      </w:r>
      <w:r>
        <w:rPr>
          <w:spacing w:val="-8"/>
        </w:rPr>
        <w:t xml:space="preserve"> </w:t>
      </w:r>
      <w:r>
        <w:t>Rights</w:t>
      </w:r>
      <w:r>
        <w:rPr>
          <w:spacing w:val="-7"/>
        </w:rPr>
        <w:t xml:space="preserve"> </w:t>
      </w:r>
      <w:r>
        <w:t>Commission</w:t>
      </w:r>
      <w:r>
        <w:rPr>
          <w:spacing w:val="-11"/>
        </w:rPr>
        <w:t xml:space="preserve"> </w:t>
      </w:r>
      <w:r>
        <w:t>provided</w:t>
      </w:r>
      <w:r>
        <w:rPr>
          <w:spacing w:val="-10"/>
        </w:rPr>
        <w:t xml:space="preserve"> </w:t>
      </w:r>
      <w:r>
        <w:t>63</w:t>
      </w:r>
      <w:r>
        <w:rPr>
          <w:spacing w:val="-8"/>
        </w:rPr>
        <w:t xml:space="preserve"> </w:t>
      </w:r>
      <w:r>
        <w:t>pieces</w:t>
      </w:r>
      <w:r>
        <w:rPr>
          <w:spacing w:val="-7"/>
        </w:rPr>
        <w:t xml:space="preserve"> </w:t>
      </w:r>
      <w:r>
        <w:t>of</w:t>
      </w:r>
      <w:r>
        <w:rPr>
          <w:spacing w:val="-7"/>
        </w:rPr>
        <w:t xml:space="preserve"> </w:t>
      </w:r>
      <w:r>
        <w:t>written</w:t>
      </w:r>
      <w:r>
        <w:rPr>
          <w:spacing w:val="-10"/>
        </w:rPr>
        <w:t xml:space="preserve"> </w:t>
      </w:r>
      <w:r>
        <w:t>legal advice, comments, and submissions in relation to Territory laws and policies.</w:t>
      </w:r>
      <w:r>
        <w:rPr>
          <w:position w:val="7"/>
          <w:sz w:val="13"/>
        </w:rPr>
        <w:t>264</w:t>
      </w:r>
      <w:r>
        <w:rPr>
          <w:spacing w:val="39"/>
          <w:position w:val="7"/>
          <w:sz w:val="13"/>
        </w:rPr>
        <w:t xml:space="preserve"> </w:t>
      </w:r>
      <w:r>
        <w:t>As part of its arrangements with the government, the Commission also provided formal comments on 16 draft Cabinet submissions.</w:t>
      </w:r>
      <w:r>
        <w:rPr>
          <w:position w:val="7"/>
          <w:sz w:val="13"/>
        </w:rPr>
        <w:t>265</w:t>
      </w:r>
      <w:r>
        <w:rPr>
          <w:spacing w:val="31"/>
          <w:position w:val="7"/>
          <w:sz w:val="13"/>
        </w:rPr>
        <w:t xml:space="preserve"> </w:t>
      </w:r>
      <w:r>
        <w:t>This early input provides opportunities to strengthen proposed laws, even before they are considered by Parliament. The Report noted:</w:t>
      </w:r>
    </w:p>
    <w:p w14:paraId="7CB25FA1" w14:textId="77777777" w:rsidR="008A4099" w:rsidRDefault="006A6EE2">
      <w:pPr>
        <w:pStyle w:val="BodyText"/>
        <w:spacing w:before="235" w:line="276" w:lineRule="auto"/>
        <w:ind w:left="868" w:right="1340"/>
        <w:jc w:val="both"/>
        <w:rPr>
          <w:sz w:val="13"/>
        </w:rPr>
      </w:pPr>
      <w:r>
        <w:t>As Cabinet deliberations are classified Cabinet-In-Confidence, the issues raised by Commission</w:t>
      </w:r>
      <w:r>
        <w:rPr>
          <w:spacing w:val="-14"/>
        </w:rPr>
        <w:t xml:space="preserve"> </w:t>
      </w:r>
      <w:r>
        <w:t>comments</w:t>
      </w:r>
      <w:r>
        <w:rPr>
          <w:spacing w:val="-14"/>
        </w:rPr>
        <w:t xml:space="preserve"> </w:t>
      </w:r>
      <w:r>
        <w:t>and</w:t>
      </w:r>
      <w:r>
        <w:rPr>
          <w:spacing w:val="-14"/>
        </w:rPr>
        <w:t xml:space="preserve"> </w:t>
      </w:r>
      <w:r>
        <w:t>corresponding</w:t>
      </w:r>
      <w:r>
        <w:rPr>
          <w:spacing w:val="-13"/>
        </w:rPr>
        <w:t xml:space="preserve"> </w:t>
      </w:r>
      <w:r>
        <w:t>outcomes</w:t>
      </w:r>
      <w:r>
        <w:rPr>
          <w:spacing w:val="-14"/>
        </w:rPr>
        <w:t xml:space="preserve"> </w:t>
      </w:r>
      <w:r>
        <w:t>cannot</w:t>
      </w:r>
      <w:r>
        <w:rPr>
          <w:spacing w:val="-12"/>
        </w:rPr>
        <w:t xml:space="preserve"> </w:t>
      </w:r>
      <w:r>
        <w:t>be</w:t>
      </w:r>
      <w:r>
        <w:rPr>
          <w:spacing w:val="-13"/>
        </w:rPr>
        <w:t xml:space="preserve"> </w:t>
      </w:r>
      <w:r>
        <w:t>divulged.</w:t>
      </w:r>
      <w:r>
        <w:rPr>
          <w:spacing w:val="-13"/>
        </w:rPr>
        <w:t xml:space="preserve"> </w:t>
      </w:r>
      <w:r>
        <w:t>Generally,</w:t>
      </w:r>
      <w:r>
        <w:rPr>
          <w:spacing w:val="-13"/>
        </w:rPr>
        <w:t xml:space="preserve"> </w:t>
      </w:r>
      <w:r>
        <w:t>the Commission was satisfied that draft legislation presented during the reporting period achieved</w:t>
      </w:r>
      <w:r>
        <w:rPr>
          <w:spacing w:val="-1"/>
        </w:rPr>
        <w:t xml:space="preserve"> </w:t>
      </w:r>
      <w:r>
        <w:t>compatibility with human rights, whether initially or after suggested changes or further justification.</w:t>
      </w:r>
      <w:r>
        <w:rPr>
          <w:position w:val="7"/>
          <w:sz w:val="13"/>
        </w:rPr>
        <w:t>266</w:t>
      </w:r>
    </w:p>
    <w:p w14:paraId="7CB25FA2" w14:textId="77777777" w:rsidR="008A4099" w:rsidRDefault="006A6EE2">
      <w:pPr>
        <w:pStyle w:val="ListParagraph"/>
        <w:numPr>
          <w:ilvl w:val="2"/>
          <w:numId w:val="6"/>
        </w:numPr>
        <w:tabs>
          <w:tab w:val="left" w:pos="879"/>
        </w:tabs>
        <w:spacing w:before="241"/>
        <w:ind w:right="675" w:firstLine="0"/>
        <w:jc w:val="both"/>
        <w:rPr>
          <w:sz w:val="13"/>
        </w:rPr>
      </w:pPr>
      <w:r>
        <w:t>The opportunity to intervene in court proceedings involving interpretation of human rights instruments also assists in the development of jurisprudence and human rights understanding in decision-making</w:t>
      </w:r>
      <w:r>
        <w:rPr>
          <w:spacing w:val="-2"/>
        </w:rPr>
        <w:t xml:space="preserve"> </w:t>
      </w:r>
      <w:r>
        <w:t>agencies.</w:t>
      </w:r>
      <w:r>
        <w:rPr>
          <w:spacing w:val="-5"/>
        </w:rPr>
        <w:t xml:space="preserve"> </w:t>
      </w:r>
      <w:r>
        <w:t>In</w:t>
      </w:r>
      <w:r>
        <w:rPr>
          <w:spacing w:val="-2"/>
        </w:rPr>
        <w:t xml:space="preserve"> </w:t>
      </w:r>
      <w:r>
        <w:t>2020-2021,</w:t>
      </w:r>
      <w:r>
        <w:rPr>
          <w:spacing w:val="-2"/>
        </w:rPr>
        <w:t xml:space="preserve"> </w:t>
      </w:r>
      <w:r>
        <w:t>the</w:t>
      </w:r>
      <w:r>
        <w:rPr>
          <w:spacing w:val="-2"/>
        </w:rPr>
        <w:t xml:space="preserve"> </w:t>
      </w:r>
      <w:r>
        <w:t>QHRC</w:t>
      </w:r>
      <w:r>
        <w:rPr>
          <w:spacing w:val="-3"/>
        </w:rPr>
        <w:t xml:space="preserve"> </w:t>
      </w:r>
      <w:r>
        <w:t>received</w:t>
      </w:r>
      <w:r>
        <w:rPr>
          <w:spacing w:val="-2"/>
        </w:rPr>
        <w:t xml:space="preserve"> </w:t>
      </w:r>
      <w:r>
        <w:t>26</w:t>
      </w:r>
      <w:r>
        <w:rPr>
          <w:spacing w:val="-4"/>
        </w:rPr>
        <w:t xml:space="preserve"> </w:t>
      </w:r>
      <w:r>
        <w:t>notifications</w:t>
      </w:r>
      <w:r>
        <w:rPr>
          <w:spacing w:val="-2"/>
        </w:rPr>
        <w:t xml:space="preserve"> </w:t>
      </w:r>
      <w:r>
        <w:t>or</w:t>
      </w:r>
      <w:r>
        <w:rPr>
          <w:spacing w:val="-4"/>
        </w:rPr>
        <w:t xml:space="preserve"> </w:t>
      </w:r>
      <w:r>
        <w:t>requests</w:t>
      </w:r>
      <w:r>
        <w:rPr>
          <w:spacing w:val="-2"/>
        </w:rPr>
        <w:t xml:space="preserve"> </w:t>
      </w:r>
      <w:r>
        <w:t>to</w:t>
      </w:r>
      <w:r>
        <w:rPr>
          <w:spacing w:val="-5"/>
        </w:rPr>
        <w:t xml:space="preserve"> </w:t>
      </w:r>
      <w:r>
        <w:t>intervene, and intervened in three matters before the Queensland Supreme Court</w:t>
      </w:r>
      <w:r>
        <w:rPr>
          <w:position w:val="7"/>
          <w:sz w:val="13"/>
        </w:rPr>
        <w:t>267</w:t>
      </w:r>
      <w:r>
        <w:rPr>
          <w:spacing w:val="39"/>
          <w:position w:val="7"/>
          <w:sz w:val="13"/>
        </w:rPr>
        <w:t xml:space="preserve"> </w:t>
      </w:r>
      <w:r>
        <w:t>and two matters before the Queensland</w:t>
      </w:r>
      <w:r>
        <w:rPr>
          <w:spacing w:val="-10"/>
        </w:rPr>
        <w:t xml:space="preserve"> </w:t>
      </w:r>
      <w:r>
        <w:t>Mental</w:t>
      </w:r>
      <w:r>
        <w:rPr>
          <w:spacing w:val="-7"/>
        </w:rPr>
        <w:t xml:space="preserve"> </w:t>
      </w:r>
      <w:r>
        <w:t>Health</w:t>
      </w:r>
      <w:r>
        <w:rPr>
          <w:spacing w:val="-11"/>
        </w:rPr>
        <w:t xml:space="preserve"> </w:t>
      </w:r>
      <w:r>
        <w:t>Court.</w:t>
      </w:r>
      <w:r>
        <w:rPr>
          <w:position w:val="7"/>
          <w:sz w:val="13"/>
        </w:rPr>
        <w:t>268</w:t>
      </w:r>
      <w:r>
        <w:rPr>
          <w:spacing w:val="14"/>
          <w:position w:val="7"/>
          <w:sz w:val="13"/>
        </w:rPr>
        <w:t xml:space="preserve"> </w:t>
      </w:r>
      <w:r>
        <w:t>In</w:t>
      </w:r>
      <w:r>
        <w:rPr>
          <w:spacing w:val="-8"/>
        </w:rPr>
        <w:t xml:space="preserve"> </w:t>
      </w:r>
      <w:r>
        <w:t>2020-2021,</w:t>
      </w:r>
      <w:r>
        <w:rPr>
          <w:spacing w:val="-11"/>
        </w:rPr>
        <w:t xml:space="preserve"> </w:t>
      </w:r>
      <w:r>
        <w:t>the</w:t>
      </w:r>
      <w:r>
        <w:rPr>
          <w:spacing w:val="-8"/>
        </w:rPr>
        <w:t xml:space="preserve"> </w:t>
      </w:r>
      <w:r>
        <w:t>ACT</w:t>
      </w:r>
      <w:r>
        <w:rPr>
          <w:spacing w:val="-9"/>
        </w:rPr>
        <w:t xml:space="preserve"> </w:t>
      </w:r>
      <w:r>
        <w:t>Human</w:t>
      </w:r>
      <w:r>
        <w:rPr>
          <w:spacing w:val="-10"/>
        </w:rPr>
        <w:t xml:space="preserve"> </w:t>
      </w:r>
      <w:r>
        <w:t>Rights</w:t>
      </w:r>
      <w:r>
        <w:rPr>
          <w:spacing w:val="-10"/>
        </w:rPr>
        <w:t xml:space="preserve"> </w:t>
      </w:r>
      <w:r>
        <w:t>Commissioner</w:t>
      </w:r>
      <w:r>
        <w:rPr>
          <w:spacing w:val="-7"/>
        </w:rPr>
        <w:t xml:space="preserve"> </w:t>
      </w:r>
      <w:r>
        <w:t>was</w:t>
      </w:r>
      <w:r>
        <w:rPr>
          <w:spacing w:val="-7"/>
        </w:rPr>
        <w:t xml:space="preserve"> </w:t>
      </w:r>
      <w:r>
        <w:t>notified of four cases involving human rights</w:t>
      </w:r>
      <w:r>
        <w:rPr>
          <w:position w:val="7"/>
          <w:sz w:val="13"/>
        </w:rPr>
        <w:t>269</w:t>
      </w:r>
      <w:r>
        <w:rPr>
          <w:spacing w:val="40"/>
          <w:position w:val="7"/>
          <w:sz w:val="13"/>
        </w:rPr>
        <w:t xml:space="preserve"> </w:t>
      </w:r>
      <w:r>
        <w:t xml:space="preserve">and applied for, and was granted, leave to intervene in two </w:t>
      </w:r>
      <w:r>
        <w:rPr>
          <w:spacing w:val="-2"/>
        </w:rPr>
        <w:t>cases.</w:t>
      </w:r>
      <w:r>
        <w:rPr>
          <w:spacing w:val="-2"/>
          <w:position w:val="7"/>
          <w:sz w:val="13"/>
        </w:rPr>
        <w:t>270</w:t>
      </w:r>
    </w:p>
    <w:p w14:paraId="7CB25FA3" w14:textId="77777777" w:rsidR="008A4099" w:rsidRDefault="006A6EE2">
      <w:pPr>
        <w:pStyle w:val="ListParagraph"/>
        <w:numPr>
          <w:ilvl w:val="2"/>
          <w:numId w:val="6"/>
        </w:numPr>
        <w:tabs>
          <w:tab w:val="left" w:pos="879"/>
        </w:tabs>
        <w:spacing w:before="217" w:line="237" w:lineRule="auto"/>
        <w:ind w:right="676" w:firstLine="0"/>
        <w:jc w:val="both"/>
      </w:pPr>
      <w:r>
        <w:t xml:space="preserve">Similarly, under the Victorian Charter and </w:t>
      </w:r>
      <w:r>
        <w:rPr>
          <w:i/>
        </w:rPr>
        <w:t xml:space="preserve">Equal Opportunity Act 2010 </w:t>
      </w:r>
      <w:r>
        <w:t>(Vic), the VEOHRC has power to intervene in cases involving human rights. It does not intervene in all such cases and has published intervention guidelines.</w:t>
      </w:r>
      <w:r>
        <w:rPr>
          <w:position w:val="7"/>
          <w:sz w:val="13"/>
        </w:rPr>
        <w:t>271</w:t>
      </w:r>
      <w:r>
        <w:rPr>
          <w:spacing w:val="26"/>
          <w:position w:val="7"/>
          <w:sz w:val="13"/>
        </w:rPr>
        <w:t xml:space="preserve"> </w:t>
      </w:r>
      <w:r>
        <w:t>In its 2020-2021 Annual Report, the Commission reported that it had prepared two legal interventions and ‘investigation up-dates’.</w:t>
      </w:r>
      <w:r>
        <w:rPr>
          <w:position w:val="7"/>
          <w:sz w:val="13"/>
        </w:rPr>
        <w:t>272</w:t>
      </w:r>
      <w:r>
        <w:rPr>
          <w:spacing w:val="31"/>
          <w:position w:val="7"/>
          <w:sz w:val="13"/>
        </w:rPr>
        <w:t xml:space="preserve"> </w:t>
      </w:r>
      <w:r>
        <w:t>In its 2019-2020 Annual Report, the</w:t>
      </w:r>
      <w:r>
        <w:rPr>
          <w:spacing w:val="-3"/>
        </w:rPr>
        <w:t xml:space="preserve"> </w:t>
      </w:r>
      <w:r>
        <w:t>VEOHRC</w:t>
      </w:r>
      <w:r>
        <w:rPr>
          <w:spacing w:val="-5"/>
        </w:rPr>
        <w:t xml:space="preserve"> </w:t>
      </w:r>
      <w:r>
        <w:t>reported</w:t>
      </w:r>
      <w:r>
        <w:rPr>
          <w:spacing w:val="-6"/>
        </w:rPr>
        <w:t xml:space="preserve"> </w:t>
      </w:r>
      <w:r>
        <w:t>intervening</w:t>
      </w:r>
      <w:r>
        <w:rPr>
          <w:spacing w:val="-6"/>
        </w:rPr>
        <w:t xml:space="preserve"> </w:t>
      </w:r>
      <w:r>
        <w:t>in</w:t>
      </w:r>
      <w:r>
        <w:rPr>
          <w:spacing w:val="-6"/>
        </w:rPr>
        <w:t xml:space="preserve"> </w:t>
      </w:r>
      <w:r>
        <w:t>one</w:t>
      </w:r>
      <w:r>
        <w:rPr>
          <w:spacing w:val="-6"/>
        </w:rPr>
        <w:t xml:space="preserve"> </w:t>
      </w:r>
      <w:r>
        <w:t>case,</w:t>
      </w:r>
      <w:r>
        <w:rPr>
          <w:spacing w:val="-6"/>
        </w:rPr>
        <w:t xml:space="preserve"> </w:t>
      </w:r>
      <w:r>
        <w:t>the</w:t>
      </w:r>
      <w:r>
        <w:rPr>
          <w:spacing w:val="-6"/>
        </w:rPr>
        <w:t xml:space="preserve"> </w:t>
      </w:r>
      <w:r>
        <w:t>Coronial</w:t>
      </w:r>
      <w:r>
        <w:rPr>
          <w:spacing w:val="-3"/>
        </w:rPr>
        <w:t xml:space="preserve"> </w:t>
      </w:r>
      <w:r>
        <w:t>Inquest</w:t>
      </w:r>
      <w:r>
        <w:rPr>
          <w:spacing w:val="-5"/>
        </w:rPr>
        <w:t xml:space="preserve"> </w:t>
      </w:r>
      <w:r>
        <w:t>into</w:t>
      </w:r>
      <w:r>
        <w:rPr>
          <w:spacing w:val="-6"/>
        </w:rPr>
        <w:t xml:space="preserve"> </w:t>
      </w:r>
      <w:r>
        <w:t>the</w:t>
      </w:r>
      <w:r>
        <w:rPr>
          <w:spacing w:val="-6"/>
        </w:rPr>
        <w:t xml:space="preserve"> </w:t>
      </w:r>
      <w:r>
        <w:t>death,</w:t>
      </w:r>
      <w:r>
        <w:rPr>
          <w:spacing w:val="-6"/>
        </w:rPr>
        <w:t xml:space="preserve"> </w:t>
      </w:r>
      <w:r>
        <w:t>after</w:t>
      </w:r>
      <w:r>
        <w:rPr>
          <w:spacing w:val="-5"/>
        </w:rPr>
        <w:t xml:space="preserve"> </w:t>
      </w:r>
      <w:r>
        <w:t>spending</w:t>
      </w:r>
      <w:r>
        <w:rPr>
          <w:spacing w:val="-6"/>
        </w:rPr>
        <w:t xml:space="preserve"> </w:t>
      </w:r>
      <w:r>
        <w:t>time</w:t>
      </w:r>
    </w:p>
    <w:p w14:paraId="7CB25FA4" w14:textId="77777777" w:rsidR="008A4099" w:rsidRDefault="006A6EE2">
      <w:pPr>
        <w:pStyle w:val="BodyText"/>
        <w:spacing w:before="10"/>
        <w:rPr>
          <w:sz w:val="17"/>
        </w:rPr>
      </w:pPr>
      <w:r>
        <w:rPr>
          <w:noProof/>
        </w:rPr>
        <mc:AlternateContent>
          <mc:Choice Requires="wps">
            <w:drawing>
              <wp:anchor distT="0" distB="0" distL="0" distR="0" simplePos="0" relativeHeight="487608832" behindDoc="1" locked="0" layoutInCell="1" allowOverlap="1" wp14:anchorId="7CB2662B" wp14:editId="7CB2662C">
                <wp:simplePos x="0" y="0"/>
                <wp:positionH relativeFrom="page">
                  <wp:posOffset>914704</wp:posOffset>
                </wp:positionH>
                <wp:positionV relativeFrom="paragraph">
                  <wp:posOffset>145765</wp:posOffset>
                </wp:positionV>
                <wp:extent cx="1829435" cy="762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F24791" id="Graphic 83" o:spid="_x0000_s1026" style="position:absolute;margin-left:1in;margin-top:11.5pt;width:144.05pt;height:.6pt;z-index:-157076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" path="m1829054,l,,,7620r1829054,l1829054,xe" fillcolor="black" stroked="f">
                <v:path arrowok="t"/>
                <w10:wrap type="topAndBottom" anchorx="page"/>
              </v:shape>
            </w:pict>
          </mc:Fallback>
        </mc:AlternateContent>
      </w:r>
    </w:p>
    <w:p w14:paraId="7CB25FA5" w14:textId="77777777" w:rsidR="008A4099" w:rsidRDefault="006A6EE2">
      <w:pPr>
        <w:spacing w:before="112"/>
        <w:ind w:left="160"/>
        <w:rPr>
          <w:sz w:val="18"/>
        </w:rPr>
      </w:pPr>
      <w:r>
        <w:rPr>
          <w:sz w:val="18"/>
          <w:vertAlign w:val="superscript"/>
        </w:rPr>
        <w:t>261</w:t>
      </w:r>
      <w:r>
        <w:rPr>
          <w:spacing w:val="-1"/>
          <w:sz w:val="18"/>
        </w:rPr>
        <w:t xml:space="preserve"> </w:t>
      </w:r>
      <w:r>
        <w:rPr>
          <w:sz w:val="18"/>
        </w:rPr>
        <w:t>Queensland</w:t>
      </w:r>
      <w:r>
        <w:rPr>
          <w:spacing w:val="2"/>
          <w:sz w:val="18"/>
        </w:rPr>
        <w:t xml:space="preserve"> </w:t>
      </w:r>
      <w:r>
        <w:rPr>
          <w:sz w:val="18"/>
        </w:rPr>
        <w:t>Human Rights Commission,</w:t>
      </w:r>
      <w:r>
        <w:rPr>
          <w:spacing w:val="1"/>
          <w:sz w:val="18"/>
        </w:rPr>
        <w:t xml:space="preserve"> </w:t>
      </w:r>
      <w:r>
        <w:rPr>
          <w:i/>
          <w:sz w:val="18"/>
        </w:rPr>
        <w:t>Annual</w:t>
      </w:r>
      <w:r>
        <w:rPr>
          <w:i/>
          <w:spacing w:val="-1"/>
          <w:sz w:val="18"/>
        </w:rPr>
        <w:t xml:space="preserve"> </w:t>
      </w:r>
      <w:r>
        <w:rPr>
          <w:i/>
          <w:sz w:val="18"/>
        </w:rPr>
        <w:t>Report</w:t>
      </w:r>
      <w:r>
        <w:rPr>
          <w:i/>
          <w:spacing w:val="-1"/>
          <w:sz w:val="18"/>
        </w:rPr>
        <w:t xml:space="preserve"> </w:t>
      </w:r>
      <w:r>
        <w:rPr>
          <w:i/>
          <w:sz w:val="18"/>
        </w:rPr>
        <w:t>2021-22</w:t>
      </w:r>
      <w:r>
        <w:rPr>
          <w:i/>
          <w:spacing w:val="2"/>
          <w:sz w:val="18"/>
        </w:rPr>
        <w:t xml:space="preserve"> </w:t>
      </w:r>
      <w:r>
        <w:rPr>
          <w:sz w:val="18"/>
        </w:rPr>
        <w:t>(QHRC,</w:t>
      </w:r>
      <w:r>
        <w:rPr>
          <w:spacing w:val="1"/>
          <w:sz w:val="18"/>
        </w:rPr>
        <w:t xml:space="preserve"> </w:t>
      </w:r>
      <w:r>
        <w:rPr>
          <w:sz w:val="18"/>
        </w:rPr>
        <w:t>2022)</w:t>
      </w:r>
      <w:r>
        <w:rPr>
          <w:spacing w:val="-3"/>
          <w:sz w:val="18"/>
        </w:rPr>
        <w:t xml:space="preserve"> </w:t>
      </w:r>
      <w:r>
        <w:rPr>
          <w:spacing w:val="-5"/>
          <w:sz w:val="18"/>
        </w:rPr>
        <w:t>37</w:t>
      </w:r>
    </w:p>
    <w:p w14:paraId="7CB25FA6" w14:textId="77777777" w:rsidR="008A4099" w:rsidRDefault="006A6EE2">
      <w:pPr>
        <w:spacing w:before="5"/>
        <w:ind w:left="160" w:right="820"/>
        <w:rPr>
          <w:sz w:val="18"/>
        </w:rPr>
      </w:pPr>
      <w:r>
        <w:rPr>
          <w:sz w:val="18"/>
        </w:rPr>
        <w:t>&lt;https://</w:t>
      </w:r>
      <w:hyperlink r:id="rId118">
        <w:r>
          <w:rPr>
            <w:sz w:val="18"/>
          </w:rPr>
          <w:t>www.qhrc.qld.gov.au/</w:t>
        </w:r>
      </w:hyperlink>
      <w:r>
        <w:rPr>
          <w:spacing w:val="80"/>
          <w:sz w:val="18"/>
          <w:u w:val="single"/>
        </w:rPr>
        <w:t xml:space="preserve"> </w:t>
      </w:r>
      <w:r>
        <w:rPr>
          <w:sz w:val="18"/>
        </w:rPr>
        <w:t xml:space="preserve">data/assets/pdf_file/0003/40647/Queensland-Human-Rights-Commission-Annual-Report- </w:t>
      </w:r>
      <w:r>
        <w:rPr>
          <w:spacing w:val="-2"/>
          <w:sz w:val="18"/>
        </w:rPr>
        <w:t>2021-22.pdf&gt;.</w:t>
      </w:r>
    </w:p>
    <w:p w14:paraId="7CB25FA7" w14:textId="77777777" w:rsidR="008A4099" w:rsidRDefault="006A6EE2">
      <w:pPr>
        <w:spacing w:before="18"/>
        <w:ind w:left="160"/>
        <w:rPr>
          <w:sz w:val="18"/>
        </w:rPr>
      </w:pPr>
      <w:r>
        <w:rPr>
          <w:sz w:val="18"/>
          <w:vertAlign w:val="superscript"/>
        </w:rPr>
        <w:t>262</w:t>
      </w:r>
      <w:r>
        <w:rPr>
          <w:sz w:val="18"/>
        </w:rPr>
        <w:t xml:space="preserve"> Victorian</w:t>
      </w:r>
      <w:r>
        <w:rPr>
          <w:spacing w:val="75"/>
          <w:sz w:val="18"/>
        </w:rPr>
        <w:t xml:space="preserve"> </w:t>
      </w:r>
      <w:r>
        <w:rPr>
          <w:sz w:val="18"/>
        </w:rPr>
        <w:t>Equal</w:t>
      </w:r>
      <w:r>
        <w:rPr>
          <w:spacing w:val="75"/>
          <w:sz w:val="18"/>
        </w:rPr>
        <w:t xml:space="preserve"> </w:t>
      </w:r>
      <w:r>
        <w:rPr>
          <w:sz w:val="18"/>
        </w:rPr>
        <w:t>Opportunity</w:t>
      </w:r>
      <w:r>
        <w:rPr>
          <w:spacing w:val="73"/>
          <w:sz w:val="18"/>
        </w:rPr>
        <w:t xml:space="preserve"> </w:t>
      </w:r>
      <w:r>
        <w:rPr>
          <w:sz w:val="18"/>
        </w:rPr>
        <w:t>and</w:t>
      </w:r>
      <w:r>
        <w:rPr>
          <w:spacing w:val="75"/>
          <w:sz w:val="18"/>
        </w:rPr>
        <w:t xml:space="preserve"> </w:t>
      </w:r>
      <w:r>
        <w:rPr>
          <w:sz w:val="18"/>
        </w:rPr>
        <w:t>Human</w:t>
      </w:r>
      <w:r>
        <w:rPr>
          <w:spacing w:val="76"/>
          <w:sz w:val="18"/>
        </w:rPr>
        <w:t xml:space="preserve"> </w:t>
      </w:r>
      <w:r>
        <w:rPr>
          <w:sz w:val="18"/>
        </w:rPr>
        <w:t>Rights</w:t>
      </w:r>
      <w:r>
        <w:rPr>
          <w:spacing w:val="74"/>
          <w:sz w:val="18"/>
        </w:rPr>
        <w:t xml:space="preserve"> </w:t>
      </w:r>
      <w:r>
        <w:rPr>
          <w:sz w:val="18"/>
        </w:rPr>
        <w:t>Commission,</w:t>
      </w:r>
      <w:r>
        <w:rPr>
          <w:spacing w:val="79"/>
          <w:sz w:val="18"/>
        </w:rPr>
        <w:t xml:space="preserve"> </w:t>
      </w:r>
      <w:r>
        <w:rPr>
          <w:i/>
          <w:sz w:val="18"/>
        </w:rPr>
        <w:t>Annual</w:t>
      </w:r>
      <w:r>
        <w:rPr>
          <w:i/>
          <w:spacing w:val="75"/>
          <w:sz w:val="18"/>
        </w:rPr>
        <w:t xml:space="preserve"> </w:t>
      </w:r>
      <w:r>
        <w:rPr>
          <w:i/>
          <w:sz w:val="18"/>
        </w:rPr>
        <w:t>Report</w:t>
      </w:r>
      <w:r>
        <w:rPr>
          <w:i/>
          <w:spacing w:val="72"/>
          <w:sz w:val="18"/>
        </w:rPr>
        <w:t xml:space="preserve"> </w:t>
      </w:r>
      <w:r>
        <w:rPr>
          <w:i/>
          <w:sz w:val="18"/>
        </w:rPr>
        <w:t>2020-2021</w:t>
      </w:r>
      <w:r>
        <w:rPr>
          <w:i/>
          <w:spacing w:val="75"/>
          <w:sz w:val="18"/>
        </w:rPr>
        <w:t xml:space="preserve"> </w:t>
      </w:r>
      <w:r>
        <w:rPr>
          <w:sz w:val="18"/>
        </w:rPr>
        <w:t>(VEOHRC,</w:t>
      </w:r>
      <w:r>
        <w:rPr>
          <w:spacing w:val="75"/>
          <w:sz w:val="18"/>
        </w:rPr>
        <w:t xml:space="preserve"> </w:t>
      </w:r>
      <w:r>
        <w:rPr>
          <w:sz w:val="18"/>
        </w:rPr>
        <w:t>2021)</w:t>
      </w:r>
      <w:r>
        <w:rPr>
          <w:spacing w:val="74"/>
          <w:sz w:val="18"/>
        </w:rPr>
        <w:t xml:space="preserve"> </w:t>
      </w:r>
      <w:r>
        <w:rPr>
          <w:spacing w:val="-10"/>
          <w:sz w:val="18"/>
        </w:rPr>
        <w:t>6</w:t>
      </w:r>
    </w:p>
    <w:p w14:paraId="7CB25FA8" w14:textId="77777777" w:rsidR="008A4099" w:rsidRDefault="006A6EE2">
      <w:pPr>
        <w:spacing w:before="4" w:line="247" w:lineRule="auto"/>
        <w:ind w:left="160" w:right="673"/>
        <w:rPr>
          <w:sz w:val="18"/>
        </w:rPr>
      </w:pPr>
      <w:r>
        <w:rPr>
          <w:spacing w:val="-2"/>
          <w:sz w:val="18"/>
        </w:rPr>
        <w:t>&lt;https://</w:t>
      </w:r>
      <w:hyperlink r:id="rId119">
        <w:r>
          <w:rPr>
            <w:spacing w:val="-2"/>
            <w:sz w:val="18"/>
          </w:rPr>
          <w:t>www.humanrights.vic.gov.au/static/17e7f07a6011ef9bf0002454f5a65611/Resource_Annual_Report-2020-21.pdf&gt;</w:t>
        </w:r>
      </w:hyperlink>
      <w:r>
        <w:rPr>
          <w:spacing w:val="-2"/>
          <w:sz w:val="18"/>
        </w:rPr>
        <w:t>.</w:t>
      </w:r>
      <w:r>
        <w:rPr>
          <w:spacing w:val="80"/>
          <w:sz w:val="18"/>
        </w:rPr>
        <w:t xml:space="preserve">  </w:t>
      </w:r>
      <w:r>
        <w:rPr>
          <w:sz w:val="18"/>
          <w:vertAlign w:val="superscript"/>
        </w:rPr>
        <w:t>263</w:t>
      </w:r>
      <w:r>
        <w:rPr>
          <w:sz w:val="18"/>
        </w:rPr>
        <w:t xml:space="preserve"> Ibid 28. For example, the VEOHRC raised concerns that provisions of the COVID-19 Omnibus (Emergency Measures) and Other Acts Amendment Bill 2020 (Vic) permitting authorised officers to detain ‘high risk’ people pre-emptively would disproportionately affect vulnerable groups (such as those with a mental illness or experiencing homeless) and heighten the risk of people being detained arbitrarily. The Government ultimately removed that provision from the Bill.</w:t>
      </w:r>
    </w:p>
    <w:p w14:paraId="7CB25FA9" w14:textId="77777777" w:rsidR="008A4099" w:rsidRDefault="006A6EE2">
      <w:pPr>
        <w:spacing w:before="12"/>
        <w:ind w:left="160"/>
        <w:rPr>
          <w:sz w:val="18"/>
        </w:rPr>
      </w:pPr>
      <w:r>
        <w:rPr>
          <w:sz w:val="18"/>
          <w:vertAlign w:val="superscript"/>
        </w:rPr>
        <w:t>264</w:t>
      </w:r>
      <w:r>
        <w:rPr>
          <w:spacing w:val="-1"/>
          <w:sz w:val="18"/>
        </w:rPr>
        <w:t xml:space="preserve"> </w:t>
      </w:r>
      <w:r>
        <w:rPr>
          <w:sz w:val="18"/>
        </w:rPr>
        <w:t>ACT Human</w:t>
      </w:r>
      <w:r>
        <w:rPr>
          <w:spacing w:val="2"/>
          <w:sz w:val="18"/>
        </w:rPr>
        <w:t xml:space="preserve"> </w:t>
      </w:r>
      <w:r>
        <w:rPr>
          <w:sz w:val="18"/>
        </w:rPr>
        <w:t>Rights Commission,</w:t>
      </w:r>
      <w:r>
        <w:rPr>
          <w:spacing w:val="1"/>
          <w:sz w:val="18"/>
        </w:rPr>
        <w:t xml:space="preserve"> </w:t>
      </w:r>
      <w:r>
        <w:rPr>
          <w:i/>
          <w:sz w:val="18"/>
        </w:rPr>
        <w:t>Annual</w:t>
      </w:r>
      <w:r>
        <w:rPr>
          <w:i/>
          <w:spacing w:val="1"/>
          <w:sz w:val="18"/>
        </w:rPr>
        <w:t xml:space="preserve"> </w:t>
      </w:r>
      <w:r>
        <w:rPr>
          <w:i/>
          <w:sz w:val="18"/>
        </w:rPr>
        <w:t>Report</w:t>
      </w:r>
      <w:r>
        <w:rPr>
          <w:i/>
          <w:spacing w:val="-2"/>
          <w:sz w:val="18"/>
        </w:rPr>
        <w:t xml:space="preserve"> </w:t>
      </w:r>
      <w:r>
        <w:rPr>
          <w:i/>
          <w:sz w:val="18"/>
        </w:rPr>
        <w:t>2020-21</w:t>
      </w:r>
      <w:r>
        <w:rPr>
          <w:i/>
          <w:spacing w:val="1"/>
          <w:sz w:val="18"/>
        </w:rPr>
        <w:t xml:space="preserve"> </w:t>
      </w:r>
      <w:r>
        <w:rPr>
          <w:sz w:val="18"/>
        </w:rPr>
        <w:t>(ACTHRC,</w:t>
      </w:r>
      <w:r>
        <w:rPr>
          <w:spacing w:val="1"/>
          <w:sz w:val="18"/>
        </w:rPr>
        <w:t xml:space="preserve"> </w:t>
      </w:r>
      <w:r>
        <w:rPr>
          <w:sz w:val="18"/>
        </w:rPr>
        <w:t>2021)</w:t>
      </w:r>
      <w:r>
        <w:rPr>
          <w:spacing w:val="-3"/>
          <w:sz w:val="18"/>
        </w:rPr>
        <w:t xml:space="preserve"> </w:t>
      </w:r>
      <w:r>
        <w:rPr>
          <w:sz w:val="18"/>
        </w:rPr>
        <w:t>10,</w:t>
      </w:r>
      <w:r>
        <w:rPr>
          <w:spacing w:val="-2"/>
          <w:sz w:val="18"/>
        </w:rPr>
        <w:t xml:space="preserve"> 21–22</w:t>
      </w:r>
    </w:p>
    <w:p w14:paraId="7CB25FAA" w14:textId="77777777" w:rsidR="008A4099" w:rsidRDefault="006A6EE2">
      <w:pPr>
        <w:spacing w:before="4"/>
        <w:ind w:left="160" w:right="680"/>
        <w:rPr>
          <w:sz w:val="18"/>
        </w:rPr>
      </w:pPr>
      <w:r>
        <w:rPr>
          <w:sz w:val="18"/>
        </w:rPr>
        <w:t>&lt;https://</w:t>
      </w:r>
      <w:hyperlink r:id="rId120">
        <w:r>
          <w:rPr>
            <w:sz w:val="18"/>
          </w:rPr>
          <w:t>www.hrc.act.gov.au/</w:t>
        </w:r>
      </w:hyperlink>
      <w:r>
        <w:rPr>
          <w:spacing w:val="80"/>
          <w:sz w:val="18"/>
          <w:u w:val="single"/>
        </w:rPr>
        <w:t xml:space="preserve"> </w:t>
      </w:r>
      <w:r>
        <w:rPr>
          <w:sz w:val="18"/>
        </w:rPr>
        <w:t xml:space="preserve">data/assets/pdf_file/0010/2282176/ACT-Human-Rights-Commission-Annual-Report-2020- </w:t>
      </w:r>
      <w:r>
        <w:rPr>
          <w:spacing w:val="-2"/>
          <w:sz w:val="18"/>
        </w:rPr>
        <w:t>21.pdf&gt;.</w:t>
      </w:r>
    </w:p>
    <w:p w14:paraId="7CB25FAB" w14:textId="77777777" w:rsidR="008A4099" w:rsidRDefault="006A6EE2">
      <w:pPr>
        <w:spacing w:before="18"/>
        <w:ind w:left="160"/>
        <w:rPr>
          <w:sz w:val="18"/>
        </w:rPr>
      </w:pPr>
      <w:r>
        <w:rPr>
          <w:sz w:val="18"/>
          <w:vertAlign w:val="superscript"/>
        </w:rPr>
        <w:t>265</w:t>
      </w:r>
      <w:r>
        <w:rPr>
          <w:spacing w:val="6"/>
          <w:sz w:val="18"/>
        </w:rPr>
        <w:t xml:space="preserve"> </w:t>
      </w:r>
      <w:r>
        <w:rPr>
          <w:sz w:val="18"/>
        </w:rPr>
        <w:t>Ibid</w:t>
      </w:r>
      <w:r>
        <w:rPr>
          <w:spacing w:val="6"/>
          <w:sz w:val="18"/>
        </w:rPr>
        <w:t xml:space="preserve"> </w:t>
      </w:r>
      <w:r>
        <w:rPr>
          <w:spacing w:val="-5"/>
          <w:sz w:val="18"/>
        </w:rPr>
        <w:t>10.</w:t>
      </w:r>
    </w:p>
    <w:p w14:paraId="7CB25FAC" w14:textId="77777777" w:rsidR="008A4099" w:rsidRDefault="006A6EE2">
      <w:pPr>
        <w:spacing w:before="24"/>
        <w:ind w:left="160"/>
        <w:rPr>
          <w:sz w:val="18"/>
        </w:rPr>
      </w:pPr>
      <w:r>
        <w:rPr>
          <w:sz w:val="18"/>
          <w:vertAlign w:val="superscript"/>
        </w:rPr>
        <w:t>266</w:t>
      </w:r>
      <w:r>
        <w:rPr>
          <w:spacing w:val="6"/>
          <w:sz w:val="18"/>
        </w:rPr>
        <w:t xml:space="preserve"> </w:t>
      </w:r>
      <w:r>
        <w:rPr>
          <w:sz w:val="18"/>
        </w:rPr>
        <w:t>Ibid</w:t>
      </w:r>
      <w:r>
        <w:rPr>
          <w:spacing w:val="6"/>
          <w:sz w:val="18"/>
        </w:rPr>
        <w:t xml:space="preserve"> </w:t>
      </w:r>
      <w:r>
        <w:rPr>
          <w:spacing w:val="-5"/>
          <w:sz w:val="18"/>
        </w:rPr>
        <w:t>22.</w:t>
      </w:r>
    </w:p>
    <w:p w14:paraId="7CB25FAD" w14:textId="77777777" w:rsidR="008A4099" w:rsidRDefault="006A6EE2">
      <w:pPr>
        <w:spacing w:before="23" w:line="242" w:lineRule="auto"/>
        <w:ind w:left="160" w:right="678"/>
        <w:jc w:val="both"/>
        <w:rPr>
          <w:sz w:val="18"/>
        </w:rPr>
      </w:pPr>
      <w:r>
        <w:rPr>
          <w:sz w:val="18"/>
          <w:vertAlign w:val="superscript"/>
        </w:rPr>
        <w:t>267</w:t>
      </w:r>
      <w:r>
        <w:rPr>
          <w:sz w:val="18"/>
        </w:rPr>
        <w:t xml:space="preserve"> See </w:t>
      </w:r>
      <w:r>
        <w:rPr>
          <w:i/>
          <w:sz w:val="18"/>
        </w:rPr>
        <w:t xml:space="preserve">Attorney-General for the State of Queensland v Sri &amp; Ors </w:t>
      </w:r>
      <w:r>
        <w:rPr>
          <w:sz w:val="18"/>
        </w:rPr>
        <w:t xml:space="preserve">[2020] QSC 246 and </w:t>
      </w:r>
      <w:r>
        <w:rPr>
          <w:i/>
          <w:sz w:val="18"/>
        </w:rPr>
        <w:t>Owen-D’Arcy v Chief Executive of QCS</w:t>
      </w:r>
      <w:r>
        <w:rPr>
          <w:i/>
          <w:spacing w:val="-1"/>
          <w:sz w:val="18"/>
        </w:rPr>
        <w:t xml:space="preserve"> </w:t>
      </w:r>
      <w:r>
        <w:rPr>
          <w:sz w:val="18"/>
        </w:rPr>
        <w:t xml:space="preserve">[2021] QSC 273; the Commission has also intervened in a further matter that was subject to reporting restrictions: see QHRC, </w:t>
      </w:r>
      <w:r>
        <w:rPr>
          <w:i/>
          <w:sz w:val="18"/>
        </w:rPr>
        <w:t xml:space="preserve">2020-21 Annual Report </w:t>
      </w:r>
      <w:r>
        <w:rPr>
          <w:sz w:val="18"/>
        </w:rPr>
        <w:t>59.</w:t>
      </w:r>
    </w:p>
    <w:p w14:paraId="7CB25FAE" w14:textId="77777777" w:rsidR="008A4099" w:rsidRDefault="006A6EE2">
      <w:pPr>
        <w:spacing w:line="204" w:lineRule="exact"/>
        <w:ind w:left="160"/>
        <w:jc w:val="both"/>
        <w:rPr>
          <w:sz w:val="18"/>
        </w:rPr>
      </w:pPr>
      <w:r>
        <w:rPr>
          <w:position w:val="6"/>
          <w:sz w:val="12"/>
        </w:rPr>
        <w:t>268</w:t>
      </w:r>
      <w:r>
        <w:rPr>
          <w:spacing w:val="14"/>
          <w:position w:val="6"/>
          <w:sz w:val="12"/>
        </w:rPr>
        <w:t xml:space="preserve"> </w:t>
      </w:r>
      <w:r>
        <w:rPr>
          <w:sz w:val="18"/>
        </w:rPr>
        <w:t xml:space="preserve">QHRC </w:t>
      </w:r>
      <w:r>
        <w:rPr>
          <w:i/>
          <w:sz w:val="18"/>
        </w:rPr>
        <w:t>Annual</w:t>
      </w:r>
      <w:r>
        <w:rPr>
          <w:i/>
          <w:spacing w:val="-2"/>
          <w:sz w:val="18"/>
        </w:rPr>
        <w:t xml:space="preserve"> </w:t>
      </w:r>
      <w:r>
        <w:rPr>
          <w:i/>
          <w:sz w:val="18"/>
        </w:rPr>
        <w:t>Report</w:t>
      </w:r>
      <w:r>
        <w:rPr>
          <w:i/>
          <w:spacing w:val="-1"/>
          <w:sz w:val="18"/>
        </w:rPr>
        <w:t xml:space="preserve"> </w:t>
      </w:r>
      <w:r>
        <w:rPr>
          <w:i/>
          <w:sz w:val="18"/>
        </w:rPr>
        <w:t>2021-22</w:t>
      </w:r>
      <w:r>
        <w:rPr>
          <w:sz w:val="18"/>
        </w:rPr>
        <w:t>,</w:t>
      </w:r>
      <w:r>
        <w:rPr>
          <w:spacing w:val="-2"/>
          <w:sz w:val="18"/>
        </w:rPr>
        <w:t xml:space="preserve"> </w:t>
      </w:r>
      <w:r>
        <w:rPr>
          <w:sz w:val="18"/>
        </w:rPr>
        <w:t>p</w:t>
      </w:r>
      <w:r>
        <w:rPr>
          <w:spacing w:val="1"/>
          <w:sz w:val="18"/>
        </w:rPr>
        <w:t xml:space="preserve"> </w:t>
      </w:r>
      <w:r>
        <w:rPr>
          <w:spacing w:val="-5"/>
          <w:sz w:val="18"/>
        </w:rPr>
        <w:t>59.</w:t>
      </w:r>
    </w:p>
    <w:p w14:paraId="7CB25FAF" w14:textId="77777777" w:rsidR="008A4099" w:rsidRDefault="006A6EE2">
      <w:pPr>
        <w:spacing w:before="19"/>
        <w:ind w:left="160"/>
        <w:jc w:val="both"/>
        <w:rPr>
          <w:sz w:val="18"/>
        </w:rPr>
      </w:pPr>
      <w:r>
        <w:rPr>
          <w:sz w:val="18"/>
          <w:vertAlign w:val="superscript"/>
        </w:rPr>
        <w:t>269</w:t>
      </w:r>
      <w:r>
        <w:rPr>
          <w:spacing w:val="-1"/>
          <w:sz w:val="18"/>
        </w:rPr>
        <w:t xml:space="preserve"> </w:t>
      </w:r>
      <w:r>
        <w:rPr>
          <w:sz w:val="18"/>
        </w:rPr>
        <w:t>See</w:t>
      </w:r>
      <w:r>
        <w:rPr>
          <w:spacing w:val="-1"/>
          <w:sz w:val="18"/>
        </w:rPr>
        <w:t xml:space="preserve"> </w:t>
      </w:r>
      <w:r>
        <w:rPr>
          <w:sz w:val="18"/>
        </w:rPr>
        <w:t>discussion</w:t>
      </w:r>
      <w:r>
        <w:rPr>
          <w:spacing w:val="1"/>
          <w:sz w:val="18"/>
        </w:rPr>
        <w:t xml:space="preserve"> </w:t>
      </w:r>
      <w:r>
        <w:rPr>
          <w:sz w:val="18"/>
        </w:rPr>
        <w:t>below at [4.6.7]–[4.6.9] regarding</w:t>
      </w:r>
      <w:r>
        <w:rPr>
          <w:spacing w:val="-1"/>
          <w:sz w:val="18"/>
        </w:rPr>
        <w:t xml:space="preserve"> </w:t>
      </w:r>
      <w:r>
        <w:rPr>
          <w:sz w:val="18"/>
        </w:rPr>
        <w:t>notification</w:t>
      </w:r>
      <w:r>
        <w:rPr>
          <w:spacing w:val="-1"/>
          <w:sz w:val="18"/>
        </w:rPr>
        <w:t xml:space="preserve"> </w:t>
      </w:r>
      <w:r>
        <w:rPr>
          <w:spacing w:val="-2"/>
          <w:sz w:val="18"/>
        </w:rPr>
        <w:t>obligations.</w:t>
      </w:r>
    </w:p>
    <w:p w14:paraId="7CB25FB0" w14:textId="77777777" w:rsidR="008A4099" w:rsidRDefault="006A6EE2">
      <w:pPr>
        <w:spacing w:before="23"/>
        <w:ind w:left="160"/>
        <w:jc w:val="both"/>
        <w:rPr>
          <w:sz w:val="18"/>
        </w:rPr>
      </w:pPr>
      <w:r>
        <w:rPr>
          <w:sz w:val="18"/>
          <w:vertAlign w:val="superscript"/>
        </w:rPr>
        <w:t>270</w:t>
      </w:r>
      <w:r>
        <w:rPr>
          <w:sz w:val="18"/>
        </w:rPr>
        <w:t xml:space="preserve"> ACT Human</w:t>
      </w:r>
      <w:r>
        <w:rPr>
          <w:spacing w:val="1"/>
          <w:sz w:val="18"/>
        </w:rPr>
        <w:t xml:space="preserve"> </w:t>
      </w:r>
      <w:r>
        <w:rPr>
          <w:sz w:val="18"/>
        </w:rPr>
        <w:t>Rights</w:t>
      </w:r>
      <w:r>
        <w:rPr>
          <w:spacing w:val="1"/>
          <w:sz w:val="18"/>
        </w:rPr>
        <w:t xml:space="preserve"> </w:t>
      </w:r>
      <w:r>
        <w:rPr>
          <w:sz w:val="18"/>
        </w:rPr>
        <w:t>Commission,</w:t>
      </w:r>
      <w:r>
        <w:rPr>
          <w:spacing w:val="3"/>
          <w:sz w:val="18"/>
        </w:rPr>
        <w:t xml:space="preserve"> </w:t>
      </w:r>
      <w:r>
        <w:rPr>
          <w:i/>
          <w:sz w:val="18"/>
        </w:rPr>
        <w:t>Annual Report</w:t>
      </w:r>
      <w:r>
        <w:rPr>
          <w:i/>
          <w:spacing w:val="-1"/>
          <w:sz w:val="18"/>
        </w:rPr>
        <w:t xml:space="preserve"> </w:t>
      </w:r>
      <w:r>
        <w:rPr>
          <w:i/>
          <w:sz w:val="18"/>
        </w:rPr>
        <w:t>2020-21</w:t>
      </w:r>
      <w:r>
        <w:rPr>
          <w:i/>
          <w:spacing w:val="-1"/>
          <w:sz w:val="18"/>
        </w:rPr>
        <w:t xml:space="preserve"> </w:t>
      </w:r>
      <w:r>
        <w:rPr>
          <w:spacing w:val="-5"/>
          <w:sz w:val="18"/>
        </w:rPr>
        <w:t>25.</w:t>
      </w:r>
    </w:p>
    <w:p w14:paraId="7CB25FB1" w14:textId="77777777" w:rsidR="008A4099" w:rsidRDefault="006A6EE2">
      <w:pPr>
        <w:spacing w:before="24" w:line="244" w:lineRule="auto"/>
        <w:ind w:left="160" w:right="673"/>
        <w:jc w:val="both"/>
        <w:rPr>
          <w:sz w:val="18"/>
        </w:rPr>
      </w:pPr>
      <w:r>
        <w:rPr>
          <w:sz w:val="18"/>
          <w:vertAlign w:val="superscript"/>
        </w:rPr>
        <w:t>271</w:t>
      </w:r>
      <w:r>
        <w:rPr>
          <w:spacing w:val="-2"/>
          <w:sz w:val="18"/>
        </w:rPr>
        <w:t xml:space="preserve"> </w:t>
      </w:r>
      <w:r>
        <w:rPr>
          <w:sz w:val="18"/>
        </w:rPr>
        <w:t>Not</w:t>
      </w:r>
      <w:r>
        <w:rPr>
          <w:spacing w:val="-4"/>
          <w:sz w:val="18"/>
        </w:rPr>
        <w:t xml:space="preserve"> </w:t>
      </w:r>
      <w:r>
        <w:rPr>
          <w:sz w:val="18"/>
        </w:rPr>
        <w:t>notified</w:t>
      </w:r>
      <w:r>
        <w:rPr>
          <w:spacing w:val="-4"/>
          <w:sz w:val="18"/>
        </w:rPr>
        <w:t xml:space="preserve"> </w:t>
      </w:r>
      <w:r>
        <w:rPr>
          <w:sz w:val="18"/>
        </w:rPr>
        <w:t>on</w:t>
      </w:r>
      <w:r>
        <w:rPr>
          <w:spacing w:val="-1"/>
          <w:sz w:val="18"/>
        </w:rPr>
        <w:t xml:space="preserve"> </w:t>
      </w:r>
      <w:r>
        <w:rPr>
          <w:sz w:val="18"/>
        </w:rPr>
        <w:t>the</w:t>
      </w:r>
      <w:r>
        <w:rPr>
          <w:spacing w:val="-3"/>
          <w:sz w:val="18"/>
        </w:rPr>
        <w:t xml:space="preserve"> </w:t>
      </w:r>
      <w:r>
        <w:rPr>
          <w:sz w:val="18"/>
        </w:rPr>
        <w:t>VEOHRC</w:t>
      </w:r>
      <w:r>
        <w:rPr>
          <w:spacing w:val="-2"/>
          <w:sz w:val="18"/>
        </w:rPr>
        <w:t xml:space="preserve"> </w:t>
      </w:r>
      <w:r>
        <w:rPr>
          <w:sz w:val="18"/>
        </w:rPr>
        <w:t>Home</w:t>
      </w:r>
      <w:r>
        <w:rPr>
          <w:spacing w:val="-3"/>
          <w:sz w:val="18"/>
        </w:rPr>
        <w:t xml:space="preserve"> </w:t>
      </w:r>
      <w:r>
        <w:rPr>
          <w:sz w:val="18"/>
        </w:rPr>
        <w:t>Page</w:t>
      </w:r>
      <w:r>
        <w:rPr>
          <w:spacing w:val="-3"/>
          <w:sz w:val="18"/>
        </w:rPr>
        <w:t xml:space="preserve"> </w:t>
      </w:r>
      <w:r>
        <w:rPr>
          <w:sz w:val="18"/>
        </w:rPr>
        <w:t>but</w:t>
      </w:r>
      <w:r>
        <w:rPr>
          <w:spacing w:val="-2"/>
          <w:sz w:val="18"/>
        </w:rPr>
        <w:t xml:space="preserve"> </w:t>
      </w:r>
      <w:r>
        <w:rPr>
          <w:sz w:val="18"/>
        </w:rPr>
        <w:t>found,</w:t>
      </w:r>
      <w:r>
        <w:rPr>
          <w:spacing w:val="-2"/>
          <w:sz w:val="18"/>
        </w:rPr>
        <w:t xml:space="preserve"> </w:t>
      </w:r>
      <w:r>
        <w:rPr>
          <w:sz w:val="18"/>
        </w:rPr>
        <w:t>with</w:t>
      </w:r>
      <w:r>
        <w:rPr>
          <w:spacing w:val="-1"/>
          <w:sz w:val="18"/>
        </w:rPr>
        <w:t xml:space="preserve"> </w:t>
      </w:r>
      <w:r>
        <w:rPr>
          <w:sz w:val="18"/>
        </w:rPr>
        <w:t>some</w:t>
      </w:r>
      <w:r>
        <w:rPr>
          <w:spacing w:val="-3"/>
          <w:sz w:val="18"/>
        </w:rPr>
        <w:t xml:space="preserve"> </w:t>
      </w:r>
      <w:r>
        <w:rPr>
          <w:sz w:val="18"/>
        </w:rPr>
        <w:t>searching,</w:t>
      </w:r>
      <w:r>
        <w:rPr>
          <w:spacing w:val="-4"/>
          <w:sz w:val="18"/>
        </w:rPr>
        <w:t xml:space="preserve"> </w:t>
      </w:r>
      <w:r>
        <w:rPr>
          <w:sz w:val="18"/>
        </w:rPr>
        <w:t>at</w:t>
      </w:r>
      <w:r>
        <w:rPr>
          <w:spacing w:val="-2"/>
          <w:sz w:val="18"/>
        </w:rPr>
        <w:t xml:space="preserve"> </w:t>
      </w:r>
      <w:r>
        <w:rPr>
          <w:sz w:val="18"/>
        </w:rPr>
        <w:t>&lt;https:/</w:t>
      </w:r>
      <w:hyperlink r:id="rId121">
        <w:r>
          <w:rPr>
            <w:sz w:val="18"/>
          </w:rPr>
          <w:t>/www.humanrights.vic.gov.au/legal-</w:t>
        </w:r>
      </w:hyperlink>
      <w:r>
        <w:rPr>
          <w:sz w:val="18"/>
        </w:rPr>
        <w:t xml:space="preserve"> </w:t>
      </w:r>
      <w:r>
        <w:rPr>
          <w:spacing w:val="-2"/>
          <w:sz w:val="18"/>
        </w:rPr>
        <w:t>and-policy/legal-interventions/&gt;.</w:t>
      </w:r>
    </w:p>
    <w:p w14:paraId="7CB25FB2" w14:textId="77777777" w:rsidR="008A4099" w:rsidRDefault="006A6EE2">
      <w:pPr>
        <w:spacing w:before="14" w:line="242" w:lineRule="auto"/>
        <w:ind w:left="160" w:right="677"/>
        <w:jc w:val="both"/>
        <w:rPr>
          <w:sz w:val="18"/>
        </w:rPr>
      </w:pPr>
      <w:r>
        <w:rPr>
          <w:sz w:val="18"/>
          <w:vertAlign w:val="superscript"/>
        </w:rPr>
        <w:t>272</w:t>
      </w:r>
      <w:r>
        <w:rPr>
          <w:sz w:val="18"/>
        </w:rPr>
        <w:t xml:space="preserve"> See VEOHRC, </w:t>
      </w:r>
      <w:r>
        <w:rPr>
          <w:i/>
          <w:sz w:val="18"/>
        </w:rPr>
        <w:t xml:space="preserve">Annual Report 2020-2021 </w:t>
      </w:r>
      <w:r>
        <w:rPr>
          <w:sz w:val="18"/>
        </w:rPr>
        <w:t>7. It appears that these interventions involved just one case, which concerned the</w:t>
      </w:r>
      <w:r>
        <w:rPr>
          <w:spacing w:val="-5"/>
          <w:sz w:val="18"/>
        </w:rPr>
        <w:t xml:space="preserve"> </w:t>
      </w:r>
      <w:r>
        <w:rPr>
          <w:sz w:val="18"/>
        </w:rPr>
        <w:t>protection</w:t>
      </w:r>
      <w:r>
        <w:rPr>
          <w:spacing w:val="-3"/>
          <w:sz w:val="18"/>
        </w:rPr>
        <w:t xml:space="preserve"> </w:t>
      </w:r>
      <w:r>
        <w:rPr>
          <w:sz w:val="18"/>
        </w:rPr>
        <w:t>of</w:t>
      </w:r>
      <w:r>
        <w:rPr>
          <w:spacing w:val="-7"/>
          <w:sz w:val="18"/>
        </w:rPr>
        <w:t xml:space="preserve"> </w:t>
      </w:r>
      <w:r>
        <w:rPr>
          <w:sz w:val="18"/>
        </w:rPr>
        <w:t>cultural</w:t>
      </w:r>
      <w:r>
        <w:rPr>
          <w:spacing w:val="-4"/>
          <w:sz w:val="18"/>
        </w:rPr>
        <w:t xml:space="preserve"> </w:t>
      </w:r>
      <w:r>
        <w:rPr>
          <w:sz w:val="18"/>
        </w:rPr>
        <w:t>rights</w:t>
      </w:r>
      <w:r>
        <w:rPr>
          <w:spacing w:val="-4"/>
          <w:sz w:val="18"/>
        </w:rPr>
        <w:t xml:space="preserve"> </w:t>
      </w:r>
      <w:r>
        <w:rPr>
          <w:sz w:val="18"/>
        </w:rPr>
        <w:t>in</w:t>
      </w:r>
      <w:r>
        <w:rPr>
          <w:spacing w:val="-6"/>
          <w:sz w:val="18"/>
        </w:rPr>
        <w:t xml:space="preserve"> </w:t>
      </w:r>
      <w:r>
        <w:rPr>
          <w:sz w:val="18"/>
        </w:rPr>
        <w:t>Aboriginal</w:t>
      </w:r>
      <w:r>
        <w:rPr>
          <w:spacing w:val="-4"/>
          <w:sz w:val="18"/>
        </w:rPr>
        <w:t xml:space="preserve"> </w:t>
      </w:r>
      <w:r>
        <w:rPr>
          <w:sz w:val="18"/>
        </w:rPr>
        <w:t>lands</w:t>
      </w:r>
      <w:r>
        <w:rPr>
          <w:spacing w:val="-4"/>
          <w:sz w:val="18"/>
        </w:rPr>
        <w:t xml:space="preserve"> </w:t>
      </w:r>
      <w:r>
        <w:rPr>
          <w:sz w:val="18"/>
        </w:rPr>
        <w:t>–</w:t>
      </w:r>
      <w:r>
        <w:rPr>
          <w:spacing w:val="-3"/>
          <w:sz w:val="18"/>
        </w:rPr>
        <w:t xml:space="preserve"> </w:t>
      </w:r>
      <w:r>
        <w:rPr>
          <w:sz w:val="18"/>
        </w:rPr>
        <w:t>the</w:t>
      </w:r>
      <w:r>
        <w:rPr>
          <w:spacing w:val="-5"/>
          <w:sz w:val="18"/>
        </w:rPr>
        <w:t xml:space="preserve"> </w:t>
      </w:r>
      <w:r>
        <w:rPr>
          <w:sz w:val="18"/>
        </w:rPr>
        <w:t>preservation</w:t>
      </w:r>
      <w:r>
        <w:rPr>
          <w:spacing w:val="-3"/>
          <w:sz w:val="18"/>
        </w:rPr>
        <w:t xml:space="preserve"> </w:t>
      </w:r>
      <w:r>
        <w:rPr>
          <w:sz w:val="18"/>
        </w:rPr>
        <w:t>of</w:t>
      </w:r>
      <w:r>
        <w:rPr>
          <w:spacing w:val="-7"/>
          <w:sz w:val="18"/>
        </w:rPr>
        <w:t xml:space="preserve"> </w:t>
      </w:r>
      <w:r>
        <w:rPr>
          <w:sz w:val="18"/>
        </w:rPr>
        <w:t>Djab</w:t>
      </w:r>
      <w:r>
        <w:rPr>
          <w:spacing w:val="-3"/>
          <w:sz w:val="18"/>
        </w:rPr>
        <w:t xml:space="preserve"> </w:t>
      </w:r>
      <w:r>
        <w:rPr>
          <w:sz w:val="18"/>
        </w:rPr>
        <w:t>Wurrung</w:t>
      </w:r>
      <w:r>
        <w:rPr>
          <w:spacing w:val="-6"/>
          <w:sz w:val="18"/>
        </w:rPr>
        <w:t xml:space="preserve"> </w:t>
      </w:r>
      <w:r>
        <w:rPr>
          <w:sz w:val="18"/>
        </w:rPr>
        <w:t>birthing</w:t>
      </w:r>
      <w:r>
        <w:rPr>
          <w:spacing w:val="-3"/>
          <w:sz w:val="18"/>
        </w:rPr>
        <w:t xml:space="preserve"> </w:t>
      </w:r>
      <w:r>
        <w:rPr>
          <w:sz w:val="18"/>
        </w:rPr>
        <w:t>trees.</w:t>
      </w:r>
      <w:r>
        <w:rPr>
          <w:spacing w:val="-6"/>
          <w:sz w:val="18"/>
        </w:rPr>
        <w:t xml:space="preserve"> </w:t>
      </w:r>
      <w:r>
        <w:rPr>
          <w:sz w:val="18"/>
        </w:rPr>
        <w:t>As</w:t>
      </w:r>
      <w:r>
        <w:rPr>
          <w:spacing w:val="-5"/>
          <w:sz w:val="18"/>
        </w:rPr>
        <w:t xml:space="preserve"> </w:t>
      </w:r>
      <w:r>
        <w:rPr>
          <w:sz w:val="18"/>
        </w:rPr>
        <w:t>the</w:t>
      </w:r>
      <w:r>
        <w:rPr>
          <w:spacing w:val="-5"/>
          <w:sz w:val="18"/>
        </w:rPr>
        <w:t xml:space="preserve"> </w:t>
      </w:r>
      <w:r>
        <w:rPr>
          <w:sz w:val="18"/>
        </w:rPr>
        <w:t>case</w:t>
      </w:r>
      <w:r>
        <w:rPr>
          <w:spacing w:val="-5"/>
          <w:sz w:val="18"/>
        </w:rPr>
        <w:t xml:space="preserve"> </w:t>
      </w:r>
      <w:r>
        <w:rPr>
          <w:sz w:val="18"/>
        </w:rPr>
        <w:t>progressed, it became clear that it also involved critical questions about the extent to which people can claim remedies in the courts for breaches of Charter rights (s 39) 51.</w:t>
      </w:r>
    </w:p>
    <w:p w14:paraId="7CB25FB3"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5FB4" w14:textId="77777777" w:rsidR="008A4099" w:rsidRDefault="008A4099">
      <w:pPr>
        <w:pStyle w:val="BodyText"/>
        <w:spacing w:before="194"/>
      </w:pPr>
    </w:p>
    <w:p w14:paraId="7CB25FB5" w14:textId="77777777" w:rsidR="008A4099" w:rsidRDefault="006A6EE2">
      <w:pPr>
        <w:pStyle w:val="BodyText"/>
        <w:ind w:left="160" w:right="680"/>
        <w:rPr>
          <w:sz w:val="13"/>
        </w:rPr>
      </w:pPr>
      <w:r>
        <w:t>in</w:t>
      </w:r>
      <w:r>
        <w:rPr>
          <w:spacing w:val="-11"/>
        </w:rPr>
        <w:t xml:space="preserve"> </w:t>
      </w:r>
      <w:r>
        <w:t>police</w:t>
      </w:r>
      <w:r>
        <w:rPr>
          <w:spacing w:val="-12"/>
        </w:rPr>
        <w:t xml:space="preserve"> </w:t>
      </w:r>
      <w:r>
        <w:t>custody,</w:t>
      </w:r>
      <w:r>
        <w:rPr>
          <w:spacing w:val="-13"/>
        </w:rPr>
        <w:t xml:space="preserve"> </w:t>
      </w:r>
      <w:r>
        <w:t>of</w:t>
      </w:r>
      <w:r>
        <w:rPr>
          <w:spacing w:val="-12"/>
        </w:rPr>
        <w:t xml:space="preserve"> </w:t>
      </w:r>
      <w:r>
        <w:t>Aboriginal</w:t>
      </w:r>
      <w:r>
        <w:rPr>
          <w:spacing w:val="-10"/>
        </w:rPr>
        <w:t xml:space="preserve"> </w:t>
      </w:r>
      <w:r>
        <w:t>woman,</w:t>
      </w:r>
      <w:r>
        <w:rPr>
          <w:spacing w:val="-10"/>
        </w:rPr>
        <w:t xml:space="preserve"> </w:t>
      </w:r>
      <w:r>
        <w:t>Tanya</w:t>
      </w:r>
      <w:r>
        <w:rPr>
          <w:spacing w:val="-12"/>
        </w:rPr>
        <w:t xml:space="preserve"> </w:t>
      </w:r>
      <w:r>
        <w:t>Day.</w:t>
      </w:r>
      <w:r>
        <w:rPr>
          <w:spacing w:val="-10"/>
        </w:rPr>
        <w:t xml:space="preserve"> </w:t>
      </w:r>
      <w:r>
        <w:t>The</w:t>
      </w:r>
      <w:r>
        <w:rPr>
          <w:spacing w:val="-10"/>
        </w:rPr>
        <w:t xml:space="preserve"> </w:t>
      </w:r>
      <w:r>
        <w:t>Coroner</w:t>
      </w:r>
      <w:r>
        <w:rPr>
          <w:spacing w:val="-12"/>
        </w:rPr>
        <w:t xml:space="preserve"> </w:t>
      </w:r>
      <w:r>
        <w:t>accepted</w:t>
      </w:r>
      <w:r>
        <w:rPr>
          <w:spacing w:val="-13"/>
        </w:rPr>
        <w:t xml:space="preserve"> </w:t>
      </w:r>
      <w:r>
        <w:t>the</w:t>
      </w:r>
      <w:r>
        <w:rPr>
          <w:spacing w:val="-13"/>
        </w:rPr>
        <w:t xml:space="preserve"> </w:t>
      </w:r>
      <w:r>
        <w:t>VEOHRC’s</w:t>
      </w:r>
      <w:r>
        <w:rPr>
          <w:spacing w:val="-10"/>
        </w:rPr>
        <w:t xml:space="preserve"> </w:t>
      </w:r>
      <w:r>
        <w:t>submission that this case raised issues about whether systemic racism had contributed to Ms Day’s death.</w:t>
      </w:r>
      <w:r>
        <w:rPr>
          <w:position w:val="7"/>
          <w:sz w:val="13"/>
        </w:rPr>
        <w:t>273</w:t>
      </w:r>
    </w:p>
    <w:p w14:paraId="7CB25FB6" w14:textId="77777777" w:rsidR="008A4099" w:rsidRDefault="006A6EE2">
      <w:pPr>
        <w:pStyle w:val="Heading4"/>
        <w:spacing w:line="278" w:lineRule="auto"/>
        <w:ind w:right="679"/>
      </w:pPr>
      <w:bookmarkStart w:id="26" w:name="_TOC_250034"/>
      <w:r>
        <w:t>Human Rights enactments can provide a framework to allow for the balancing of rights, and</w:t>
      </w:r>
      <w:bookmarkEnd w:id="26"/>
      <w:r>
        <w:t xml:space="preserve"> influencing public discourse and policy outcomes</w:t>
      </w:r>
    </w:p>
    <w:p w14:paraId="7CB25FB7" w14:textId="77777777" w:rsidR="008A4099" w:rsidRDefault="006A6EE2">
      <w:pPr>
        <w:pStyle w:val="ListParagraph"/>
        <w:numPr>
          <w:ilvl w:val="2"/>
          <w:numId w:val="6"/>
        </w:numPr>
        <w:tabs>
          <w:tab w:val="left" w:pos="879"/>
        </w:tabs>
        <w:spacing w:before="217"/>
        <w:ind w:right="676" w:firstLine="0"/>
        <w:jc w:val="both"/>
        <w:rPr>
          <w:sz w:val="13"/>
        </w:rPr>
      </w:pPr>
      <w:r>
        <w:t>A</w:t>
      </w:r>
      <w:r>
        <w:rPr>
          <w:spacing w:val="-3"/>
        </w:rPr>
        <w:t xml:space="preserve"> </w:t>
      </w:r>
      <w:r>
        <w:t>feature</w:t>
      </w:r>
      <w:r>
        <w:rPr>
          <w:spacing w:val="-2"/>
        </w:rPr>
        <w:t xml:space="preserve"> </w:t>
      </w:r>
      <w:r>
        <w:t>of</w:t>
      </w:r>
      <w:r>
        <w:rPr>
          <w:spacing w:val="-4"/>
        </w:rPr>
        <w:t xml:space="preserve"> </w:t>
      </w:r>
      <w:r>
        <w:t>the</w:t>
      </w:r>
      <w:r>
        <w:rPr>
          <w:spacing w:val="-4"/>
        </w:rPr>
        <w:t xml:space="preserve"> </w:t>
      </w:r>
      <w:r>
        <w:t>experiences</w:t>
      </w:r>
      <w:r>
        <w:rPr>
          <w:spacing w:val="-2"/>
        </w:rPr>
        <w:t xml:space="preserve"> </w:t>
      </w:r>
      <w:r>
        <w:t>in</w:t>
      </w:r>
      <w:r>
        <w:rPr>
          <w:spacing w:val="-5"/>
        </w:rPr>
        <w:t xml:space="preserve"> </w:t>
      </w:r>
      <w:r>
        <w:t>jurisdictions</w:t>
      </w:r>
      <w:r>
        <w:rPr>
          <w:spacing w:val="-4"/>
        </w:rPr>
        <w:t xml:space="preserve"> </w:t>
      </w:r>
      <w:r>
        <w:t>with</w:t>
      </w:r>
      <w:r>
        <w:rPr>
          <w:spacing w:val="-2"/>
        </w:rPr>
        <w:t xml:space="preserve"> </w:t>
      </w:r>
      <w:r>
        <w:t>human</w:t>
      </w:r>
      <w:r>
        <w:rPr>
          <w:spacing w:val="-2"/>
        </w:rPr>
        <w:t xml:space="preserve"> </w:t>
      </w:r>
      <w:r>
        <w:t>rights</w:t>
      </w:r>
      <w:r>
        <w:rPr>
          <w:spacing w:val="-2"/>
        </w:rPr>
        <w:t xml:space="preserve"> </w:t>
      </w:r>
      <w:r>
        <w:t>enactments</w:t>
      </w:r>
      <w:r>
        <w:rPr>
          <w:spacing w:val="-4"/>
        </w:rPr>
        <w:t xml:space="preserve"> </w:t>
      </w:r>
      <w:r>
        <w:t>is</w:t>
      </w:r>
      <w:r>
        <w:rPr>
          <w:spacing w:val="-4"/>
        </w:rPr>
        <w:t xml:space="preserve"> </w:t>
      </w:r>
      <w:r>
        <w:t>the</w:t>
      </w:r>
      <w:r>
        <w:rPr>
          <w:spacing w:val="-4"/>
        </w:rPr>
        <w:t xml:space="preserve"> </w:t>
      </w:r>
      <w:r>
        <w:t>ability</w:t>
      </w:r>
      <w:r>
        <w:rPr>
          <w:spacing w:val="-5"/>
        </w:rPr>
        <w:t xml:space="preserve"> </w:t>
      </w:r>
      <w:r>
        <w:t>of</w:t>
      </w:r>
      <w:r>
        <w:rPr>
          <w:spacing w:val="-4"/>
        </w:rPr>
        <w:t xml:space="preserve"> </w:t>
      </w:r>
      <w:r>
        <w:t>that framework to allow for the balancing of rights and influencing public discourse and policy outcomes. In the</w:t>
      </w:r>
      <w:r>
        <w:rPr>
          <w:spacing w:val="-2"/>
        </w:rPr>
        <w:t xml:space="preserve"> </w:t>
      </w:r>
      <w:r>
        <w:t>response to COVID-19 pandemic,</w:t>
      </w:r>
      <w:r>
        <w:rPr>
          <w:spacing w:val="-2"/>
        </w:rPr>
        <w:t xml:space="preserve"> </w:t>
      </w:r>
      <w:r>
        <w:t>as</w:t>
      </w:r>
      <w:r>
        <w:rPr>
          <w:spacing w:val="-2"/>
        </w:rPr>
        <w:t xml:space="preserve"> </w:t>
      </w:r>
      <w:r>
        <w:t>acknowledged,</w:t>
      </w:r>
      <w:r>
        <w:rPr>
          <w:spacing w:val="-2"/>
        </w:rPr>
        <w:t xml:space="preserve"> </w:t>
      </w:r>
      <w:r>
        <w:t>there was tension</w:t>
      </w:r>
      <w:r>
        <w:rPr>
          <w:spacing w:val="-2"/>
        </w:rPr>
        <w:t xml:space="preserve"> </w:t>
      </w:r>
      <w:r>
        <w:t>between</w:t>
      </w:r>
      <w:r>
        <w:rPr>
          <w:spacing w:val="-2"/>
        </w:rPr>
        <w:t xml:space="preserve"> </w:t>
      </w:r>
      <w:r>
        <w:t>the</w:t>
      </w:r>
      <w:r>
        <w:rPr>
          <w:spacing w:val="-2"/>
        </w:rPr>
        <w:t xml:space="preserve"> </w:t>
      </w:r>
      <w:r>
        <w:t>scope of</w:t>
      </w:r>
      <w:r>
        <w:rPr>
          <w:spacing w:val="-2"/>
        </w:rPr>
        <w:t xml:space="preserve"> </w:t>
      </w:r>
      <w:r>
        <w:t>the restrictions imposed, the need to balance different rights, such as the right to life and health, with the right</w:t>
      </w:r>
      <w:r>
        <w:rPr>
          <w:spacing w:val="-11"/>
        </w:rPr>
        <w:t xml:space="preserve"> </w:t>
      </w:r>
      <w:r>
        <w:t>to</w:t>
      </w:r>
      <w:r>
        <w:rPr>
          <w:spacing w:val="-12"/>
        </w:rPr>
        <w:t xml:space="preserve"> </w:t>
      </w:r>
      <w:r>
        <w:t>freedom</w:t>
      </w:r>
      <w:r>
        <w:rPr>
          <w:spacing w:val="-11"/>
        </w:rPr>
        <w:t xml:space="preserve"> </w:t>
      </w:r>
      <w:r>
        <w:t>of</w:t>
      </w:r>
      <w:r>
        <w:rPr>
          <w:spacing w:val="-13"/>
        </w:rPr>
        <w:t xml:space="preserve"> </w:t>
      </w:r>
      <w:r>
        <w:t>movement</w:t>
      </w:r>
      <w:r>
        <w:rPr>
          <w:spacing w:val="-11"/>
        </w:rPr>
        <w:t xml:space="preserve"> </w:t>
      </w:r>
      <w:r>
        <w:t>and</w:t>
      </w:r>
      <w:r>
        <w:rPr>
          <w:spacing w:val="-12"/>
        </w:rPr>
        <w:t xml:space="preserve"> </w:t>
      </w:r>
      <w:r>
        <w:t>association.</w:t>
      </w:r>
      <w:r>
        <w:rPr>
          <w:spacing w:val="-9"/>
        </w:rPr>
        <w:t xml:space="preserve"> </w:t>
      </w:r>
      <w:r>
        <w:t>This</w:t>
      </w:r>
      <w:r>
        <w:rPr>
          <w:spacing w:val="-9"/>
        </w:rPr>
        <w:t xml:space="preserve"> </w:t>
      </w:r>
      <w:r>
        <w:t>was</w:t>
      </w:r>
      <w:r>
        <w:rPr>
          <w:spacing w:val="-12"/>
        </w:rPr>
        <w:t xml:space="preserve"> </w:t>
      </w:r>
      <w:r>
        <w:t>the</w:t>
      </w:r>
      <w:r>
        <w:rPr>
          <w:spacing w:val="-9"/>
        </w:rPr>
        <w:t xml:space="preserve"> </w:t>
      </w:r>
      <w:r>
        <w:t>case</w:t>
      </w:r>
      <w:r>
        <w:rPr>
          <w:spacing w:val="-12"/>
        </w:rPr>
        <w:t xml:space="preserve"> </w:t>
      </w:r>
      <w:r>
        <w:t>for</w:t>
      </w:r>
      <w:r>
        <w:rPr>
          <w:spacing w:val="-11"/>
        </w:rPr>
        <w:t xml:space="preserve"> </w:t>
      </w:r>
      <w:r>
        <w:t>jurisdictions</w:t>
      </w:r>
      <w:r>
        <w:rPr>
          <w:spacing w:val="-12"/>
        </w:rPr>
        <w:t xml:space="preserve"> </w:t>
      </w:r>
      <w:r>
        <w:t>both</w:t>
      </w:r>
      <w:r>
        <w:rPr>
          <w:spacing w:val="-10"/>
        </w:rPr>
        <w:t xml:space="preserve"> </w:t>
      </w:r>
      <w:r>
        <w:t>with</w:t>
      </w:r>
      <w:r>
        <w:rPr>
          <w:spacing w:val="-12"/>
        </w:rPr>
        <w:t xml:space="preserve"> </w:t>
      </w:r>
      <w:r>
        <w:t>and</w:t>
      </w:r>
      <w:r>
        <w:rPr>
          <w:spacing w:val="-12"/>
        </w:rPr>
        <w:t xml:space="preserve"> </w:t>
      </w:r>
      <w:r>
        <w:t>without a</w:t>
      </w:r>
      <w:r>
        <w:rPr>
          <w:spacing w:val="-7"/>
        </w:rPr>
        <w:t xml:space="preserve"> </w:t>
      </w:r>
      <w:r>
        <w:t>human</w:t>
      </w:r>
      <w:r>
        <w:rPr>
          <w:spacing w:val="-7"/>
        </w:rPr>
        <w:t xml:space="preserve"> </w:t>
      </w:r>
      <w:r>
        <w:t>rights</w:t>
      </w:r>
      <w:r>
        <w:rPr>
          <w:spacing w:val="-6"/>
        </w:rPr>
        <w:t xml:space="preserve"> </w:t>
      </w:r>
      <w:r>
        <w:t>enactment.</w:t>
      </w:r>
      <w:r>
        <w:rPr>
          <w:spacing w:val="-8"/>
        </w:rPr>
        <w:t xml:space="preserve"> </w:t>
      </w:r>
      <w:r>
        <w:t>However,</w:t>
      </w:r>
      <w:r>
        <w:rPr>
          <w:spacing w:val="-7"/>
        </w:rPr>
        <w:t xml:space="preserve"> </w:t>
      </w:r>
      <w:r>
        <w:t>it</w:t>
      </w:r>
      <w:r>
        <w:rPr>
          <w:spacing w:val="-6"/>
        </w:rPr>
        <w:t xml:space="preserve"> </w:t>
      </w:r>
      <w:r>
        <w:t>has</w:t>
      </w:r>
      <w:r>
        <w:rPr>
          <w:spacing w:val="-7"/>
        </w:rPr>
        <w:t xml:space="preserve"> </w:t>
      </w:r>
      <w:r>
        <w:t>been</w:t>
      </w:r>
      <w:r>
        <w:rPr>
          <w:spacing w:val="-7"/>
        </w:rPr>
        <w:t xml:space="preserve"> </w:t>
      </w:r>
      <w:r>
        <w:t>suggested</w:t>
      </w:r>
      <w:r>
        <w:rPr>
          <w:spacing w:val="-8"/>
        </w:rPr>
        <w:t xml:space="preserve"> </w:t>
      </w:r>
      <w:r>
        <w:t>that</w:t>
      </w:r>
      <w:r>
        <w:rPr>
          <w:spacing w:val="-6"/>
        </w:rPr>
        <w:t xml:space="preserve"> </w:t>
      </w:r>
      <w:r>
        <w:t>human</w:t>
      </w:r>
      <w:r>
        <w:rPr>
          <w:spacing w:val="-7"/>
        </w:rPr>
        <w:t xml:space="preserve"> </w:t>
      </w:r>
      <w:r>
        <w:t>rights</w:t>
      </w:r>
      <w:r>
        <w:rPr>
          <w:spacing w:val="-7"/>
        </w:rPr>
        <w:t xml:space="preserve"> </w:t>
      </w:r>
      <w:r>
        <w:t>can</w:t>
      </w:r>
      <w:r>
        <w:rPr>
          <w:spacing w:val="-7"/>
        </w:rPr>
        <w:t xml:space="preserve"> </w:t>
      </w:r>
      <w:r>
        <w:t>provide</w:t>
      </w:r>
      <w:r>
        <w:rPr>
          <w:spacing w:val="-7"/>
        </w:rPr>
        <w:t xml:space="preserve"> </w:t>
      </w:r>
      <w:r>
        <w:t>‘a</w:t>
      </w:r>
      <w:r>
        <w:rPr>
          <w:spacing w:val="-7"/>
        </w:rPr>
        <w:t xml:space="preserve"> </w:t>
      </w:r>
      <w:r>
        <w:t xml:space="preserve">framework for making decisions in times of crisis … Human rights not only provide an important check on executive power; they </w:t>
      </w:r>
      <w:r>
        <w:rPr>
          <w:i/>
        </w:rPr>
        <w:t xml:space="preserve">help </w:t>
      </w:r>
      <w:r>
        <w:t>us make emergency decisions that are rational, balance multiple factors, minimise human cost, and prioritise human life’.</w:t>
      </w:r>
      <w:r>
        <w:rPr>
          <w:position w:val="7"/>
          <w:sz w:val="13"/>
        </w:rPr>
        <w:t>274</w:t>
      </w:r>
    </w:p>
    <w:p w14:paraId="7CB25FB8" w14:textId="77777777" w:rsidR="008A4099" w:rsidRDefault="006A6EE2">
      <w:pPr>
        <w:pStyle w:val="ListParagraph"/>
        <w:numPr>
          <w:ilvl w:val="2"/>
          <w:numId w:val="6"/>
        </w:numPr>
        <w:tabs>
          <w:tab w:val="left" w:pos="879"/>
        </w:tabs>
        <w:spacing w:before="216"/>
        <w:ind w:right="675" w:firstLine="0"/>
        <w:jc w:val="both"/>
      </w:pPr>
      <w:r>
        <w:t>The Melbourne Tower Lockdown case study, below, illustrates how</w:t>
      </w:r>
      <w:r>
        <w:rPr>
          <w:spacing w:val="-1"/>
        </w:rPr>
        <w:t xml:space="preserve"> </w:t>
      </w:r>
      <w:r>
        <w:t>the existence of a human rights framework led to reflection and change in the COVID-19 response that had been assessed as being an overreach and contrary to human rights. This case study concerns a residential lockdown in Victoria.</w:t>
      </w:r>
      <w:r>
        <w:rPr>
          <w:spacing w:val="-7"/>
        </w:rPr>
        <w:t xml:space="preserve"> </w:t>
      </w:r>
      <w:r>
        <w:t>While</w:t>
      </w:r>
      <w:r>
        <w:rPr>
          <w:spacing w:val="-7"/>
        </w:rPr>
        <w:t xml:space="preserve"> </w:t>
      </w:r>
      <w:r>
        <w:t>it</w:t>
      </w:r>
      <w:r>
        <w:rPr>
          <w:spacing w:val="-6"/>
        </w:rPr>
        <w:t xml:space="preserve"> </w:t>
      </w:r>
      <w:r>
        <w:t>shows</w:t>
      </w:r>
      <w:r>
        <w:rPr>
          <w:spacing w:val="-10"/>
        </w:rPr>
        <w:t xml:space="preserve"> </w:t>
      </w:r>
      <w:r>
        <w:t>that</w:t>
      </w:r>
      <w:r>
        <w:rPr>
          <w:spacing w:val="-6"/>
        </w:rPr>
        <w:t xml:space="preserve"> </w:t>
      </w:r>
      <w:r>
        <w:t>questions</w:t>
      </w:r>
      <w:r>
        <w:rPr>
          <w:spacing w:val="-4"/>
        </w:rPr>
        <w:t xml:space="preserve"> </w:t>
      </w:r>
      <w:r>
        <w:t>were</w:t>
      </w:r>
      <w:r>
        <w:rPr>
          <w:spacing w:val="-9"/>
        </w:rPr>
        <w:t xml:space="preserve"> </w:t>
      </w:r>
      <w:r>
        <w:t>raised</w:t>
      </w:r>
      <w:r>
        <w:rPr>
          <w:spacing w:val="-10"/>
        </w:rPr>
        <w:t xml:space="preserve"> </w:t>
      </w:r>
      <w:r>
        <w:t>regarding</w:t>
      </w:r>
      <w:r>
        <w:rPr>
          <w:spacing w:val="-7"/>
        </w:rPr>
        <w:t xml:space="preserve"> </w:t>
      </w:r>
      <w:r>
        <w:t>the</w:t>
      </w:r>
      <w:r>
        <w:rPr>
          <w:spacing w:val="-7"/>
        </w:rPr>
        <w:t xml:space="preserve"> </w:t>
      </w:r>
      <w:r>
        <w:t>level</w:t>
      </w:r>
      <w:r>
        <w:rPr>
          <w:spacing w:val="-6"/>
        </w:rPr>
        <w:t xml:space="preserve"> </w:t>
      </w:r>
      <w:r>
        <w:t>of</w:t>
      </w:r>
      <w:r>
        <w:rPr>
          <w:spacing w:val="-6"/>
        </w:rPr>
        <w:t xml:space="preserve"> </w:t>
      </w:r>
      <w:r>
        <w:t>consideration</w:t>
      </w:r>
      <w:r>
        <w:rPr>
          <w:spacing w:val="-7"/>
        </w:rPr>
        <w:t xml:space="preserve"> </w:t>
      </w:r>
      <w:r>
        <w:t>given</w:t>
      </w:r>
      <w:r>
        <w:rPr>
          <w:spacing w:val="-7"/>
        </w:rPr>
        <w:t xml:space="preserve"> </w:t>
      </w:r>
      <w:r>
        <w:t>to</w:t>
      </w:r>
      <w:r>
        <w:rPr>
          <w:spacing w:val="-10"/>
        </w:rPr>
        <w:t xml:space="preserve"> </w:t>
      </w:r>
      <w:r>
        <w:t>human rights</w:t>
      </w:r>
      <w:r>
        <w:rPr>
          <w:spacing w:val="-14"/>
        </w:rPr>
        <w:t xml:space="preserve"> </w:t>
      </w:r>
      <w:r>
        <w:t>in</w:t>
      </w:r>
      <w:r>
        <w:rPr>
          <w:spacing w:val="-14"/>
        </w:rPr>
        <w:t xml:space="preserve"> </w:t>
      </w:r>
      <w:r>
        <w:t>the</w:t>
      </w:r>
      <w:r>
        <w:rPr>
          <w:spacing w:val="-14"/>
        </w:rPr>
        <w:t xml:space="preserve"> </w:t>
      </w:r>
      <w:r>
        <w:t>design</w:t>
      </w:r>
      <w:r>
        <w:rPr>
          <w:spacing w:val="-13"/>
        </w:rPr>
        <w:t xml:space="preserve"> </w:t>
      </w:r>
      <w:r>
        <w:t>and</w:t>
      </w:r>
      <w:r>
        <w:rPr>
          <w:spacing w:val="-12"/>
        </w:rPr>
        <w:t xml:space="preserve"> </w:t>
      </w:r>
      <w:r>
        <w:t>implementation</w:t>
      </w:r>
      <w:r>
        <w:rPr>
          <w:spacing w:val="-13"/>
        </w:rPr>
        <w:t xml:space="preserve"> </w:t>
      </w:r>
      <w:r>
        <w:t>of</w:t>
      </w:r>
      <w:r>
        <w:rPr>
          <w:spacing w:val="-14"/>
        </w:rPr>
        <w:t xml:space="preserve"> </w:t>
      </w:r>
      <w:r>
        <w:t>the</w:t>
      </w:r>
      <w:r>
        <w:rPr>
          <w:spacing w:val="-13"/>
        </w:rPr>
        <w:t xml:space="preserve"> </w:t>
      </w:r>
      <w:r>
        <w:t>immediate</w:t>
      </w:r>
      <w:r>
        <w:rPr>
          <w:spacing w:val="-13"/>
        </w:rPr>
        <w:t xml:space="preserve"> </w:t>
      </w:r>
      <w:r>
        <w:t>lockdown,</w:t>
      </w:r>
      <w:r>
        <w:rPr>
          <w:spacing w:val="-14"/>
        </w:rPr>
        <w:t xml:space="preserve"> </w:t>
      </w:r>
      <w:r>
        <w:t>the</w:t>
      </w:r>
      <w:r>
        <w:rPr>
          <w:spacing w:val="-12"/>
        </w:rPr>
        <w:t xml:space="preserve"> </w:t>
      </w:r>
      <w:r>
        <w:t>subsequent</w:t>
      </w:r>
      <w:r>
        <w:rPr>
          <w:spacing w:val="-14"/>
        </w:rPr>
        <w:t xml:space="preserve"> </w:t>
      </w:r>
      <w:r>
        <w:t>scrutiny</w:t>
      </w:r>
      <w:r>
        <w:rPr>
          <w:spacing w:val="-13"/>
        </w:rPr>
        <w:t xml:space="preserve"> </w:t>
      </w:r>
      <w:r>
        <w:t>of</w:t>
      </w:r>
      <w:r>
        <w:rPr>
          <w:spacing w:val="-13"/>
        </w:rPr>
        <w:t xml:space="preserve"> </w:t>
      </w:r>
      <w:r>
        <w:t>its</w:t>
      </w:r>
      <w:r>
        <w:rPr>
          <w:spacing w:val="-13"/>
        </w:rPr>
        <w:t xml:space="preserve"> </w:t>
      </w:r>
      <w:r>
        <w:t>effect on</w:t>
      </w:r>
      <w:r>
        <w:rPr>
          <w:spacing w:val="-1"/>
        </w:rPr>
        <w:t xml:space="preserve"> </w:t>
      </w:r>
      <w:r>
        <w:t>human</w:t>
      </w:r>
      <w:r>
        <w:rPr>
          <w:spacing w:val="-3"/>
        </w:rPr>
        <w:t xml:space="preserve"> </w:t>
      </w:r>
      <w:r>
        <w:t>rights</w:t>
      </w:r>
      <w:r>
        <w:rPr>
          <w:spacing w:val="-1"/>
        </w:rPr>
        <w:t xml:space="preserve"> </w:t>
      </w:r>
      <w:r>
        <w:t>arguably</w:t>
      </w:r>
      <w:r>
        <w:rPr>
          <w:spacing w:val="-1"/>
        </w:rPr>
        <w:t xml:space="preserve"> </w:t>
      </w:r>
      <w:r>
        <w:t>contributed</w:t>
      </w:r>
      <w:r>
        <w:rPr>
          <w:spacing w:val="-1"/>
        </w:rPr>
        <w:t xml:space="preserve"> </w:t>
      </w:r>
      <w:r>
        <w:t>to</w:t>
      </w:r>
      <w:r>
        <w:rPr>
          <w:spacing w:val="-1"/>
        </w:rPr>
        <w:t xml:space="preserve"> </w:t>
      </w:r>
      <w:r>
        <w:t>improvements</w:t>
      </w:r>
      <w:r>
        <w:rPr>
          <w:spacing w:val="-3"/>
        </w:rPr>
        <w:t xml:space="preserve"> </w:t>
      </w:r>
      <w:r>
        <w:t>in</w:t>
      </w:r>
      <w:r>
        <w:rPr>
          <w:spacing w:val="-1"/>
        </w:rPr>
        <w:t xml:space="preserve"> </w:t>
      </w:r>
      <w:r>
        <w:t>later approaches</w:t>
      </w:r>
      <w:r>
        <w:rPr>
          <w:spacing w:val="-3"/>
        </w:rPr>
        <w:t xml:space="preserve"> </w:t>
      </w:r>
      <w:r>
        <w:t>to</w:t>
      </w:r>
      <w:r>
        <w:rPr>
          <w:spacing w:val="-1"/>
        </w:rPr>
        <w:t xml:space="preserve"> </w:t>
      </w:r>
      <w:r>
        <w:t>localised</w:t>
      </w:r>
      <w:r>
        <w:rPr>
          <w:spacing w:val="-1"/>
        </w:rPr>
        <w:t xml:space="preserve"> </w:t>
      </w:r>
      <w:r>
        <w:t>lockdowns</w:t>
      </w:r>
      <w:r>
        <w:rPr>
          <w:spacing w:val="-1"/>
        </w:rPr>
        <w:t xml:space="preserve"> </w:t>
      </w:r>
      <w:r>
        <w:t>and the provision of ongoing support to affected communities. Further, the Victorian experience indicates that human rights enactments do not diminish parliamentary sovereignty or unduly fetter Parliament’s ability to tackle emergency situations. However, they do have the potential to improve the prospect of retrospective</w:t>
      </w:r>
      <w:r>
        <w:rPr>
          <w:spacing w:val="-1"/>
        </w:rPr>
        <w:t xml:space="preserve"> </w:t>
      </w:r>
      <w:r>
        <w:t>human</w:t>
      </w:r>
      <w:r>
        <w:rPr>
          <w:spacing w:val="-3"/>
        </w:rPr>
        <w:t xml:space="preserve"> </w:t>
      </w:r>
      <w:r>
        <w:t>rights</w:t>
      </w:r>
      <w:r>
        <w:rPr>
          <w:spacing w:val="-3"/>
        </w:rPr>
        <w:t xml:space="preserve"> </w:t>
      </w:r>
      <w:r>
        <w:t>analysis</w:t>
      </w:r>
      <w:r>
        <w:rPr>
          <w:spacing w:val="-1"/>
        </w:rPr>
        <w:t xml:space="preserve"> </w:t>
      </w:r>
      <w:r>
        <w:t>and</w:t>
      </w:r>
      <w:r>
        <w:rPr>
          <w:spacing w:val="-4"/>
        </w:rPr>
        <w:t xml:space="preserve"> </w:t>
      </w:r>
      <w:r>
        <w:t>the</w:t>
      </w:r>
      <w:r>
        <w:rPr>
          <w:spacing w:val="-3"/>
        </w:rPr>
        <w:t xml:space="preserve"> </w:t>
      </w:r>
      <w:r>
        <w:t>commitment to</w:t>
      </w:r>
      <w:r>
        <w:rPr>
          <w:spacing w:val="-4"/>
        </w:rPr>
        <w:t xml:space="preserve"> </w:t>
      </w:r>
      <w:r>
        <w:t>implement</w:t>
      </w:r>
      <w:r>
        <w:rPr>
          <w:spacing w:val="-3"/>
        </w:rPr>
        <w:t xml:space="preserve"> </w:t>
      </w:r>
      <w:r>
        <w:t>any</w:t>
      </w:r>
      <w:r>
        <w:rPr>
          <w:spacing w:val="-1"/>
        </w:rPr>
        <w:t xml:space="preserve"> </w:t>
      </w:r>
      <w:r>
        <w:t>human</w:t>
      </w:r>
      <w:r>
        <w:rPr>
          <w:spacing w:val="-4"/>
        </w:rPr>
        <w:t xml:space="preserve"> </w:t>
      </w:r>
      <w:r>
        <w:t>rights</w:t>
      </w:r>
      <w:r>
        <w:rPr>
          <w:spacing w:val="-3"/>
        </w:rPr>
        <w:t xml:space="preserve"> </w:t>
      </w:r>
      <w:r>
        <w:t>lessons</w:t>
      </w:r>
      <w:r>
        <w:rPr>
          <w:spacing w:val="-3"/>
        </w:rPr>
        <w:t xml:space="preserve"> </w:t>
      </w:r>
      <w:r>
        <w:t>learnt from earlier experience.</w:t>
      </w:r>
    </w:p>
    <w:p w14:paraId="7CB25FB9" w14:textId="77777777" w:rsidR="008A4099" w:rsidRDefault="006A6EE2">
      <w:pPr>
        <w:pStyle w:val="BodyText"/>
        <w:spacing w:before="5"/>
        <w:rPr>
          <w:sz w:val="18"/>
        </w:rPr>
      </w:pPr>
      <w:r>
        <w:rPr>
          <w:noProof/>
        </w:rPr>
        <mc:AlternateContent>
          <mc:Choice Requires="wps">
            <w:drawing>
              <wp:anchor distT="0" distB="0" distL="0" distR="0" simplePos="0" relativeHeight="487609344" behindDoc="1" locked="0" layoutInCell="1" allowOverlap="1" wp14:anchorId="7CB2662D" wp14:editId="7CB2662E">
                <wp:simplePos x="0" y="0"/>
                <wp:positionH relativeFrom="page">
                  <wp:posOffset>896416</wp:posOffset>
                </wp:positionH>
                <wp:positionV relativeFrom="paragraph">
                  <wp:posOffset>149929</wp:posOffset>
                </wp:positionV>
                <wp:extent cx="5769610" cy="3002915"/>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3002915"/>
                        </a:xfrm>
                        <a:prstGeom prst="rect">
                          <a:avLst/>
                        </a:prstGeom>
                        <a:solidFill>
                          <a:srgbClr val="E8E8E8"/>
                        </a:solidFill>
                      </wps:spPr>
                      <wps:txbx>
                        <w:txbxContent>
                          <w:p w14:paraId="7CB2675D" w14:textId="77777777" w:rsidR="008A4099" w:rsidRDefault="008A4099">
                            <w:pPr>
                              <w:pStyle w:val="BodyText"/>
                              <w:spacing w:before="1"/>
                              <w:rPr>
                                <w:color w:val="000000"/>
                                <w:sz w:val="23"/>
                              </w:rPr>
                            </w:pPr>
                          </w:p>
                          <w:p w14:paraId="7CB2675E" w14:textId="77777777" w:rsidR="008A4099" w:rsidRDefault="006A6EE2">
                            <w:pPr>
                              <w:ind w:left="28"/>
                              <w:jc w:val="both"/>
                              <w:rPr>
                                <w:b/>
                                <w:color w:val="000000"/>
                                <w:sz w:val="23"/>
                              </w:rPr>
                            </w:pPr>
                            <w:r>
                              <w:rPr>
                                <w:b/>
                                <w:color w:val="000000"/>
                                <w:sz w:val="23"/>
                              </w:rPr>
                              <w:t>CASE</w:t>
                            </w:r>
                            <w:r>
                              <w:rPr>
                                <w:b/>
                                <w:color w:val="000000"/>
                                <w:spacing w:val="-3"/>
                                <w:sz w:val="23"/>
                              </w:rPr>
                              <w:t xml:space="preserve"> </w:t>
                            </w:r>
                            <w:r>
                              <w:rPr>
                                <w:b/>
                                <w:color w:val="000000"/>
                                <w:sz w:val="23"/>
                              </w:rPr>
                              <w:t>STUDY:</w:t>
                            </w:r>
                            <w:r>
                              <w:rPr>
                                <w:b/>
                                <w:color w:val="000000"/>
                                <w:spacing w:val="-2"/>
                                <w:sz w:val="23"/>
                              </w:rPr>
                              <w:t xml:space="preserve"> </w:t>
                            </w:r>
                            <w:r>
                              <w:rPr>
                                <w:b/>
                                <w:color w:val="000000"/>
                                <w:sz w:val="23"/>
                              </w:rPr>
                              <w:t>MELBOURNE</w:t>
                            </w:r>
                            <w:r>
                              <w:rPr>
                                <w:b/>
                                <w:color w:val="000000"/>
                                <w:spacing w:val="-2"/>
                                <w:sz w:val="23"/>
                              </w:rPr>
                              <w:t xml:space="preserve"> </w:t>
                            </w:r>
                            <w:r>
                              <w:rPr>
                                <w:b/>
                                <w:color w:val="000000"/>
                                <w:sz w:val="23"/>
                              </w:rPr>
                              <w:t>TOWER</w:t>
                            </w:r>
                            <w:r>
                              <w:rPr>
                                <w:b/>
                                <w:color w:val="000000"/>
                                <w:spacing w:val="-2"/>
                                <w:sz w:val="23"/>
                              </w:rPr>
                              <w:t xml:space="preserve"> LOCKDOWN</w:t>
                            </w:r>
                          </w:p>
                          <w:p w14:paraId="7CB2675F" w14:textId="77777777" w:rsidR="008A4099" w:rsidRDefault="006A6EE2">
                            <w:pPr>
                              <w:pStyle w:val="BodyText"/>
                              <w:spacing w:before="242"/>
                              <w:ind w:left="28" w:right="28"/>
                              <w:jc w:val="both"/>
                              <w:rPr>
                                <w:color w:val="000000"/>
                              </w:rPr>
                            </w:pPr>
                            <w:r>
                              <w:rPr>
                                <w:color w:val="000000"/>
                              </w:rPr>
                              <w:t>On</w:t>
                            </w:r>
                            <w:r>
                              <w:rPr>
                                <w:color w:val="000000"/>
                                <w:spacing w:val="-4"/>
                              </w:rPr>
                              <w:t xml:space="preserve"> </w:t>
                            </w:r>
                            <w:r>
                              <w:rPr>
                                <w:color w:val="000000"/>
                              </w:rPr>
                              <w:t>4</w:t>
                            </w:r>
                            <w:r>
                              <w:rPr>
                                <w:color w:val="000000"/>
                                <w:spacing w:val="-4"/>
                              </w:rPr>
                              <w:t xml:space="preserve"> </w:t>
                            </w:r>
                            <w:r>
                              <w:rPr>
                                <w:color w:val="000000"/>
                              </w:rPr>
                              <w:t>July</w:t>
                            </w:r>
                            <w:r>
                              <w:rPr>
                                <w:color w:val="000000"/>
                                <w:spacing w:val="-4"/>
                              </w:rPr>
                              <w:t xml:space="preserve"> </w:t>
                            </w:r>
                            <w:r>
                              <w:rPr>
                                <w:color w:val="000000"/>
                              </w:rPr>
                              <w:t>2020,</w:t>
                            </w:r>
                            <w:r>
                              <w:rPr>
                                <w:color w:val="000000"/>
                                <w:spacing w:val="-4"/>
                              </w:rPr>
                              <w:t xml:space="preserve"> </w:t>
                            </w:r>
                            <w:r>
                              <w:rPr>
                                <w:color w:val="000000"/>
                              </w:rPr>
                              <w:t>in</w:t>
                            </w:r>
                            <w:r>
                              <w:rPr>
                                <w:color w:val="000000"/>
                                <w:spacing w:val="-4"/>
                              </w:rPr>
                              <w:t xml:space="preserve"> </w:t>
                            </w:r>
                            <w:r>
                              <w:rPr>
                                <w:color w:val="000000"/>
                              </w:rPr>
                              <w:t>response</w:t>
                            </w:r>
                            <w:r>
                              <w:rPr>
                                <w:color w:val="000000"/>
                                <w:spacing w:val="-6"/>
                              </w:rPr>
                              <w:t xml:space="preserve"> </w:t>
                            </w:r>
                            <w:r>
                              <w:rPr>
                                <w:color w:val="000000"/>
                              </w:rPr>
                              <w:t>to</w:t>
                            </w:r>
                            <w:r>
                              <w:rPr>
                                <w:color w:val="000000"/>
                                <w:spacing w:val="-4"/>
                              </w:rPr>
                              <w:t xml:space="preserve"> </w:t>
                            </w:r>
                            <w:r>
                              <w:rPr>
                                <w:color w:val="000000"/>
                              </w:rPr>
                              <w:t>a</w:t>
                            </w:r>
                            <w:r>
                              <w:rPr>
                                <w:color w:val="000000"/>
                                <w:spacing w:val="-4"/>
                              </w:rPr>
                              <w:t xml:space="preserve"> </w:t>
                            </w:r>
                            <w:r>
                              <w:rPr>
                                <w:color w:val="000000"/>
                              </w:rPr>
                              <w:t>significant</w:t>
                            </w:r>
                            <w:r>
                              <w:rPr>
                                <w:color w:val="000000"/>
                                <w:spacing w:val="-4"/>
                              </w:rPr>
                              <w:t xml:space="preserve"> </w:t>
                            </w:r>
                            <w:r>
                              <w:rPr>
                                <w:color w:val="000000"/>
                              </w:rPr>
                              <w:t>outbreak</w:t>
                            </w:r>
                            <w:r>
                              <w:rPr>
                                <w:color w:val="000000"/>
                                <w:spacing w:val="-4"/>
                              </w:rPr>
                              <w:t xml:space="preserve"> </w:t>
                            </w:r>
                            <w:r>
                              <w:rPr>
                                <w:color w:val="000000"/>
                              </w:rPr>
                              <w:t>of</w:t>
                            </w:r>
                            <w:r>
                              <w:rPr>
                                <w:color w:val="000000"/>
                                <w:spacing w:val="-5"/>
                              </w:rPr>
                              <w:t xml:space="preserve"> </w:t>
                            </w:r>
                            <w:r>
                              <w:rPr>
                                <w:color w:val="000000"/>
                              </w:rPr>
                              <w:t>COVID-19</w:t>
                            </w:r>
                            <w:r>
                              <w:rPr>
                                <w:color w:val="000000"/>
                                <w:spacing w:val="-4"/>
                              </w:rPr>
                              <w:t xml:space="preserve"> </w:t>
                            </w:r>
                            <w:r>
                              <w:rPr>
                                <w:color w:val="000000"/>
                              </w:rPr>
                              <w:t>amongst</w:t>
                            </w:r>
                            <w:r>
                              <w:rPr>
                                <w:color w:val="000000"/>
                                <w:spacing w:val="-3"/>
                              </w:rPr>
                              <w:t xml:space="preserve"> </w:t>
                            </w:r>
                            <w:r>
                              <w:rPr>
                                <w:color w:val="000000"/>
                              </w:rPr>
                              <w:t>residents</w:t>
                            </w:r>
                            <w:r>
                              <w:rPr>
                                <w:color w:val="000000"/>
                                <w:spacing w:val="-4"/>
                              </w:rPr>
                              <w:t xml:space="preserve"> </w:t>
                            </w:r>
                            <w:r>
                              <w:rPr>
                                <w:color w:val="000000"/>
                              </w:rPr>
                              <w:t>of</w:t>
                            </w:r>
                            <w:r>
                              <w:rPr>
                                <w:color w:val="000000"/>
                                <w:spacing w:val="-4"/>
                              </w:rPr>
                              <w:t xml:space="preserve"> </w:t>
                            </w:r>
                            <w:r>
                              <w:rPr>
                                <w:color w:val="000000"/>
                              </w:rPr>
                              <w:t>10</w:t>
                            </w:r>
                            <w:r>
                              <w:rPr>
                                <w:color w:val="000000"/>
                                <w:spacing w:val="-3"/>
                              </w:rPr>
                              <w:t xml:space="preserve"> </w:t>
                            </w:r>
                            <w:r>
                              <w:rPr>
                                <w:color w:val="000000"/>
                              </w:rPr>
                              <w:t>residential towers in North Melbourne and Flemington, the Deputy Chief Health Officer issued directions that prevented the 3,400 residents from leaving the towers.</w:t>
                            </w:r>
                          </w:p>
                          <w:p w14:paraId="7CB26760" w14:textId="77777777" w:rsidR="008A4099" w:rsidRDefault="006A6EE2">
                            <w:pPr>
                              <w:pStyle w:val="BodyText"/>
                              <w:spacing w:before="217" w:line="244" w:lineRule="auto"/>
                              <w:ind w:left="28" w:right="26"/>
                              <w:jc w:val="both"/>
                              <w:rPr>
                                <w:color w:val="000000"/>
                              </w:rPr>
                            </w:pPr>
                            <w:r>
                              <w:rPr>
                                <w:color w:val="000000"/>
                              </w:rPr>
                              <w:t>The</w:t>
                            </w:r>
                            <w:r>
                              <w:rPr>
                                <w:color w:val="000000"/>
                                <w:spacing w:val="-2"/>
                              </w:rPr>
                              <w:t xml:space="preserve"> </w:t>
                            </w:r>
                            <w:r>
                              <w:rPr>
                                <w:color w:val="000000"/>
                              </w:rPr>
                              <w:t>restrictions</w:t>
                            </w:r>
                            <w:r>
                              <w:rPr>
                                <w:color w:val="000000"/>
                                <w:spacing w:val="-2"/>
                              </w:rPr>
                              <w:t xml:space="preserve"> </w:t>
                            </w:r>
                            <w:r>
                              <w:rPr>
                                <w:color w:val="000000"/>
                              </w:rPr>
                              <w:t>were</w:t>
                            </w:r>
                            <w:r>
                              <w:rPr>
                                <w:color w:val="000000"/>
                                <w:spacing w:val="-2"/>
                              </w:rPr>
                              <w:t xml:space="preserve"> </w:t>
                            </w:r>
                            <w:r>
                              <w:rPr>
                                <w:color w:val="000000"/>
                              </w:rPr>
                              <w:t>announced</w:t>
                            </w:r>
                            <w:r>
                              <w:rPr>
                                <w:color w:val="000000"/>
                                <w:spacing w:val="-2"/>
                              </w:rPr>
                              <w:t xml:space="preserve"> </w:t>
                            </w:r>
                            <w:r>
                              <w:rPr>
                                <w:color w:val="000000"/>
                              </w:rPr>
                              <w:t>by</w:t>
                            </w:r>
                            <w:r>
                              <w:rPr>
                                <w:color w:val="000000"/>
                                <w:spacing w:val="-2"/>
                              </w:rPr>
                              <w:t xml:space="preserve"> </w:t>
                            </w:r>
                            <w:r>
                              <w:rPr>
                                <w:color w:val="000000"/>
                              </w:rPr>
                              <w:t>the</w:t>
                            </w:r>
                            <w:r>
                              <w:rPr>
                                <w:color w:val="000000"/>
                                <w:spacing w:val="-2"/>
                              </w:rPr>
                              <w:t xml:space="preserve"> </w:t>
                            </w:r>
                            <w:r>
                              <w:rPr>
                                <w:color w:val="000000"/>
                              </w:rPr>
                              <w:t>Premier</w:t>
                            </w:r>
                            <w:r>
                              <w:rPr>
                                <w:color w:val="000000"/>
                                <w:spacing w:val="-1"/>
                              </w:rPr>
                              <w:t xml:space="preserve"> </w:t>
                            </w:r>
                            <w:r>
                              <w:rPr>
                                <w:color w:val="000000"/>
                              </w:rPr>
                              <w:t>at</w:t>
                            </w:r>
                            <w:r>
                              <w:rPr>
                                <w:color w:val="000000"/>
                                <w:spacing w:val="-1"/>
                              </w:rPr>
                              <w:t xml:space="preserve"> </w:t>
                            </w:r>
                            <w:r>
                              <w:rPr>
                                <w:color w:val="000000"/>
                              </w:rPr>
                              <w:t>a</w:t>
                            </w:r>
                            <w:r>
                              <w:rPr>
                                <w:color w:val="000000"/>
                                <w:spacing w:val="-2"/>
                              </w:rPr>
                              <w:t xml:space="preserve"> </w:t>
                            </w:r>
                            <w:r>
                              <w:rPr>
                                <w:color w:val="000000"/>
                              </w:rPr>
                              <w:t>press</w:t>
                            </w:r>
                            <w:r>
                              <w:rPr>
                                <w:color w:val="000000"/>
                                <w:spacing w:val="-2"/>
                              </w:rPr>
                              <w:t xml:space="preserve"> </w:t>
                            </w:r>
                            <w:r>
                              <w:rPr>
                                <w:color w:val="000000"/>
                              </w:rPr>
                              <w:t>conference</w:t>
                            </w:r>
                            <w:r>
                              <w:rPr>
                                <w:color w:val="000000"/>
                                <w:spacing w:val="-2"/>
                              </w:rPr>
                              <w:t xml:space="preserve"> </w:t>
                            </w:r>
                            <w:r>
                              <w:rPr>
                                <w:color w:val="000000"/>
                              </w:rPr>
                              <w:t>at</w:t>
                            </w:r>
                            <w:r>
                              <w:rPr>
                                <w:color w:val="000000"/>
                                <w:spacing w:val="-1"/>
                              </w:rPr>
                              <w:t xml:space="preserve"> </w:t>
                            </w:r>
                            <w:r>
                              <w:rPr>
                                <w:color w:val="000000"/>
                              </w:rPr>
                              <w:t>4.00 pm</w:t>
                            </w:r>
                            <w:r>
                              <w:rPr>
                                <w:color w:val="000000"/>
                                <w:spacing w:val="-1"/>
                              </w:rPr>
                              <w:t xml:space="preserve"> </w:t>
                            </w:r>
                            <w:r>
                              <w:rPr>
                                <w:color w:val="000000"/>
                              </w:rPr>
                              <w:t>and</w:t>
                            </w:r>
                            <w:r>
                              <w:rPr>
                                <w:color w:val="000000"/>
                                <w:spacing w:val="-2"/>
                              </w:rPr>
                              <w:t xml:space="preserve"> </w:t>
                            </w:r>
                            <w:r>
                              <w:rPr>
                                <w:color w:val="000000"/>
                              </w:rPr>
                              <w:t>were</w:t>
                            </w:r>
                            <w:r>
                              <w:rPr>
                                <w:color w:val="000000"/>
                                <w:spacing w:val="-2"/>
                              </w:rPr>
                              <w:t xml:space="preserve"> </w:t>
                            </w:r>
                            <w:r>
                              <w:rPr>
                                <w:color w:val="000000"/>
                              </w:rPr>
                              <w:t>said</w:t>
                            </w:r>
                            <w:r>
                              <w:rPr>
                                <w:color w:val="000000"/>
                                <w:spacing w:val="-2"/>
                              </w:rPr>
                              <w:t xml:space="preserve"> </w:t>
                            </w:r>
                            <w:r>
                              <w:rPr>
                                <w:color w:val="000000"/>
                              </w:rPr>
                              <w:t>to</w:t>
                            </w:r>
                            <w:r>
                              <w:rPr>
                                <w:color w:val="000000"/>
                                <w:spacing w:val="-5"/>
                              </w:rPr>
                              <w:t xml:space="preserve"> </w:t>
                            </w:r>
                            <w:r>
                              <w:rPr>
                                <w:color w:val="000000"/>
                              </w:rPr>
                              <w:t>take effect immediately.</w:t>
                            </w:r>
                          </w:p>
                          <w:p w14:paraId="7CB26761" w14:textId="77777777" w:rsidR="008A4099" w:rsidRDefault="006A6EE2">
                            <w:pPr>
                              <w:pStyle w:val="BodyText"/>
                              <w:spacing w:before="212" w:line="247" w:lineRule="auto"/>
                              <w:ind w:left="28" w:right="26"/>
                              <w:jc w:val="both"/>
                              <w:rPr>
                                <w:color w:val="000000"/>
                              </w:rPr>
                            </w:pPr>
                            <w:r>
                              <w:rPr>
                                <w:color w:val="000000"/>
                              </w:rPr>
                              <w:t>The strict lockdown was enforced by a heavy police presence, with police forming perimeters around the</w:t>
                            </w:r>
                            <w:r>
                              <w:rPr>
                                <w:color w:val="000000"/>
                                <w:spacing w:val="-2"/>
                              </w:rPr>
                              <w:t xml:space="preserve"> </w:t>
                            </w:r>
                            <w:r>
                              <w:rPr>
                                <w:color w:val="000000"/>
                              </w:rPr>
                              <w:t>towers and fencing off</w:t>
                            </w:r>
                            <w:r>
                              <w:rPr>
                                <w:color w:val="000000"/>
                                <w:spacing w:val="-1"/>
                              </w:rPr>
                              <w:t xml:space="preserve"> </w:t>
                            </w:r>
                            <w:r>
                              <w:rPr>
                                <w:color w:val="000000"/>
                              </w:rPr>
                              <w:t>designated</w:t>
                            </w:r>
                            <w:r>
                              <w:rPr>
                                <w:color w:val="000000"/>
                                <w:spacing w:val="-2"/>
                              </w:rPr>
                              <w:t xml:space="preserve"> </w:t>
                            </w:r>
                            <w:r>
                              <w:rPr>
                                <w:color w:val="000000"/>
                              </w:rPr>
                              <w:t>areas with</w:t>
                            </w:r>
                            <w:r>
                              <w:rPr>
                                <w:color w:val="000000"/>
                                <w:spacing w:val="-2"/>
                              </w:rPr>
                              <w:t xml:space="preserve"> </w:t>
                            </w:r>
                            <w:r>
                              <w:rPr>
                                <w:color w:val="000000"/>
                              </w:rPr>
                              <w:t>barbed wire. Residents,</w:t>
                            </w:r>
                            <w:r>
                              <w:rPr>
                                <w:color w:val="000000"/>
                                <w:spacing w:val="-2"/>
                              </w:rPr>
                              <w:t xml:space="preserve"> </w:t>
                            </w:r>
                            <w:r>
                              <w:rPr>
                                <w:color w:val="000000"/>
                              </w:rPr>
                              <w:t>many of</w:t>
                            </w:r>
                            <w:r>
                              <w:rPr>
                                <w:color w:val="000000"/>
                                <w:spacing w:val="-2"/>
                              </w:rPr>
                              <w:t xml:space="preserve"> </w:t>
                            </w:r>
                            <w:r>
                              <w:rPr>
                                <w:color w:val="000000"/>
                              </w:rPr>
                              <w:t>whom did not</w:t>
                            </w:r>
                            <w:r>
                              <w:rPr>
                                <w:color w:val="000000"/>
                                <w:spacing w:val="-1"/>
                              </w:rPr>
                              <w:t xml:space="preserve"> </w:t>
                            </w:r>
                            <w:r>
                              <w:rPr>
                                <w:color w:val="000000"/>
                              </w:rPr>
                              <w:t>speak English as a first language, were not given an adequate explanation of the scope or purpose of the lockdown until several days after the restrictions were imposed.</w:t>
                            </w:r>
                            <w:r>
                              <w:rPr>
                                <w:color w:val="000000"/>
                                <w:vertAlign w:val="superscript"/>
                              </w:rPr>
                              <w:t>275</w:t>
                            </w:r>
                          </w:p>
                          <w:p w14:paraId="7CB26762" w14:textId="77777777" w:rsidR="008A4099" w:rsidRDefault="006A6EE2">
                            <w:pPr>
                              <w:pStyle w:val="BodyText"/>
                              <w:spacing w:before="208" w:line="249" w:lineRule="auto"/>
                              <w:ind w:left="28" w:right="33"/>
                              <w:jc w:val="both"/>
                              <w:rPr>
                                <w:color w:val="000000"/>
                              </w:rPr>
                            </w:pPr>
                            <w:r>
                              <w:rPr>
                                <w:color w:val="000000"/>
                              </w:rPr>
                              <w:t>The quick implementation of the lockdown caused concerns about access to food, health, and social services by detained</w:t>
                            </w:r>
                            <w:r>
                              <w:rPr>
                                <w:color w:val="000000"/>
                                <w:spacing w:val="-2"/>
                              </w:rPr>
                              <w:t xml:space="preserve"> </w:t>
                            </w:r>
                            <w:r>
                              <w:rPr>
                                <w:color w:val="000000"/>
                              </w:rPr>
                              <w:t>residents, as well as</w:t>
                            </w:r>
                            <w:r>
                              <w:rPr>
                                <w:color w:val="000000"/>
                                <w:spacing w:val="-2"/>
                              </w:rPr>
                              <w:t xml:space="preserve"> </w:t>
                            </w:r>
                            <w:r>
                              <w:rPr>
                                <w:color w:val="000000"/>
                              </w:rPr>
                              <w:t>the use of</w:t>
                            </w:r>
                            <w:r>
                              <w:rPr>
                                <w:color w:val="000000"/>
                                <w:spacing w:val="-2"/>
                              </w:rPr>
                              <w:t xml:space="preserve"> </w:t>
                            </w:r>
                            <w:r>
                              <w:rPr>
                                <w:color w:val="000000"/>
                              </w:rPr>
                              <w:t>interpreters</w:t>
                            </w:r>
                            <w:r>
                              <w:rPr>
                                <w:color w:val="000000"/>
                                <w:spacing w:val="-2"/>
                              </w:rPr>
                              <w:t xml:space="preserve"> </w:t>
                            </w:r>
                            <w:r>
                              <w:rPr>
                                <w:color w:val="000000"/>
                              </w:rPr>
                              <w:t>and appropriate</w:t>
                            </w:r>
                            <w:r>
                              <w:rPr>
                                <w:color w:val="000000"/>
                                <w:spacing w:val="-2"/>
                              </w:rPr>
                              <w:t xml:space="preserve"> </w:t>
                            </w:r>
                            <w:r>
                              <w:rPr>
                                <w:color w:val="000000"/>
                              </w:rPr>
                              <w:t>engagement strategies to ensure residents understood the rules, public health risks, and availability of support.</w:t>
                            </w:r>
                            <w:r>
                              <w:rPr>
                                <w:color w:val="000000"/>
                                <w:vertAlign w:val="superscript"/>
                              </w:rPr>
                              <w:t>276</w:t>
                            </w:r>
                          </w:p>
                        </w:txbxContent>
                      </wps:txbx>
                      <wps:bodyPr wrap="square" lIns="0" tIns="0" rIns="0" bIns="0" rtlCol="0">
                        <a:noAutofit/>
                      </wps:bodyPr>
                    </wps:wsp>
                  </a:graphicData>
                </a:graphic>
              </wp:anchor>
            </w:drawing>
          </mc:Choice>
          <mc:Fallback>
            <w:pict>
              <v:shapetype w14:anchorId="7CB2662D" id="_x0000_t202" coordsize="21600,21600" o:spt="202" path="m,l,21600r21600,l21600,xe">
                <v:stroke joinstyle="miter"/>
                <v:path gradientshapeok="t" o:connecttype="rect"/>
              </v:shapetype>
              <v:shape id="Textbox 84" o:spid="_x0000_s1026" type="#_x0000_t202" style="position:absolute;margin-left:70.6pt;margin-top:11.8pt;width:454.3pt;height:236.4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" fillcolor="#e8e8e8" stroked="f">
                <v:textbox inset="0,0,0,0">
                  <w:txbxContent>
                    <w:p w14:paraId="7CB2675D" w14:textId="77777777" w:rsidR="008A4099" w:rsidRDefault="008A4099">
                      <w:pPr>
                        <w:pStyle w:val="BodyText"/>
                        <w:spacing w:before="1"/>
                        <w:rPr>
                          <w:color w:val="000000"/>
                          <w:sz w:val="23"/>
                        </w:rPr>
                      </w:pPr>
                    </w:p>
                    <w:p w14:paraId="7CB2675E" w14:textId="77777777" w:rsidR="008A4099" w:rsidRDefault="006A6EE2">
                      <w:pPr>
                        <w:ind w:left="28"/>
                        <w:jc w:val="both"/>
                        <w:rPr>
                          <w:b/>
                          <w:color w:val="000000"/>
                          <w:sz w:val="23"/>
                        </w:rPr>
                      </w:pPr>
                      <w:r>
                        <w:rPr>
                          <w:b/>
                          <w:color w:val="000000"/>
                          <w:sz w:val="23"/>
                        </w:rPr>
                        <w:t>CASE</w:t>
                      </w:r>
                      <w:r>
                        <w:rPr>
                          <w:b/>
                          <w:color w:val="000000"/>
                          <w:spacing w:val="-3"/>
                          <w:sz w:val="23"/>
                        </w:rPr>
                        <w:t xml:space="preserve"> </w:t>
                      </w:r>
                      <w:r>
                        <w:rPr>
                          <w:b/>
                          <w:color w:val="000000"/>
                          <w:sz w:val="23"/>
                        </w:rPr>
                        <w:t>STUDY:</w:t>
                      </w:r>
                      <w:r>
                        <w:rPr>
                          <w:b/>
                          <w:color w:val="000000"/>
                          <w:spacing w:val="-2"/>
                          <w:sz w:val="23"/>
                        </w:rPr>
                        <w:t xml:space="preserve"> </w:t>
                      </w:r>
                      <w:r>
                        <w:rPr>
                          <w:b/>
                          <w:color w:val="000000"/>
                          <w:sz w:val="23"/>
                        </w:rPr>
                        <w:t>MELBOURNE</w:t>
                      </w:r>
                      <w:r>
                        <w:rPr>
                          <w:b/>
                          <w:color w:val="000000"/>
                          <w:spacing w:val="-2"/>
                          <w:sz w:val="23"/>
                        </w:rPr>
                        <w:t xml:space="preserve"> </w:t>
                      </w:r>
                      <w:r>
                        <w:rPr>
                          <w:b/>
                          <w:color w:val="000000"/>
                          <w:sz w:val="23"/>
                        </w:rPr>
                        <w:t>TOWER</w:t>
                      </w:r>
                      <w:r>
                        <w:rPr>
                          <w:b/>
                          <w:color w:val="000000"/>
                          <w:spacing w:val="-2"/>
                          <w:sz w:val="23"/>
                        </w:rPr>
                        <w:t xml:space="preserve"> LOCKDOWN</w:t>
                      </w:r>
                    </w:p>
                    <w:p w14:paraId="7CB2675F" w14:textId="77777777" w:rsidR="008A4099" w:rsidRDefault="006A6EE2">
                      <w:pPr>
                        <w:pStyle w:val="BodyText"/>
                        <w:spacing w:before="242"/>
                        <w:ind w:left="28" w:right="28"/>
                        <w:jc w:val="both"/>
                        <w:rPr>
                          <w:color w:val="000000"/>
                        </w:rPr>
                      </w:pPr>
                      <w:r>
                        <w:rPr>
                          <w:color w:val="000000"/>
                        </w:rPr>
                        <w:t>On</w:t>
                      </w:r>
                      <w:r>
                        <w:rPr>
                          <w:color w:val="000000"/>
                          <w:spacing w:val="-4"/>
                        </w:rPr>
                        <w:t xml:space="preserve"> </w:t>
                      </w:r>
                      <w:r>
                        <w:rPr>
                          <w:color w:val="000000"/>
                        </w:rPr>
                        <w:t>4</w:t>
                      </w:r>
                      <w:r>
                        <w:rPr>
                          <w:color w:val="000000"/>
                          <w:spacing w:val="-4"/>
                        </w:rPr>
                        <w:t xml:space="preserve"> </w:t>
                      </w:r>
                      <w:r>
                        <w:rPr>
                          <w:color w:val="000000"/>
                        </w:rPr>
                        <w:t>July</w:t>
                      </w:r>
                      <w:r>
                        <w:rPr>
                          <w:color w:val="000000"/>
                          <w:spacing w:val="-4"/>
                        </w:rPr>
                        <w:t xml:space="preserve"> </w:t>
                      </w:r>
                      <w:r>
                        <w:rPr>
                          <w:color w:val="000000"/>
                        </w:rPr>
                        <w:t>2020,</w:t>
                      </w:r>
                      <w:r>
                        <w:rPr>
                          <w:color w:val="000000"/>
                          <w:spacing w:val="-4"/>
                        </w:rPr>
                        <w:t xml:space="preserve"> </w:t>
                      </w:r>
                      <w:r>
                        <w:rPr>
                          <w:color w:val="000000"/>
                        </w:rPr>
                        <w:t>in</w:t>
                      </w:r>
                      <w:r>
                        <w:rPr>
                          <w:color w:val="000000"/>
                          <w:spacing w:val="-4"/>
                        </w:rPr>
                        <w:t xml:space="preserve"> </w:t>
                      </w:r>
                      <w:r>
                        <w:rPr>
                          <w:color w:val="000000"/>
                        </w:rPr>
                        <w:t>response</w:t>
                      </w:r>
                      <w:r>
                        <w:rPr>
                          <w:color w:val="000000"/>
                          <w:spacing w:val="-6"/>
                        </w:rPr>
                        <w:t xml:space="preserve"> </w:t>
                      </w:r>
                      <w:r>
                        <w:rPr>
                          <w:color w:val="000000"/>
                        </w:rPr>
                        <w:t>to</w:t>
                      </w:r>
                      <w:r>
                        <w:rPr>
                          <w:color w:val="000000"/>
                          <w:spacing w:val="-4"/>
                        </w:rPr>
                        <w:t xml:space="preserve"> </w:t>
                      </w:r>
                      <w:r>
                        <w:rPr>
                          <w:color w:val="000000"/>
                        </w:rPr>
                        <w:t>a</w:t>
                      </w:r>
                      <w:r>
                        <w:rPr>
                          <w:color w:val="000000"/>
                          <w:spacing w:val="-4"/>
                        </w:rPr>
                        <w:t xml:space="preserve"> </w:t>
                      </w:r>
                      <w:r>
                        <w:rPr>
                          <w:color w:val="000000"/>
                        </w:rPr>
                        <w:t>significant</w:t>
                      </w:r>
                      <w:r>
                        <w:rPr>
                          <w:color w:val="000000"/>
                          <w:spacing w:val="-4"/>
                        </w:rPr>
                        <w:t xml:space="preserve"> </w:t>
                      </w:r>
                      <w:r>
                        <w:rPr>
                          <w:color w:val="000000"/>
                        </w:rPr>
                        <w:t>outbreak</w:t>
                      </w:r>
                      <w:r>
                        <w:rPr>
                          <w:color w:val="000000"/>
                          <w:spacing w:val="-4"/>
                        </w:rPr>
                        <w:t xml:space="preserve"> </w:t>
                      </w:r>
                      <w:r>
                        <w:rPr>
                          <w:color w:val="000000"/>
                        </w:rPr>
                        <w:t>of</w:t>
                      </w:r>
                      <w:r>
                        <w:rPr>
                          <w:color w:val="000000"/>
                          <w:spacing w:val="-5"/>
                        </w:rPr>
                        <w:t xml:space="preserve"> </w:t>
                      </w:r>
                      <w:r>
                        <w:rPr>
                          <w:color w:val="000000"/>
                        </w:rPr>
                        <w:t>COVID-19</w:t>
                      </w:r>
                      <w:r>
                        <w:rPr>
                          <w:color w:val="000000"/>
                          <w:spacing w:val="-4"/>
                        </w:rPr>
                        <w:t xml:space="preserve"> </w:t>
                      </w:r>
                      <w:r>
                        <w:rPr>
                          <w:color w:val="000000"/>
                        </w:rPr>
                        <w:t>amongst</w:t>
                      </w:r>
                      <w:r>
                        <w:rPr>
                          <w:color w:val="000000"/>
                          <w:spacing w:val="-3"/>
                        </w:rPr>
                        <w:t xml:space="preserve"> </w:t>
                      </w:r>
                      <w:r>
                        <w:rPr>
                          <w:color w:val="000000"/>
                        </w:rPr>
                        <w:t>residents</w:t>
                      </w:r>
                      <w:r>
                        <w:rPr>
                          <w:color w:val="000000"/>
                          <w:spacing w:val="-4"/>
                        </w:rPr>
                        <w:t xml:space="preserve"> </w:t>
                      </w:r>
                      <w:r>
                        <w:rPr>
                          <w:color w:val="000000"/>
                        </w:rPr>
                        <w:t>of</w:t>
                      </w:r>
                      <w:r>
                        <w:rPr>
                          <w:color w:val="000000"/>
                          <w:spacing w:val="-4"/>
                        </w:rPr>
                        <w:t xml:space="preserve"> </w:t>
                      </w:r>
                      <w:r>
                        <w:rPr>
                          <w:color w:val="000000"/>
                        </w:rPr>
                        <w:t>10</w:t>
                      </w:r>
                      <w:r>
                        <w:rPr>
                          <w:color w:val="000000"/>
                          <w:spacing w:val="-3"/>
                        </w:rPr>
                        <w:t xml:space="preserve"> </w:t>
                      </w:r>
                      <w:r>
                        <w:rPr>
                          <w:color w:val="000000"/>
                        </w:rPr>
                        <w:t>residential towers in North Melbourne and Flemington, the Deputy Chief Health Officer issued directions that prevented the 3,400 residents from leaving the towers.</w:t>
                      </w:r>
                    </w:p>
                    <w:p w14:paraId="7CB26760" w14:textId="77777777" w:rsidR="008A4099" w:rsidRDefault="006A6EE2">
                      <w:pPr>
                        <w:pStyle w:val="BodyText"/>
                        <w:spacing w:before="217" w:line="244" w:lineRule="auto"/>
                        <w:ind w:left="28" w:right="26"/>
                        <w:jc w:val="both"/>
                        <w:rPr>
                          <w:color w:val="000000"/>
                        </w:rPr>
                      </w:pPr>
                      <w:r>
                        <w:rPr>
                          <w:color w:val="000000"/>
                        </w:rPr>
                        <w:t>The</w:t>
                      </w:r>
                      <w:r>
                        <w:rPr>
                          <w:color w:val="000000"/>
                          <w:spacing w:val="-2"/>
                        </w:rPr>
                        <w:t xml:space="preserve"> </w:t>
                      </w:r>
                      <w:r>
                        <w:rPr>
                          <w:color w:val="000000"/>
                        </w:rPr>
                        <w:t>restrictions</w:t>
                      </w:r>
                      <w:r>
                        <w:rPr>
                          <w:color w:val="000000"/>
                          <w:spacing w:val="-2"/>
                        </w:rPr>
                        <w:t xml:space="preserve"> </w:t>
                      </w:r>
                      <w:r>
                        <w:rPr>
                          <w:color w:val="000000"/>
                        </w:rPr>
                        <w:t>were</w:t>
                      </w:r>
                      <w:r>
                        <w:rPr>
                          <w:color w:val="000000"/>
                          <w:spacing w:val="-2"/>
                        </w:rPr>
                        <w:t xml:space="preserve"> </w:t>
                      </w:r>
                      <w:r>
                        <w:rPr>
                          <w:color w:val="000000"/>
                        </w:rPr>
                        <w:t>announced</w:t>
                      </w:r>
                      <w:r>
                        <w:rPr>
                          <w:color w:val="000000"/>
                          <w:spacing w:val="-2"/>
                        </w:rPr>
                        <w:t xml:space="preserve"> </w:t>
                      </w:r>
                      <w:r>
                        <w:rPr>
                          <w:color w:val="000000"/>
                        </w:rPr>
                        <w:t>by</w:t>
                      </w:r>
                      <w:r>
                        <w:rPr>
                          <w:color w:val="000000"/>
                          <w:spacing w:val="-2"/>
                        </w:rPr>
                        <w:t xml:space="preserve"> </w:t>
                      </w:r>
                      <w:r>
                        <w:rPr>
                          <w:color w:val="000000"/>
                        </w:rPr>
                        <w:t>the</w:t>
                      </w:r>
                      <w:r>
                        <w:rPr>
                          <w:color w:val="000000"/>
                          <w:spacing w:val="-2"/>
                        </w:rPr>
                        <w:t xml:space="preserve"> </w:t>
                      </w:r>
                      <w:r>
                        <w:rPr>
                          <w:color w:val="000000"/>
                        </w:rPr>
                        <w:t>Premier</w:t>
                      </w:r>
                      <w:r>
                        <w:rPr>
                          <w:color w:val="000000"/>
                          <w:spacing w:val="-1"/>
                        </w:rPr>
                        <w:t xml:space="preserve"> </w:t>
                      </w:r>
                      <w:r>
                        <w:rPr>
                          <w:color w:val="000000"/>
                        </w:rPr>
                        <w:t>at</w:t>
                      </w:r>
                      <w:r>
                        <w:rPr>
                          <w:color w:val="000000"/>
                          <w:spacing w:val="-1"/>
                        </w:rPr>
                        <w:t xml:space="preserve"> </w:t>
                      </w:r>
                      <w:r>
                        <w:rPr>
                          <w:color w:val="000000"/>
                        </w:rPr>
                        <w:t>a</w:t>
                      </w:r>
                      <w:r>
                        <w:rPr>
                          <w:color w:val="000000"/>
                          <w:spacing w:val="-2"/>
                        </w:rPr>
                        <w:t xml:space="preserve"> </w:t>
                      </w:r>
                      <w:r>
                        <w:rPr>
                          <w:color w:val="000000"/>
                        </w:rPr>
                        <w:t>press</w:t>
                      </w:r>
                      <w:r>
                        <w:rPr>
                          <w:color w:val="000000"/>
                          <w:spacing w:val="-2"/>
                        </w:rPr>
                        <w:t xml:space="preserve"> </w:t>
                      </w:r>
                      <w:r>
                        <w:rPr>
                          <w:color w:val="000000"/>
                        </w:rPr>
                        <w:t>conference</w:t>
                      </w:r>
                      <w:r>
                        <w:rPr>
                          <w:color w:val="000000"/>
                          <w:spacing w:val="-2"/>
                        </w:rPr>
                        <w:t xml:space="preserve"> </w:t>
                      </w:r>
                      <w:r>
                        <w:rPr>
                          <w:color w:val="000000"/>
                        </w:rPr>
                        <w:t>at</w:t>
                      </w:r>
                      <w:r>
                        <w:rPr>
                          <w:color w:val="000000"/>
                          <w:spacing w:val="-1"/>
                        </w:rPr>
                        <w:t xml:space="preserve"> </w:t>
                      </w:r>
                      <w:r>
                        <w:rPr>
                          <w:color w:val="000000"/>
                        </w:rPr>
                        <w:t>4.00 pm</w:t>
                      </w:r>
                      <w:r>
                        <w:rPr>
                          <w:color w:val="000000"/>
                          <w:spacing w:val="-1"/>
                        </w:rPr>
                        <w:t xml:space="preserve"> </w:t>
                      </w:r>
                      <w:r>
                        <w:rPr>
                          <w:color w:val="000000"/>
                        </w:rPr>
                        <w:t>and</w:t>
                      </w:r>
                      <w:r>
                        <w:rPr>
                          <w:color w:val="000000"/>
                          <w:spacing w:val="-2"/>
                        </w:rPr>
                        <w:t xml:space="preserve"> </w:t>
                      </w:r>
                      <w:r>
                        <w:rPr>
                          <w:color w:val="000000"/>
                        </w:rPr>
                        <w:t>were</w:t>
                      </w:r>
                      <w:r>
                        <w:rPr>
                          <w:color w:val="000000"/>
                          <w:spacing w:val="-2"/>
                        </w:rPr>
                        <w:t xml:space="preserve"> </w:t>
                      </w:r>
                      <w:r>
                        <w:rPr>
                          <w:color w:val="000000"/>
                        </w:rPr>
                        <w:t>said</w:t>
                      </w:r>
                      <w:r>
                        <w:rPr>
                          <w:color w:val="000000"/>
                          <w:spacing w:val="-2"/>
                        </w:rPr>
                        <w:t xml:space="preserve"> </w:t>
                      </w:r>
                      <w:r>
                        <w:rPr>
                          <w:color w:val="000000"/>
                        </w:rPr>
                        <w:t>to</w:t>
                      </w:r>
                      <w:r>
                        <w:rPr>
                          <w:color w:val="000000"/>
                          <w:spacing w:val="-5"/>
                        </w:rPr>
                        <w:t xml:space="preserve"> </w:t>
                      </w:r>
                      <w:r>
                        <w:rPr>
                          <w:color w:val="000000"/>
                        </w:rPr>
                        <w:t>take effect immediately.</w:t>
                      </w:r>
                    </w:p>
                    <w:p w14:paraId="7CB26761" w14:textId="77777777" w:rsidR="008A4099" w:rsidRDefault="006A6EE2">
                      <w:pPr>
                        <w:pStyle w:val="BodyText"/>
                        <w:spacing w:before="212" w:line="247" w:lineRule="auto"/>
                        <w:ind w:left="28" w:right="26"/>
                        <w:jc w:val="both"/>
                        <w:rPr>
                          <w:color w:val="000000"/>
                        </w:rPr>
                      </w:pPr>
                      <w:r>
                        <w:rPr>
                          <w:color w:val="000000"/>
                        </w:rPr>
                        <w:t>The strict lockdown was enforced by a heavy police presence, with police forming perimeters around the</w:t>
                      </w:r>
                      <w:r>
                        <w:rPr>
                          <w:color w:val="000000"/>
                          <w:spacing w:val="-2"/>
                        </w:rPr>
                        <w:t xml:space="preserve"> </w:t>
                      </w:r>
                      <w:r>
                        <w:rPr>
                          <w:color w:val="000000"/>
                        </w:rPr>
                        <w:t>towers and fencing off</w:t>
                      </w:r>
                      <w:r>
                        <w:rPr>
                          <w:color w:val="000000"/>
                          <w:spacing w:val="-1"/>
                        </w:rPr>
                        <w:t xml:space="preserve"> </w:t>
                      </w:r>
                      <w:r>
                        <w:rPr>
                          <w:color w:val="000000"/>
                        </w:rPr>
                        <w:t>designated</w:t>
                      </w:r>
                      <w:r>
                        <w:rPr>
                          <w:color w:val="000000"/>
                          <w:spacing w:val="-2"/>
                        </w:rPr>
                        <w:t xml:space="preserve"> </w:t>
                      </w:r>
                      <w:r>
                        <w:rPr>
                          <w:color w:val="000000"/>
                        </w:rPr>
                        <w:t>areas with</w:t>
                      </w:r>
                      <w:r>
                        <w:rPr>
                          <w:color w:val="000000"/>
                          <w:spacing w:val="-2"/>
                        </w:rPr>
                        <w:t xml:space="preserve"> </w:t>
                      </w:r>
                      <w:r>
                        <w:rPr>
                          <w:color w:val="000000"/>
                        </w:rPr>
                        <w:t>barbed wire. Residents,</w:t>
                      </w:r>
                      <w:r>
                        <w:rPr>
                          <w:color w:val="000000"/>
                          <w:spacing w:val="-2"/>
                        </w:rPr>
                        <w:t xml:space="preserve"> </w:t>
                      </w:r>
                      <w:r>
                        <w:rPr>
                          <w:color w:val="000000"/>
                        </w:rPr>
                        <w:t>many of</w:t>
                      </w:r>
                      <w:r>
                        <w:rPr>
                          <w:color w:val="000000"/>
                          <w:spacing w:val="-2"/>
                        </w:rPr>
                        <w:t xml:space="preserve"> </w:t>
                      </w:r>
                      <w:r>
                        <w:rPr>
                          <w:color w:val="000000"/>
                        </w:rPr>
                        <w:t>whom did not</w:t>
                      </w:r>
                      <w:r>
                        <w:rPr>
                          <w:color w:val="000000"/>
                          <w:spacing w:val="-1"/>
                        </w:rPr>
                        <w:t xml:space="preserve"> </w:t>
                      </w:r>
                      <w:r>
                        <w:rPr>
                          <w:color w:val="000000"/>
                        </w:rPr>
                        <w:t>speak English as a first language, were not given an adequate explanation of the scope or purpose of the lockdown until several days after the restrictions were imposed.</w:t>
                      </w:r>
                      <w:r>
                        <w:rPr>
                          <w:color w:val="000000"/>
                          <w:vertAlign w:val="superscript"/>
                        </w:rPr>
                        <w:t>275</w:t>
                      </w:r>
                    </w:p>
                    <w:p w14:paraId="7CB26762" w14:textId="77777777" w:rsidR="008A4099" w:rsidRDefault="006A6EE2">
                      <w:pPr>
                        <w:pStyle w:val="BodyText"/>
                        <w:spacing w:before="208" w:line="249" w:lineRule="auto"/>
                        <w:ind w:left="28" w:right="33"/>
                        <w:jc w:val="both"/>
                        <w:rPr>
                          <w:color w:val="000000"/>
                        </w:rPr>
                      </w:pPr>
                      <w:r>
                        <w:rPr>
                          <w:color w:val="000000"/>
                        </w:rPr>
                        <w:t>The quick implementation of the lockdown caused concerns about access to food, health, and social services by detained</w:t>
                      </w:r>
                      <w:r>
                        <w:rPr>
                          <w:color w:val="000000"/>
                          <w:spacing w:val="-2"/>
                        </w:rPr>
                        <w:t xml:space="preserve"> </w:t>
                      </w:r>
                      <w:r>
                        <w:rPr>
                          <w:color w:val="000000"/>
                        </w:rPr>
                        <w:t>residents, as well as</w:t>
                      </w:r>
                      <w:r>
                        <w:rPr>
                          <w:color w:val="000000"/>
                          <w:spacing w:val="-2"/>
                        </w:rPr>
                        <w:t xml:space="preserve"> </w:t>
                      </w:r>
                      <w:r>
                        <w:rPr>
                          <w:color w:val="000000"/>
                        </w:rPr>
                        <w:t>the use of</w:t>
                      </w:r>
                      <w:r>
                        <w:rPr>
                          <w:color w:val="000000"/>
                          <w:spacing w:val="-2"/>
                        </w:rPr>
                        <w:t xml:space="preserve"> </w:t>
                      </w:r>
                      <w:r>
                        <w:rPr>
                          <w:color w:val="000000"/>
                        </w:rPr>
                        <w:t>interpreters</w:t>
                      </w:r>
                      <w:r>
                        <w:rPr>
                          <w:color w:val="000000"/>
                          <w:spacing w:val="-2"/>
                        </w:rPr>
                        <w:t xml:space="preserve"> </w:t>
                      </w:r>
                      <w:r>
                        <w:rPr>
                          <w:color w:val="000000"/>
                        </w:rPr>
                        <w:t>and appropriate</w:t>
                      </w:r>
                      <w:r>
                        <w:rPr>
                          <w:color w:val="000000"/>
                          <w:spacing w:val="-2"/>
                        </w:rPr>
                        <w:t xml:space="preserve"> </w:t>
                      </w:r>
                      <w:r>
                        <w:rPr>
                          <w:color w:val="000000"/>
                        </w:rPr>
                        <w:t>engagement strategies to ensure residents understood the rules, public health risks, and availability of support.</w:t>
                      </w:r>
                      <w:r>
                        <w:rPr>
                          <w:color w:val="000000"/>
                          <w:vertAlign w:val="superscript"/>
                        </w:rPr>
                        <w:t>276</w:t>
                      </w:r>
                    </w:p>
                  </w:txbxContent>
                </v:textbox>
                <w10:wrap type="topAndBottom" anchorx="page"/>
              </v:shape>
            </w:pict>
          </mc:Fallback>
        </mc:AlternateContent>
      </w:r>
    </w:p>
    <w:p w14:paraId="7CB25FBA" w14:textId="77777777" w:rsidR="008A4099" w:rsidRDefault="008A4099">
      <w:pPr>
        <w:pStyle w:val="BodyText"/>
        <w:rPr>
          <w:sz w:val="20"/>
        </w:rPr>
      </w:pPr>
    </w:p>
    <w:p w14:paraId="7CB25FBB" w14:textId="77777777" w:rsidR="008A4099" w:rsidRDefault="008A4099">
      <w:pPr>
        <w:pStyle w:val="BodyText"/>
        <w:rPr>
          <w:sz w:val="20"/>
        </w:rPr>
      </w:pPr>
    </w:p>
    <w:p w14:paraId="7CB25FBC" w14:textId="77777777" w:rsidR="008A4099" w:rsidRDefault="006A6EE2">
      <w:pPr>
        <w:pStyle w:val="BodyText"/>
        <w:spacing w:before="152"/>
        <w:rPr>
          <w:sz w:val="20"/>
        </w:rPr>
      </w:pPr>
      <w:r>
        <w:rPr>
          <w:noProof/>
        </w:rPr>
        <mc:AlternateContent>
          <mc:Choice Requires="wps">
            <w:drawing>
              <wp:anchor distT="0" distB="0" distL="0" distR="0" simplePos="0" relativeHeight="487609856" behindDoc="1" locked="0" layoutInCell="1" allowOverlap="1" wp14:anchorId="7CB2662F" wp14:editId="7CB26630">
                <wp:simplePos x="0" y="0"/>
                <wp:positionH relativeFrom="page">
                  <wp:posOffset>914704</wp:posOffset>
                </wp:positionH>
                <wp:positionV relativeFrom="paragraph">
                  <wp:posOffset>258088</wp:posOffset>
                </wp:positionV>
                <wp:extent cx="1829435" cy="762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F673C5" id="Graphic 85" o:spid="_x0000_s1026" style="position:absolute;margin-left:1in;margin-top:20.3pt;width:144.05pt;height:.6pt;z-index:-157066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" path="m1829054,l,,,7620r1829054,l1829054,xe" fillcolor="black" stroked="f">
                <v:path arrowok="t"/>
                <w10:wrap type="topAndBottom" anchorx="page"/>
              </v:shape>
            </w:pict>
          </mc:Fallback>
        </mc:AlternateContent>
      </w:r>
    </w:p>
    <w:p w14:paraId="7CB25FBD" w14:textId="77777777" w:rsidR="008A4099" w:rsidRDefault="006A6EE2">
      <w:pPr>
        <w:spacing w:before="112"/>
        <w:ind w:left="160"/>
        <w:rPr>
          <w:sz w:val="18"/>
        </w:rPr>
      </w:pPr>
      <w:r>
        <w:rPr>
          <w:sz w:val="18"/>
          <w:vertAlign w:val="superscript"/>
        </w:rPr>
        <w:t>273</w:t>
      </w:r>
      <w:r>
        <w:rPr>
          <w:sz w:val="18"/>
        </w:rPr>
        <w:t xml:space="preserve"> See VEOHRC,</w:t>
      </w:r>
      <w:r>
        <w:rPr>
          <w:spacing w:val="2"/>
          <w:sz w:val="18"/>
        </w:rPr>
        <w:t xml:space="preserve"> </w:t>
      </w:r>
      <w:r>
        <w:rPr>
          <w:i/>
          <w:sz w:val="18"/>
        </w:rPr>
        <w:t>Annual</w:t>
      </w:r>
      <w:r>
        <w:rPr>
          <w:i/>
          <w:spacing w:val="1"/>
          <w:sz w:val="18"/>
        </w:rPr>
        <w:t xml:space="preserve"> </w:t>
      </w:r>
      <w:r>
        <w:rPr>
          <w:i/>
          <w:sz w:val="18"/>
        </w:rPr>
        <w:t>Report</w:t>
      </w:r>
      <w:r>
        <w:rPr>
          <w:i/>
          <w:spacing w:val="-1"/>
          <w:sz w:val="18"/>
        </w:rPr>
        <w:t xml:space="preserve"> </w:t>
      </w:r>
      <w:r>
        <w:rPr>
          <w:i/>
          <w:sz w:val="18"/>
        </w:rPr>
        <w:t>2019-2020</w:t>
      </w:r>
      <w:r>
        <w:rPr>
          <w:i/>
          <w:spacing w:val="3"/>
          <w:sz w:val="18"/>
        </w:rPr>
        <w:t xml:space="preserve"> </w:t>
      </w:r>
      <w:r>
        <w:rPr>
          <w:sz w:val="18"/>
        </w:rPr>
        <w:t>7,</w:t>
      </w:r>
      <w:r>
        <w:rPr>
          <w:spacing w:val="-1"/>
          <w:sz w:val="18"/>
        </w:rPr>
        <w:t xml:space="preserve"> </w:t>
      </w:r>
      <w:r>
        <w:rPr>
          <w:spacing w:val="-5"/>
          <w:sz w:val="18"/>
        </w:rPr>
        <w:t>47.</w:t>
      </w:r>
    </w:p>
    <w:p w14:paraId="7CB25FBE" w14:textId="77777777" w:rsidR="008A4099" w:rsidRDefault="006A6EE2">
      <w:pPr>
        <w:spacing w:before="24"/>
        <w:ind w:left="160"/>
        <w:rPr>
          <w:sz w:val="18"/>
        </w:rPr>
      </w:pPr>
      <w:r>
        <w:rPr>
          <w:sz w:val="18"/>
          <w:vertAlign w:val="superscript"/>
        </w:rPr>
        <w:t>274</w:t>
      </w:r>
      <w:r>
        <w:rPr>
          <w:sz w:val="18"/>
        </w:rPr>
        <w:t xml:space="preserve"> AHRC, </w:t>
      </w:r>
      <w:r>
        <w:rPr>
          <w:i/>
          <w:sz w:val="18"/>
        </w:rPr>
        <w:t>A National Human</w:t>
      </w:r>
      <w:r>
        <w:rPr>
          <w:i/>
          <w:spacing w:val="1"/>
          <w:sz w:val="18"/>
        </w:rPr>
        <w:t xml:space="preserve"> </w:t>
      </w:r>
      <w:r>
        <w:rPr>
          <w:i/>
          <w:sz w:val="18"/>
        </w:rPr>
        <w:t>Rights</w:t>
      </w:r>
      <w:r>
        <w:rPr>
          <w:i/>
          <w:spacing w:val="1"/>
          <w:sz w:val="18"/>
        </w:rPr>
        <w:t xml:space="preserve"> </w:t>
      </w:r>
      <w:r>
        <w:rPr>
          <w:i/>
          <w:sz w:val="18"/>
        </w:rPr>
        <w:t>Act for Australia</w:t>
      </w:r>
      <w:r>
        <w:rPr>
          <w:i/>
          <w:spacing w:val="2"/>
          <w:sz w:val="18"/>
        </w:rPr>
        <w:t xml:space="preserve"> </w:t>
      </w:r>
      <w:r>
        <w:rPr>
          <w:spacing w:val="-5"/>
          <w:sz w:val="18"/>
        </w:rPr>
        <w:t>36.</w:t>
      </w:r>
    </w:p>
    <w:p w14:paraId="7CB25FBF" w14:textId="77777777" w:rsidR="008A4099" w:rsidRDefault="006A6EE2">
      <w:pPr>
        <w:spacing w:before="23" w:line="244" w:lineRule="auto"/>
        <w:ind w:left="160" w:right="679"/>
        <w:rPr>
          <w:sz w:val="18"/>
        </w:rPr>
      </w:pPr>
      <w:r>
        <w:rPr>
          <w:sz w:val="18"/>
          <w:vertAlign w:val="superscript"/>
        </w:rPr>
        <w:t>275</w:t>
      </w:r>
      <w:r>
        <w:rPr>
          <w:sz w:val="18"/>
        </w:rPr>
        <w:t xml:space="preserve"> Human Rights Commission (ACT),</w:t>
      </w:r>
      <w:r>
        <w:rPr>
          <w:spacing w:val="19"/>
          <w:sz w:val="18"/>
        </w:rPr>
        <w:t xml:space="preserve"> </w:t>
      </w:r>
      <w:r>
        <w:rPr>
          <w:sz w:val="18"/>
        </w:rPr>
        <w:t>‘Submission No 10 to Select Committee on the COVID-19 Pandemic, COVID-19</w:t>
      </w:r>
      <w:r>
        <w:rPr>
          <w:spacing w:val="80"/>
          <w:sz w:val="18"/>
        </w:rPr>
        <w:t xml:space="preserve"> </w:t>
      </w:r>
      <w:r>
        <w:rPr>
          <w:sz w:val="18"/>
        </w:rPr>
        <w:t>Pandemic Response’ (19 May 2020) [35]–[37].</w:t>
      </w:r>
    </w:p>
    <w:p w14:paraId="7CB25FC0" w14:textId="77777777" w:rsidR="008A4099" w:rsidRDefault="006A6EE2">
      <w:pPr>
        <w:spacing w:before="15"/>
        <w:ind w:left="160"/>
        <w:rPr>
          <w:sz w:val="18"/>
        </w:rPr>
      </w:pPr>
      <w:r>
        <w:rPr>
          <w:sz w:val="18"/>
          <w:vertAlign w:val="superscript"/>
        </w:rPr>
        <w:t>276</w:t>
      </w:r>
      <w:r>
        <w:rPr>
          <w:spacing w:val="6"/>
          <w:sz w:val="18"/>
        </w:rPr>
        <w:t xml:space="preserve"> </w:t>
      </w:r>
      <w:r>
        <w:rPr>
          <w:sz w:val="18"/>
        </w:rPr>
        <w:t>Ibid</w:t>
      </w:r>
      <w:r>
        <w:rPr>
          <w:spacing w:val="6"/>
          <w:sz w:val="18"/>
        </w:rPr>
        <w:t xml:space="preserve"> </w:t>
      </w:r>
      <w:r>
        <w:rPr>
          <w:spacing w:val="-2"/>
          <w:sz w:val="18"/>
        </w:rPr>
        <w:t>[864]–[867].</w:t>
      </w:r>
    </w:p>
    <w:p w14:paraId="7CB25FC1" w14:textId="77777777" w:rsidR="008A4099" w:rsidRDefault="008A4099">
      <w:pPr>
        <w:rPr>
          <w:sz w:val="18"/>
        </w:rPr>
        <w:sectPr w:rsidR="008A4099" w:rsidSect="00D43B2D">
          <w:pgSz w:w="11910" w:h="16840"/>
          <w:pgMar w:top="980" w:right="760" w:bottom="940" w:left="1280" w:header="718" w:footer="753" w:gutter="0"/>
          <w:cols w:space="720"/>
        </w:sectPr>
      </w:pPr>
    </w:p>
    <w:p w14:paraId="7CB25FC2" w14:textId="77777777" w:rsidR="008A4099" w:rsidRDefault="008A4099">
      <w:pPr>
        <w:pStyle w:val="BodyText"/>
        <w:spacing w:before="216"/>
      </w:pPr>
    </w:p>
    <w:p w14:paraId="7CB25FC3" w14:textId="77777777" w:rsidR="008A4099" w:rsidRDefault="006A6EE2">
      <w:pPr>
        <w:pStyle w:val="BodyText"/>
        <w:ind w:left="160" w:right="675"/>
        <w:jc w:val="both"/>
      </w:pPr>
      <w:r>
        <w:rPr>
          <w:noProof/>
        </w:rPr>
        <mc:AlternateContent>
          <mc:Choice Requires="wps">
            <w:drawing>
              <wp:anchor distT="0" distB="0" distL="0" distR="0" simplePos="0" relativeHeight="485282816" behindDoc="1" locked="0" layoutInCell="1" allowOverlap="1" wp14:anchorId="7CB26631" wp14:editId="7CB26632">
                <wp:simplePos x="0" y="0"/>
                <wp:positionH relativeFrom="page">
                  <wp:posOffset>896416</wp:posOffset>
                </wp:positionH>
                <wp:positionV relativeFrom="paragraph">
                  <wp:posOffset>-12864</wp:posOffset>
                </wp:positionV>
                <wp:extent cx="5769610" cy="711708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7117080"/>
                        </a:xfrm>
                        <a:custGeom>
                          <a:avLst/>
                          <a:gdLst/>
                          <a:ahLst/>
                          <a:cxnLst/>
                          <a:rect l="l" t="t" r="r" b="b"/>
                          <a:pathLst>
                            <a:path w="5769610" h="7117080">
                              <a:moveTo>
                                <a:pt x="5769229" y="6842252"/>
                              </a:moveTo>
                              <a:lnTo>
                                <a:pt x="0" y="6842252"/>
                              </a:lnTo>
                              <a:lnTo>
                                <a:pt x="0" y="7116877"/>
                              </a:lnTo>
                              <a:lnTo>
                                <a:pt x="5769229" y="7116877"/>
                              </a:lnTo>
                              <a:lnTo>
                                <a:pt x="5769229" y="6842252"/>
                              </a:lnTo>
                              <a:close/>
                            </a:path>
                            <a:path w="5769610" h="7117080">
                              <a:moveTo>
                                <a:pt x="5769229" y="2336673"/>
                              </a:moveTo>
                              <a:lnTo>
                                <a:pt x="0" y="2336673"/>
                              </a:lnTo>
                              <a:lnTo>
                                <a:pt x="0" y="2483281"/>
                              </a:lnTo>
                              <a:lnTo>
                                <a:pt x="0" y="2781985"/>
                              </a:lnTo>
                              <a:lnTo>
                                <a:pt x="0" y="6842176"/>
                              </a:lnTo>
                              <a:lnTo>
                                <a:pt x="5769229" y="6842176"/>
                              </a:lnTo>
                              <a:lnTo>
                                <a:pt x="5769229" y="2483281"/>
                              </a:lnTo>
                              <a:lnTo>
                                <a:pt x="5769229" y="2336673"/>
                              </a:lnTo>
                              <a:close/>
                            </a:path>
                            <a:path w="5769610" h="7117080">
                              <a:moveTo>
                                <a:pt x="5769229" y="0"/>
                              </a:moveTo>
                              <a:lnTo>
                                <a:pt x="0" y="0"/>
                              </a:lnTo>
                              <a:lnTo>
                                <a:pt x="0" y="174040"/>
                              </a:lnTo>
                              <a:lnTo>
                                <a:pt x="0" y="334060"/>
                              </a:lnTo>
                              <a:lnTo>
                                <a:pt x="0" y="2336596"/>
                              </a:lnTo>
                              <a:lnTo>
                                <a:pt x="5769229" y="2336596"/>
                              </a:lnTo>
                              <a:lnTo>
                                <a:pt x="5769229" y="174040"/>
                              </a:lnTo>
                              <a:lnTo>
                                <a:pt x="5769229" y="0"/>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26E13CED" id="Graphic 86" o:spid="_x0000_s1026" style="position:absolute;margin-left:70.6pt;margin-top:-1pt;width:454.3pt;height:560.4pt;z-index:-18033664;visibility:visible;mso-wrap-style:square;mso-wrap-distance-left:0;mso-wrap-distance-top:0;mso-wrap-distance-right:0;mso-wrap-distance-bottom:0;mso-position-horizontal:absolute;mso-position-horizontal-relative:page;mso-position-vertical:absolute;mso-position-vertical-relative:text;v-text-anchor:top" coordsize="5769610,711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" path="m5769229,6842252l,6842252r,274625l5769229,7116877r,-274625xem5769229,2336673l,2336673r,146608l,2781985,,6842176r5769229,l5769229,2483281r,-146608xem5769229,l,,,174040,,334060,,2336596r5769229,l5769229,174040,5769229,xe" fillcolor="#e8e8e8" stroked="f">
                <v:path arrowok="t"/>
                <w10:wrap anchorx="page"/>
              </v:shape>
            </w:pict>
          </mc:Fallback>
        </mc:AlternateContent>
      </w:r>
      <w:r>
        <w:t>The situation was the subject of an investigation by the Victorian Ombudsman,</w:t>
      </w:r>
      <w:r>
        <w:rPr>
          <w:vertAlign w:val="superscript"/>
        </w:rPr>
        <w:t>277</w:t>
      </w:r>
      <w:r>
        <w:t xml:space="preserve"> who applied the human</w:t>
      </w:r>
      <w:r>
        <w:rPr>
          <w:spacing w:val="-3"/>
        </w:rPr>
        <w:t xml:space="preserve"> </w:t>
      </w:r>
      <w:r>
        <w:t>rights</w:t>
      </w:r>
      <w:r>
        <w:rPr>
          <w:spacing w:val="-3"/>
        </w:rPr>
        <w:t xml:space="preserve"> </w:t>
      </w:r>
      <w:r>
        <w:t>(including</w:t>
      </w:r>
      <w:r>
        <w:rPr>
          <w:spacing w:val="-4"/>
        </w:rPr>
        <w:t xml:space="preserve"> </w:t>
      </w:r>
      <w:r>
        <w:t>the</w:t>
      </w:r>
      <w:r>
        <w:rPr>
          <w:spacing w:val="-3"/>
        </w:rPr>
        <w:t xml:space="preserve"> </w:t>
      </w:r>
      <w:r>
        <w:t>right</w:t>
      </w:r>
      <w:r>
        <w:rPr>
          <w:spacing w:val="-3"/>
        </w:rPr>
        <w:t xml:space="preserve"> </w:t>
      </w:r>
      <w:r>
        <w:t>to</w:t>
      </w:r>
      <w:r>
        <w:rPr>
          <w:spacing w:val="-4"/>
        </w:rPr>
        <w:t xml:space="preserve"> </w:t>
      </w:r>
      <w:r>
        <w:t>life,</w:t>
      </w:r>
      <w:r>
        <w:rPr>
          <w:spacing w:val="-3"/>
        </w:rPr>
        <w:t xml:space="preserve"> </w:t>
      </w:r>
      <w:r>
        <w:t>right</w:t>
      </w:r>
      <w:r>
        <w:rPr>
          <w:spacing w:val="-3"/>
        </w:rPr>
        <w:t xml:space="preserve"> </w:t>
      </w:r>
      <w:r>
        <w:t>to</w:t>
      </w:r>
      <w:r>
        <w:rPr>
          <w:spacing w:val="-4"/>
        </w:rPr>
        <w:t xml:space="preserve"> </w:t>
      </w:r>
      <w:r>
        <w:t>equality,</w:t>
      </w:r>
      <w:r>
        <w:rPr>
          <w:spacing w:val="-1"/>
        </w:rPr>
        <w:t xml:space="preserve"> </w:t>
      </w:r>
      <w:r>
        <w:t>protection</w:t>
      </w:r>
      <w:r>
        <w:rPr>
          <w:spacing w:val="-1"/>
        </w:rPr>
        <w:t xml:space="preserve"> </w:t>
      </w:r>
      <w:r>
        <w:t>from cruel,</w:t>
      </w:r>
      <w:r>
        <w:rPr>
          <w:spacing w:val="-4"/>
        </w:rPr>
        <w:t xml:space="preserve"> </w:t>
      </w:r>
      <w:r>
        <w:t>inhuman</w:t>
      </w:r>
      <w:r>
        <w:rPr>
          <w:spacing w:val="-3"/>
        </w:rPr>
        <w:t xml:space="preserve"> </w:t>
      </w:r>
      <w:r>
        <w:t>or</w:t>
      </w:r>
      <w:r>
        <w:rPr>
          <w:spacing w:val="-3"/>
        </w:rPr>
        <w:t xml:space="preserve"> </w:t>
      </w:r>
      <w:r>
        <w:t>degrading treatment, freedom of movement, privacy, family and home, freedom of religion and cultural rights, peaceful</w:t>
      </w:r>
      <w:r>
        <w:rPr>
          <w:spacing w:val="-4"/>
        </w:rPr>
        <w:t xml:space="preserve"> </w:t>
      </w:r>
      <w:r>
        <w:t>assembly</w:t>
      </w:r>
      <w:r>
        <w:rPr>
          <w:spacing w:val="-7"/>
        </w:rPr>
        <w:t xml:space="preserve"> </w:t>
      </w:r>
      <w:r>
        <w:t>and</w:t>
      </w:r>
      <w:r>
        <w:rPr>
          <w:spacing w:val="-4"/>
        </w:rPr>
        <w:t xml:space="preserve"> </w:t>
      </w:r>
      <w:r>
        <w:t>association,</w:t>
      </w:r>
      <w:r>
        <w:rPr>
          <w:spacing w:val="-2"/>
        </w:rPr>
        <w:t xml:space="preserve"> </w:t>
      </w:r>
      <w:r>
        <w:t>protection</w:t>
      </w:r>
      <w:r>
        <w:rPr>
          <w:spacing w:val="-5"/>
        </w:rPr>
        <w:t xml:space="preserve"> </w:t>
      </w:r>
      <w:r>
        <w:t>of</w:t>
      </w:r>
      <w:r>
        <w:rPr>
          <w:spacing w:val="-4"/>
        </w:rPr>
        <w:t xml:space="preserve"> </w:t>
      </w:r>
      <w:r>
        <w:t>families</w:t>
      </w:r>
      <w:r>
        <w:rPr>
          <w:spacing w:val="-4"/>
        </w:rPr>
        <w:t xml:space="preserve"> </w:t>
      </w:r>
      <w:r>
        <w:t>and</w:t>
      </w:r>
      <w:r>
        <w:rPr>
          <w:spacing w:val="-7"/>
        </w:rPr>
        <w:t xml:space="preserve"> </w:t>
      </w:r>
      <w:r>
        <w:t>children,</w:t>
      </w:r>
      <w:r>
        <w:rPr>
          <w:spacing w:val="-4"/>
        </w:rPr>
        <w:t xml:space="preserve"> </w:t>
      </w:r>
      <w:r>
        <w:t>right</w:t>
      </w:r>
      <w:r>
        <w:rPr>
          <w:spacing w:val="-4"/>
        </w:rPr>
        <w:t xml:space="preserve"> </w:t>
      </w:r>
      <w:r>
        <w:t>to</w:t>
      </w:r>
      <w:r>
        <w:rPr>
          <w:spacing w:val="-7"/>
        </w:rPr>
        <w:t xml:space="preserve"> </w:t>
      </w:r>
      <w:r>
        <w:t>liberty,</w:t>
      </w:r>
      <w:r>
        <w:rPr>
          <w:spacing w:val="40"/>
        </w:rPr>
        <w:t xml:space="preserve"> </w:t>
      </w:r>
      <w:r>
        <w:t>and</w:t>
      </w:r>
      <w:r>
        <w:rPr>
          <w:spacing w:val="-7"/>
        </w:rPr>
        <w:t xml:space="preserve"> </w:t>
      </w:r>
      <w:r>
        <w:t>the</w:t>
      </w:r>
      <w:r>
        <w:rPr>
          <w:spacing w:val="-7"/>
        </w:rPr>
        <w:t xml:space="preserve"> </w:t>
      </w:r>
      <w:r>
        <w:t>right</w:t>
      </w:r>
      <w:r>
        <w:rPr>
          <w:spacing w:val="-4"/>
        </w:rPr>
        <w:t xml:space="preserve"> </w:t>
      </w:r>
      <w:r>
        <w:t>to humane treatment when deprived of liberty) contained in the Charter of Rights Act to the conduct of the</w:t>
      </w:r>
      <w:r>
        <w:rPr>
          <w:spacing w:val="-7"/>
        </w:rPr>
        <w:t xml:space="preserve"> </w:t>
      </w:r>
      <w:r>
        <w:t>Department</w:t>
      </w:r>
      <w:r>
        <w:rPr>
          <w:spacing w:val="-8"/>
        </w:rPr>
        <w:t xml:space="preserve"> </w:t>
      </w:r>
      <w:r>
        <w:t>of</w:t>
      </w:r>
      <w:r>
        <w:rPr>
          <w:spacing w:val="-6"/>
        </w:rPr>
        <w:t xml:space="preserve"> </w:t>
      </w:r>
      <w:r>
        <w:t>Health</w:t>
      </w:r>
      <w:r>
        <w:rPr>
          <w:spacing w:val="-7"/>
        </w:rPr>
        <w:t xml:space="preserve"> </w:t>
      </w:r>
      <w:r>
        <w:t>and</w:t>
      </w:r>
      <w:r>
        <w:rPr>
          <w:spacing w:val="-7"/>
        </w:rPr>
        <w:t xml:space="preserve"> </w:t>
      </w:r>
      <w:r>
        <w:t>Human</w:t>
      </w:r>
      <w:r>
        <w:rPr>
          <w:spacing w:val="-9"/>
        </w:rPr>
        <w:t xml:space="preserve"> </w:t>
      </w:r>
      <w:r>
        <w:t>Services</w:t>
      </w:r>
      <w:r>
        <w:rPr>
          <w:spacing w:val="-7"/>
        </w:rPr>
        <w:t xml:space="preserve"> </w:t>
      </w:r>
      <w:r>
        <w:t>(‘DHHS’).</w:t>
      </w:r>
      <w:r>
        <w:rPr>
          <w:position w:val="6"/>
          <w:sz w:val="12"/>
        </w:rPr>
        <w:t>278</w:t>
      </w:r>
      <w:r>
        <w:rPr>
          <w:spacing w:val="18"/>
          <w:position w:val="6"/>
          <w:sz w:val="12"/>
        </w:rPr>
        <w:t xml:space="preserve"> </w:t>
      </w:r>
      <w:r>
        <w:t>The</w:t>
      </w:r>
      <w:r>
        <w:rPr>
          <w:spacing w:val="-7"/>
        </w:rPr>
        <w:t xml:space="preserve"> </w:t>
      </w:r>
      <w:r>
        <w:t>Ombudsman</w:t>
      </w:r>
      <w:r>
        <w:rPr>
          <w:spacing w:val="-7"/>
        </w:rPr>
        <w:t xml:space="preserve"> </w:t>
      </w:r>
      <w:r>
        <w:t>evaluated</w:t>
      </w:r>
      <w:r>
        <w:rPr>
          <w:spacing w:val="-9"/>
        </w:rPr>
        <w:t xml:space="preserve"> </w:t>
      </w:r>
      <w:r>
        <w:t>the</w:t>
      </w:r>
      <w:r>
        <w:rPr>
          <w:spacing w:val="-9"/>
        </w:rPr>
        <w:t xml:space="preserve"> </w:t>
      </w:r>
      <w:r>
        <w:t>conduct</w:t>
      </w:r>
      <w:r>
        <w:rPr>
          <w:spacing w:val="-6"/>
        </w:rPr>
        <w:t xml:space="preserve"> </w:t>
      </w:r>
      <w:r>
        <w:t>of the DHHS for its compatibility with human rights and the obligations of the DHHS to give proper consideration to a relevant human right when making a decision, and whether there were appropriate review mechanisms for persons deprived of their liberty.</w:t>
      </w:r>
    </w:p>
    <w:p w14:paraId="7CB25FC4" w14:textId="77777777" w:rsidR="008A4099" w:rsidRDefault="006A6EE2">
      <w:pPr>
        <w:pStyle w:val="BodyText"/>
        <w:spacing w:before="222"/>
        <w:ind w:left="160"/>
        <w:jc w:val="both"/>
      </w:pPr>
      <w:r>
        <w:t>The</w:t>
      </w:r>
      <w:r>
        <w:rPr>
          <w:spacing w:val="-4"/>
        </w:rPr>
        <w:t xml:space="preserve"> </w:t>
      </w:r>
      <w:r>
        <w:t>Ombudsman</w:t>
      </w:r>
      <w:r>
        <w:rPr>
          <w:spacing w:val="-3"/>
        </w:rPr>
        <w:t xml:space="preserve"> </w:t>
      </w:r>
      <w:r>
        <w:rPr>
          <w:spacing w:val="-2"/>
        </w:rPr>
        <w:t>noted:</w:t>
      </w:r>
    </w:p>
    <w:p w14:paraId="7CB25FC5" w14:textId="77777777" w:rsidR="008A4099" w:rsidRDefault="006A6EE2">
      <w:pPr>
        <w:spacing w:before="219" w:line="244" w:lineRule="auto"/>
        <w:ind w:left="160" w:right="675"/>
        <w:jc w:val="both"/>
        <w:rPr>
          <w:sz w:val="20"/>
        </w:rPr>
      </w:pPr>
      <w:r>
        <w:rPr>
          <w:sz w:val="20"/>
        </w:rPr>
        <w:t xml:space="preserve">This was to be the first use of emergency detention powers to manage an outbreak of COVID-19 within the Victorian community, and the first ‘hard lockdown’ of a high-density residential building anywhere in Australia in response to the global pandemic. There were no Victorian or Commonwealth guidelines relating to such an intervention. The human rights implications of the decision were extraordinary and required careful </w:t>
      </w:r>
      <w:r>
        <w:rPr>
          <w:spacing w:val="-2"/>
          <w:sz w:val="20"/>
        </w:rPr>
        <w:t>consideration.</w:t>
      </w:r>
      <w:r>
        <w:rPr>
          <w:spacing w:val="-2"/>
          <w:sz w:val="20"/>
          <w:vertAlign w:val="superscript"/>
        </w:rPr>
        <w:t>279</w:t>
      </w:r>
    </w:p>
    <w:p w14:paraId="7CB25FC6" w14:textId="77777777" w:rsidR="008A4099" w:rsidRDefault="006A6EE2">
      <w:pPr>
        <w:pStyle w:val="BodyText"/>
        <w:spacing w:before="215" w:line="244" w:lineRule="auto"/>
        <w:ind w:left="160" w:right="677"/>
        <w:jc w:val="both"/>
      </w:pPr>
      <w:r>
        <w:t>The</w:t>
      </w:r>
      <w:r>
        <w:rPr>
          <w:spacing w:val="-5"/>
        </w:rPr>
        <w:t xml:space="preserve"> </w:t>
      </w:r>
      <w:r>
        <w:t>Ombudsman</w:t>
      </w:r>
      <w:r>
        <w:rPr>
          <w:spacing w:val="-7"/>
        </w:rPr>
        <w:t xml:space="preserve"> </w:t>
      </w:r>
      <w:r>
        <w:t>found</w:t>
      </w:r>
      <w:r>
        <w:rPr>
          <w:spacing w:val="-5"/>
        </w:rPr>
        <w:t xml:space="preserve"> </w:t>
      </w:r>
      <w:r>
        <w:t>that</w:t>
      </w:r>
      <w:r>
        <w:rPr>
          <w:spacing w:val="-4"/>
        </w:rPr>
        <w:t xml:space="preserve"> </w:t>
      </w:r>
      <w:r>
        <w:t>the</w:t>
      </w:r>
      <w:r>
        <w:rPr>
          <w:spacing w:val="-4"/>
        </w:rPr>
        <w:t xml:space="preserve"> </w:t>
      </w:r>
      <w:r>
        <w:t>decision</w:t>
      </w:r>
      <w:r>
        <w:rPr>
          <w:spacing w:val="-5"/>
        </w:rPr>
        <w:t xml:space="preserve"> </w:t>
      </w:r>
      <w:r>
        <w:t>to</w:t>
      </w:r>
      <w:r>
        <w:rPr>
          <w:spacing w:val="-7"/>
        </w:rPr>
        <w:t xml:space="preserve"> </w:t>
      </w:r>
      <w:r>
        <w:t>lock</w:t>
      </w:r>
      <w:r>
        <w:rPr>
          <w:spacing w:val="-4"/>
        </w:rPr>
        <w:t xml:space="preserve"> </w:t>
      </w:r>
      <w:r>
        <w:t>down</w:t>
      </w:r>
      <w:r>
        <w:rPr>
          <w:spacing w:val="-9"/>
        </w:rPr>
        <w:t xml:space="preserve"> </w:t>
      </w:r>
      <w:r>
        <w:t>the</w:t>
      </w:r>
      <w:r>
        <w:rPr>
          <w:spacing w:val="-7"/>
        </w:rPr>
        <w:t xml:space="preserve"> </w:t>
      </w:r>
      <w:r>
        <w:t>towers</w:t>
      </w:r>
      <w:r>
        <w:rPr>
          <w:spacing w:val="-4"/>
        </w:rPr>
        <w:t xml:space="preserve"> </w:t>
      </w:r>
      <w:r>
        <w:t>was</w:t>
      </w:r>
      <w:r>
        <w:rPr>
          <w:spacing w:val="-4"/>
        </w:rPr>
        <w:t xml:space="preserve"> </w:t>
      </w:r>
      <w:r>
        <w:t>most</w:t>
      </w:r>
      <w:r>
        <w:rPr>
          <w:spacing w:val="-6"/>
        </w:rPr>
        <w:t xml:space="preserve"> </w:t>
      </w:r>
      <w:r>
        <w:t>likely</w:t>
      </w:r>
      <w:r>
        <w:rPr>
          <w:spacing w:val="-7"/>
        </w:rPr>
        <w:t xml:space="preserve"> </w:t>
      </w:r>
      <w:r>
        <w:t>made</w:t>
      </w:r>
      <w:r>
        <w:rPr>
          <w:spacing w:val="-6"/>
        </w:rPr>
        <w:t xml:space="preserve"> </w:t>
      </w:r>
      <w:r>
        <w:t>by</w:t>
      </w:r>
      <w:r>
        <w:rPr>
          <w:spacing w:val="-5"/>
        </w:rPr>
        <w:t xml:space="preserve"> </w:t>
      </w:r>
      <w:r>
        <w:t>Cabinet</w:t>
      </w:r>
      <w:r>
        <w:rPr>
          <w:spacing w:val="-6"/>
        </w:rPr>
        <w:t xml:space="preserve"> </w:t>
      </w:r>
      <w:r>
        <w:t>but was</w:t>
      </w:r>
      <w:r>
        <w:rPr>
          <w:spacing w:val="-6"/>
        </w:rPr>
        <w:t xml:space="preserve"> </w:t>
      </w:r>
      <w:r>
        <w:t>instituted</w:t>
      </w:r>
      <w:r>
        <w:rPr>
          <w:spacing w:val="-9"/>
        </w:rPr>
        <w:t xml:space="preserve"> </w:t>
      </w:r>
      <w:r>
        <w:t>through</w:t>
      </w:r>
      <w:r>
        <w:rPr>
          <w:spacing w:val="-10"/>
        </w:rPr>
        <w:t xml:space="preserve"> </w:t>
      </w:r>
      <w:r>
        <w:t>a</w:t>
      </w:r>
      <w:r>
        <w:rPr>
          <w:spacing w:val="-7"/>
        </w:rPr>
        <w:t xml:space="preserve"> </w:t>
      </w:r>
      <w:r>
        <w:t>public</w:t>
      </w:r>
      <w:r>
        <w:rPr>
          <w:spacing w:val="-7"/>
        </w:rPr>
        <w:t xml:space="preserve"> </w:t>
      </w:r>
      <w:r>
        <w:t>health</w:t>
      </w:r>
      <w:r>
        <w:rPr>
          <w:spacing w:val="-7"/>
        </w:rPr>
        <w:t xml:space="preserve"> </w:t>
      </w:r>
      <w:r>
        <w:t>direction</w:t>
      </w:r>
      <w:r>
        <w:rPr>
          <w:spacing w:val="-7"/>
        </w:rPr>
        <w:t xml:space="preserve"> </w:t>
      </w:r>
      <w:r>
        <w:t>within</w:t>
      </w:r>
      <w:r>
        <w:rPr>
          <w:spacing w:val="-10"/>
        </w:rPr>
        <w:t xml:space="preserve"> </w:t>
      </w:r>
      <w:r>
        <w:t>hours</w:t>
      </w:r>
      <w:r>
        <w:rPr>
          <w:spacing w:val="-9"/>
        </w:rPr>
        <w:t xml:space="preserve"> </w:t>
      </w:r>
      <w:r>
        <w:t>of</w:t>
      </w:r>
      <w:r>
        <w:rPr>
          <w:spacing w:val="-9"/>
        </w:rPr>
        <w:t xml:space="preserve"> </w:t>
      </w:r>
      <w:r>
        <w:t>the</w:t>
      </w:r>
      <w:r>
        <w:rPr>
          <w:spacing w:val="-9"/>
        </w:rPr>
        <w:t xml:space="preserve"> </w:t>
      </w:r>
      <w:r>
        <w:t>relevant</w:t>
      </w:r>
      <w:r>
        <w:rPr>
          <w:spacing w:val="-8"/>
        </w:rPr>
        <w:t xml:space="preserve"> </w:t>
      </w:r>
      <w:r>
        <w:t>Cabinet</w:t>
      </w:r>
      <w:r>
        <w:rPr>
          <w:spacing w:val="-8"/>
        </w:rPr>
        <w:t xml:space="preserve"> </w:t>
      </w:r>
      <w:r>
        <w:t>meeting.</w:t>
      </w:r>
      <w:r>
        <w:rPr>
          <w:spacing w:val="-7"/>
        </w:rPr>
        <w:t xml:space="preserve"> </w:t>
      </w:r>
      <w:r>
        <w:t>Given</w:t>
      </w:r>
      <w:r>
        <w:rPr>
          <w:spacing w:val="-9"/>
        </w:rPr>
        <w:t xml:space="preserve"> </w:t>
      </w:r>
      <w:r>
        <w:t>the speed</w:t>
      </w:r>
      <w:r>
        <w:rPr>
          <w:spacing w:val="-4"/>
        </w:rPr>
        <w:t xml:space="preserve"> </w:t>
      </w:r>
      <w:r>
        <w:t>of</w:t>
      </w:r>
      <w:r>
        <w:rPr>
          <w:spacing w:val="-4"/>
        </w:rPr>
        <w:t xml:space="preserve"> </w:t>
      </w:r>
      <w:r>
        <w:t>the</w:t>
      </w:r>
      <w:r>
        <w:rPr>
          <w:spacing w:val="-4"/>
        </w:rPr>
        <w:t xml:space="preserve"> </w:t>
      </w:r>
      <w:r>
        <w:t>decision,</w:t>
      </w:r>
      <w:r>
        <w:rPr>
          <w:spacing w:val="-5"/>
        </w:rPr>
        <w:t xml:space="preserve"> </w:t>
      </w:r>
      <w:r>
        <w:t>the</w:t>
      </w:r>
      <w:r>
        <w:rPr>
          <w:spacing w:val="-2"/>
        </w:rPr>
        <w:t xml:space="preserve"> </w:t>
      </w:r>
      <w:r>
        <w:t>Ombudsman</w:t>
      </w:r>
      <w:r>
        <w:rPr>
          <w:spacing w:val="-2"/>
        </w:rPr>
        <w:t xml:space="preserve"> </w:t>
      </w:r>
      <w:r>
        <w:t>was</w:t>
      </w:r>
      <w:r>
        <w:rPr>
          <w:spacing w:val="-4"/>
        </w:rPr>
        <w:t xml:space="preserve"> </w:t>
      </w:r>
      <w:r>
        <w:t>not</w:t>
      </w:r>
      <w:r>
        <w:rPr>
          <w:spacing w:val="-4"/>
        </w:rPr>
        <w:t xml:space="preserve"> </w:t>
      </w:r>
      <w:r>
        <w:t>satisfied</w:t>
      </w:r>
      <w:r>
        <w:rPr>
          <w:spacing w:val="-2"/>
        </w:rPr>
        <w:t xml:space="preserve"> </w:t>
      </w:r>
      <w:r>
        <w:t>that</w:t>
      </w:r>
      <w:r>
        <w:rPr>
          <w:spacing w:val="-4"/>
        </w:rPr>
        <w:t xml:space="preserve"> </w:t>
      </w:r>
      <w:r>
        <w:t>the</w:t>
      </w:r>
      <w:r>
        <w:rPr>
          <w:spacing w:val="-2"/>
        </w:rPr>
        <w:t xml:space="preserve"> </w:t>
      </w:r>
      <w:r>
        <w:t>Deputy</w:t>
      </w:r>
      <w:r>
        <w:rPr>
          <w:spacing w:val="-5"/>
        </w:rPr>
        <w:t xml:space="preserve"> </w:t>
      </w:r>
      <w:r>
        <w:t>Chief</w:t>
      </w:r>
      <w:r>
        <w:rPr>
          <w:spacing w:val="-2"/>
        </w:rPr>
        <w:t xml:space="preserve"> </w:t>
      </w:r>
      <w:r>
        <w:t>Health</w:t>
      </w:r>
      <w:r>
        <w:rPr>
          <w:spacing w:val="-2"/>
        </w:rPr>
        <w:t xml:space="preserve"> </w:t>
      </w:r>
      <w:r>
        <w:t>Officer</w:t>
      </w:r>
      <w:r>
        <w:rPr>
          <w:spacing w:val="-4"/>
        </w:rPr>
        <w:t xml:space="preserve"> </w:t>
      </w:r>
      <w:r>
        <w:t>(‘CHO’) had</w:t>
      </w:r>
      <w:r>
        <w:rPr>
          <w:spacing w:val="-4"/>
        </w:rPr>
        <w:t xml:space="preserve"> </w:t>
      </w:r>
      <w:r>
        <w:t>been</w:t>
      </w:r>
      <w:r>
        <w:rPr>
          <w:spacing w:val="-7"/>
        </w:rPr>
        <w:t xml:space="preserve"> </w:t>
      </w:r>
      <w:r>
        <w:t>able</w:t>
      </w:r>
      <w:r>
        <w:rPr>
          <w:spacing w:val="-7"/>
        </w:rPr>
        <w:t xml:space="preserve"> </w:t>
      </w:r>
      <w:r>
        <w:t>to</w:t>
      </w:r>
      <w:r>
        <w:rPr>
          <w:spacing w:val="-7"/>
        </w:rPr>
        <w:t xml:space="preserve"> </w:t>
      </w:r>
      <w:r>
        <w:t>give</w:t>
      </w:r>
      <w:r>
        <w:rPr>
          <w:spacing w:val="-7"/>
        </w:rPr>
        <w:t xml:space="preserve"> </w:t>
      </w:r>
      <w:r>
        <w:t>meaningful</w:t>
      </w:r>
      <w:r>
        <w:rPr>
          <w:spacing w:val="-6"/>
        </w:rPr>
        <w:t xml:space="preserve"> </w:t>
      </w:r>
      <w:r>
        <w:t>consideration</w:t>
      </w:r>
      <w:r>
        <w:rPr>
          <w:spacing w:val="-7"/>
        </w:rPr>
        <w:t xml:space="preserve"> </w:t>
      </w:r>
      <w:r>
        <w:t>to</w:t>
      </w:r>
      <w:r>
        <w:rPr>
          <w:spacing w:val="-7"/>
        </w:rPr>
        <w:t xml:space="preserve"> </w:t>
      </w:r>
      <w:r>
        <w:t>public</w:t>
      </w:r>
      <w:r>
        <w:rPr>
          <w:spacing w:val="-4"/>
        </w:rPr>
        <w:t xml:space="preserve"> </w:t>
      </w:r>
      <w:r>
        <w:t>health</w:t>
      </w:r>
      <w:r>
        <w:rPr>
          <w:spacing w:val="-7"/>
        </w:rPr>
        <w:t xml:space="preserve"> </w:t>
      </w:r>
      <w:r>
        <w:t>advice</w:t>
      </w:r>
      <w:r>
        <w:rPr>
          <w:spacing w:val="-6"/>
        </w:rPr>
        <w:t xml:space="preserve"> </w:t>
      </w:r>
      <w:r>
        <w:t>or</w:t>
      </w:r>
      <w:r>
        <w:rPr>
          <w:spacing w:val="-6"/>
        </w:rPr>
        <w:t xml:space="preserve"> </w:t>
      </w:r>
      <w:r>
        <w:t>the</w:t>
      </w:r>
      <w:r>
        <w:rPr>
          <w:spacing w:val="-7"/>
        </w:rPr>
        <w:t xml:space="preserve"> </w:t>
      </w:r>
      <w:r>
        <w:t>human</w:t>
      </w:r>
      <w:r>
        <w:rPr>
          <w:spacing w:val="-5"/>
        </w:rPr>
        <w:t xml:space="preserve"> </w:t>
      </w:r>
      <w:r>
        <w:t>rights</w:t>
      </w:r>
      <w:r>
        <w:rPr>
          <w:spacing w:val="-6"/>
        </w:rPr>
        <w:t xml:space="preserve"> </w:t>
      </w:r>
      <w:r>
        <w:t>assessment, nor had the Deputy CHO been ‘permitted to bring an independent mind to the issue’.</w:t>
      </w:r>
      <w:r>
        <w:rPr>
          <w:vertAlign w:val="superscript"/>
        </w:rPr>
        <w:t>280</w:t>
      </w:r>
    </w:p>
    <w:p w14:paraId="7CB25FC7" w14:textId="77777777" w:rsidR="008A4099" w:rsidRDefault="006A6EE2">
      <w:pPr>
        <w:pStyle w:val="BodyText"/>
        <w:spacing w:before="217"/>
        <w:ind w:left="160"/>
        <w:jc w:val="both"/>
      </w:pPr>
      <w:r>
        <w:t>The</w:t>
      </w:r>
      <w:r>
        <w:rPr>
          <w:spacing w:val="-5"/>
        </w:rPr>
        <w:t xml:space="preserve"> </w:t>
      </w:r>
      <w:r>
        <w:t>Ombudsman</w:t>
      </w:r>
      <w:r>
        <w:rPr>
          <w:spacing w:val="-4"/>
        </w:rPr>
        <w:t xml:space="preserve"> </w:t>
      </w:r>
      <w:r>
        <w:t>concluded</w:t>
      </w:r>
      <w:r>
        <w:rPr>
          <w:spacing w:val="-4"/>
        </w:rPr>
        <w:t xml:space="preserve"> that:</w:t>
      </w:r>
    </w:p>
    <w:p w14:paraId="7CB25FC8" w14:textId="77777777" w:rsidR="008A4099" w:rsidRDefault="008A4099">
      <w:pPr>
        <w:pStyle w:val="BodyText"/>
        <w:spacing w:before="12"/>
        <w:rPr>
          <w:sz w:val="18"/>
        </w:rPr>
      </w:pPr>
    </w:p>
    <w:p w14:paraId="7CB25FC9" w14:textId="77777777" w:rsidR="008A4099" w:rsidRDefault="006A6EE2">
      <w:pPr>
        <w:spacing w:line="247" w:lineRule="auto"/>
        <w:ind w:left="160" w:right="676"/>
        <w:jc w:val="both"/>
        <w:rPr>
          <w:sz w:val="18"/>
        </w:rPr>
      </w:pPr>
      <w:r>
        <w:rPr>
          <w:sz w:val="18"/>
        </w:rPr>
        <w:t>While the temporary detention of residents … may have been an appropriate measure to contain the outbreak of COVID-19 sweeping the building, the imposition of such restrictions with more or less immediate effect — absent further preparation, and without specific health advice recommending such an approach — did not appear justified and reasonable in the circumstances, nor compatible with the right to humane treatment when deprived of liberty.</w:t>
      </w:r>
      <w:r>
        <w:rPr>
          <w:sz w:val="18"/>
          <w:vertAlign w:val="superscript"/>
        </w:rPr>
        <w:t>281</w:t>
      </w:r>
    </w:p>
    <w:p w14:paraId="7CB25FCA" w14:textId="77777777" w:rsidR="008A4099" w:rsidRDefault="008A4099">
      <w:pPr>
        <w:pStyle w:val="BodyText"/>
        <w:spacing w:before="7"/>
        <w:rPr>
          <w:sz w:val="18"/>
        </w:rPr>
      </w:pPr>
    </w:p>
    <w:p w14:paraId="7CB25FCB" w14:textId="77777777" w:rsidR="008A4099" w:rsidRDefault="006A6EE2">
      <w:pPr>
        <w:pStyle w:val="BodyText"/>
        <w:spacing w:before="1" w:line="259" w:lineRule="auto"/>
        <w:ind w:left="160" w:right="681"/>
        <w:jc w:val="both"/>
      </w:pPr>
      <w:r>
        <w:t xml:space="preserve">The Ombudsman similarly found that fencing off areas with barbed wire was ‘clearly degrading and </w:t>
      </w:r>
      <w:r>
        <w:rPr>
          <w:spacing w:val="-2"/>
        </w:rPr>
        <w:t>inhumane’.</w:t>
      </w:r>
      <w:r>
        <w:rPr>
          <w:spacing w:val="-2"/>
          <w:vertAlign w:val="superscript"/>
        </w:rPr>
        <w:t>282</w:t>
      </w:r>
    </w:p>
    <w:p w14:paraId="7CB25FCC" w14:textId="77777777" w:rsidR="008A4099" w:rsidRDefault="006A6EE2">
      <w:pPr>
        <w:pStyle w:val="BodyText"/>
        <w:spacing w:before="200"/>
        <w:ind w:left="160" w:right="682"/>
        <w:jc w:val="both"/>
      </w:pPr>
      <w:r>
        <w:t>The Ombudsman made a series of recommendations to improve public health law and practice, including a recommendation to:</w:t>
      </w:r>
    </w:p>
    <w:p w14:paraId="7CB25FCD" w14:textId="77777777" w:rsidR="008A4099" w:rsidRDefault="008A4099">
      <w:pPr>
        <w:pStyle w:val="BodyText"/>
        <w:spacing w:before="13"/>
        <w:rPr>
          <w:sz w:val="18"/>
        </w:rPr>
      </w:pPr>
    </w:p>
    <w:p w14:paraId="7CB25FCE" w14:textId="77777777" w:rsidR="008A4099" w:rsidRDefault="006A6EE2">
      <w:pPr>
        <w:spacing w:line="207" w:lineRule="exact"/>
        <w:ind w:left="160"/>
        <w:rPr>
          <w:sz w:val="18"/>
        </w:rPr>
      </w:pPr>
      <w:r>
        <w:rPr>
          <w:sz w:val="18"/>
        </w:rPr>
        <w:t>[d]evelop</w:t>
      </w:r>
      <w:r>
        <w:rPr>
          <w:spacing w:val="2"/>
          <w:sz w:val="18"/>
        </w:rPr>
        <w:t xml:space="preserve"> </w:t>
      </w:r>
      <w:r>
        <w:rPr>
          <w:sz w:val="18"/>
        </w:rPr>
        <w:t>and</w:t>
      </w:r>
      <w:r>
        <w:rPr>
          <w:spacing w:val="2"/>
          <w:sz w:val="18"/>
        </w:rPr>
        <w:t xml:space="preserve"> </w:t>
      </w:r>
      <w:r>
        <w:rPr>
          <w:sz w:val="18"/>
        </w:rPr>
        <w:t>implement</w:t>
      </w:r>
      <w:r>
        <w:rPr>
          <w:spacing w:val="4"/>
          <w:sz w:val="18"/>
        </w:rPr>
        <w:t xml:space="preserve"> </w:t>
      </w:r>
      <w:r>
        <w:rPr>
          <w:sz w:val="18"/>
        </w:rPr>
        <w:t>local</w:t>
      </w:r>
      <w:r>
        <w:rPr>
          <w:spacing w:val="2"/>
          <w:sz w:val="18"/>
        </w:rPr>
        <w:t xml:space="preserve"> </w:t>
      </w:r>
      <w:r>
        <w:rPr>
          <w:sz w:val="18"/>
        </w:rPr>
        <w:t>guidelines,</w:t>
      </w:r>
      <w:r>
        <w:rPr>
          <w:spacing w:val="2"/>
          <w:sz w:val="18"/>
        </w:rPr>
        <w:t xml:space="preserve"> </w:t>
      </w:r>
      <w:r>
        <w:rPr>
          <w:sz w:val="18"/>
        </w:rPr>
        <w:t>procedures</w:t>
      </w:r>
      <w:r>
        <w:rPr>
          <w:spacing w:val="3"/>
          <w:sz w:val="18"/>
        </w:rPr>
        <w:t xml:space="preserve"> </w:t>
      </w:r>
      <w:r>
        <w:rPr>
          <w:sz w:val="18"/>
        </w:rPr>
        <w:t>and</w:t>
      </w:r>
      <w:r>
        <w:rPr>
          <w:spacing w:val="2"/>
          <w:sz w:val="18"/>
        </w:rPr>
        <w:t xml:space="preserve"> </w:t>
      </w:r>
      <w:r>
        <w:rPr>
          <w:sz w:val="18"/>
        </w:rPr>
        <w:t>training</w:t>
      </w:r>
      <w:r>
        <w:rPr>
          <w:spacing w:val="-1"/>
          <w:sz w:val="18"/>
        </w:rPr>
        <w:t xml:space="preserve"> </w:t>
      </w:r>
      <w:r>
        <w:rPr>
          <w:sz w:val="18"/>
        </w:rPr>
        <w:t>relating</w:t>
      </w:r>
      <w:r>
        <w:rPr>
          <w:spacing w:val="2"/>
          <w:sz w:val="18"/>
        </w:rPr>
        <w:t xml:space="preserve"> </w:t>
      </w:r>
      <w:r>
        <w:rPr>
          <w:sz w:val="18"/>
        </w:rPr>
        <w:t>to</w:t>
      </w:r>
      <w:r>
        <w:rPr>
          <w:spacing w:val="3"/>
          <w:sz w:val="18"/>
        </w:rPr>
        <w:t xml:space="preserve"> </w:t>
      </w:r>
      <w:r>
        <w:rPr>
          <w:sz w:val="18"/>
        </w:rPr>
        <w:t>the</w:t>
      </w:r>
      <w:r>
        <w:rPr>
          <w:spacing w:val="1"/>
          <w:sz w:val="18"/>
        </w:rPr>
        <w:t xml:space="preserve"> </w:t>
      </w:r>
      <w:r>
        <w:rPr>
          <w:sz w:val="18"/>
        </w:rPr>
        <w:t>exercise</w:t>
      </w:r>
      <w:r>
        <w:rPr>
          <w:spacing w:val="3"/>
          <w:sz w:val="18"/>
        </w:rPr>
        <w:t xml:space="preserve"> </w:t>
      </w:r>
      <w:r>
        <w:rPr>
          <w:sz w:val="18"/>
        </w:rPr>
        <w:t>of</w:t>
      </w:r>
      <w:r>
        <w:rPr>
          <w:spacing w:val="1"/>
          <w:sz w:val="18"/>
        </w:rPr>
        <w:t xml:space="preserve"> </w:t>
      </w:r>
      <w:r>
        <w:rPr>
          <w:sz w:val="18"/>
        </w:rPr>
        <w:t>the</w:t>
      </w:r>
      <w:r>
        <w:rPr>
          <w:spacing w:val="1"/>
          <w:sz w:val="18"/>
        </w:rPr>
        <w:t xml:space="preserve"> </w:t>
      </w:r>
      <w:r>
        <w:rPr>
          <w:sz w:val="18"/>
        </w:rPr>
        <w:t>emergency</w:t>
      </w:r>
      <w:r>
        <w:rPr>
          <w:spacing w:val="2"/>
          <w:sz w:val="18"/>
        </w:rPr>
        <w:t xml:space="preserve"> </w:t>
      </w:r>
      <w:r>
        <w:rPr>
          <w:sz w:val="18"/>
        </w:rPr>
        <w:t>detention</w:t>
      </w:r>
      <w:r>
        <w:rPr>
          <w:spacing w:val="2"/>
          <w:sz w:val="18"/>
        </w:rPr>
        <w:t xml:space="preserve"> </w:t>
      </w:r>
      <w:r>
        <w:rPr>
          <w:spacing w:val="-2"/>
          <w:sz w:val="18"/>
        </w:rPr>
        <w:t>power</w:t>
      </w:r>
    </w:p>
    <w:p w14:paraId="7CB25FCF" w14:textId="77777777" w:rsidR="008A4099" w:rsidRDefault="006A6EE2">
      <w:pPr>
        <w:spacing w:line="264" w:lineRule="auto"/>
        <w:ind w:left="160" w:right="679"/>
        <w:rPr>
          <w:sz w:val="18"/>
        </w:rPr>
      </w:pPr>
      <w:r>
        <w:rPr>
          <w:sz w:val="18"/>
        </w:rPr>
        <w:t>... [addressing] legislative safeguards relating to use of the power, specifying, wherever possible, measures to be adopted to ensure compliance with these safeguards.</w:t>
      </w:r>
      <w:r>
        <w:rPr>
          <w:sz w:val="18"/>
          <w:vertAlign w:val="superscript"/>
        </w:rPr>
        <w:t>283</w:t>
      </w:r>
    </w:p>
    <w:p w14:paraId="7CB25FD0" w14:textId="77777777" w:rsidR="008A4099" w:rsidRDefault="006A6EE2">
      <w:pPr>
        <w:pStyle w:val="BodyText"/>
        <w:spacing w:before="198"/>
        <w:ind w:left="160" w:right="679"/>
      </w:pPr>
      <w:r>
        <w:t>The</w:t>
      </w:r>
      <w:r>
        <w:rPr>
          <w:spacing w:val="-11"/>
        </w:rPr>
        <w:t xml:space="preserve"> </w:t>
      </w:r>
      <w:r>
        <w:t>Public</w:t>
      </w:r>
      <w:r>
        <w:rPr>
          <w:spacing w:val="-10"/>
        </w:rPr>
        <w:t xml:space="preserve"> </w:t>
      </w:r>
      <w:r>
        <w:t>Accounts</w:t>
      </w:r>
      <w:r>
        <w:rPr>
          <w:spacing w:val="-10"/>
        </w:rPr>
        <w:t xml:space="preserve"> </w:t>
      </w:r>
      <w:r>
        <w:t>and</w:t>
      </w:r>
      <w:r>
        <w:rPr>
          <w:spacing w:val="-10"/>
        </w:rPr>
        <w:t xml:space="preserve"> </w:t>
      </w:r>
      <w:r>
        <w:t>Estimates</w:t>
      </w:r>
      <w:r>
        <w:rPr>
          <w:spacing w:val="-10"/>
        </w:rPr>
        <w:t xml:space="preserve"> </w:t>
      </w:r>
      <w:r>
        <w:t>Committee’s</w:t>
      </w:r>
      <w:r>
        <w:rPr>
          <w:spacing w:val="-10"/>
        </w:rPr>
        <w:t xml:space="preserve"> </w:t>
      </w:r>
      <w:r>
        <w:t>Final</w:t>
      </w:r>
      <w:r>
        <w:rPr>
          <w:spacing w:val="-11"/>
        </w:rPr>
        <w:t xml:space="preserve"> </w:t>
      </w:r>
      <w:r>
        <w:t>Report</w:t>
      </w:r>
      <w:r>
        <w:rPr>
          <w:spacing w:val="-10"/>
        </w:rPr>
        <w:t xml:space="preserve"> </w:t>
      </w:r>
      <w:r>
        <w:t>on</w:t>
      </w:r>
      <w:r>
        <w:rPr>
          <w:spacing w:val="-11"/>
        </w:rPr>
        <w:t xml:space="preserve"> </w:t>
      </w:r>
      <w:r>
        <w:t>the</w:t>
      </w:r>
      <w:r>
        <w:rPr>
          <w:spacing w:val="-10"/>
        </w:rPr>
        <w:t xml:space="preserve"> </w:t>
      </w:r>
      <w:r>
        <w:t>Victorian</w:t>
      </w:r>
      <w:r>
        <w:rPr>
          <w:spacing w:val="-10"/>
        </w:rPr>
        <w:t xml:space="preserve"> </w:t>
      </w:r>
      <w:r>
        <w:t>Government’s</w:t>
      </w:r>
      <w:r>
        <w:rPr>
          <w:spacing w:val="-10"/>
        </w:rPr>
        <w:t xml:space="preserve"> </w:t>
      </w:r>
      <w:r>
        <w:t>COVID- 19 response notes actions taken since the lockdowns, including:</w:t>
      </w:r>
    </w:p>
    <w:p w14:paraId="7CB25FD1" w14:textId="77777777" w:rsidR="008A4099" w:rsidRDefault="006A6EE2">
      <w:pPr>
        <w:pStyle w:val="ListParagraph"/>
        <w:numPr>
          <w:ilvl w:val="0"/>
          <w:numId w:val="5"/>
        </w:numPr>
        <w:tabs>
          <w:tab w:val="left" w:pos="520"/>
        </w:tabs>
        <w:spacing w:line="259" w:lineRule="auto"/>
        <w:ind w:right="1067"/>
        <w:jc w:val="left"/>
      </w:pPr>
      <w:r>
        <w:t>the</w:t>
      </w:r>
      <w:r>
        <w:rPr>
          <w:spacing w:val="-3"/>
        </w:rPr>
        <w:t xml:space="preserve"> </w:t>
      </w:r>
      <w:r>
        <w:t>establishment</w:t>
      </w:r>
      <w:r>
        <w:rPr>
          <w:spacing w:val="-2"/>
        </w:rPr>
        <w:t xml:space="preserve"> </w:t>
      </w:r>
      <w:r>
        <w:t>of</w:t>
      </w:r>
      <w:r>
        <w:rPr>
          <w:spacing w:val="-3"/>
        </w:rPr>
        <w:t xml:space="preserve"> </w:t>
      </w:r>
      <w:r>
        <w:t>a</w:t>
      </w:r>
      <w:r>
        <w:rPr>
          <w:spacing w:val="-3"/>
        </w:rPr>
        <w:t xml:space="preserve"> </w:t>
      </w:r>
      <w:r>
        <w:t>Tower</w:t>
      </w:r>
      <w:r>
        <w:rPr>
          <w:spacing w:val="-2"/>
        </w:rPr>
        <w:t xml:space="preserve"> </w:t>
      </w:r>
      <w:r>
        <w:t>Relocation</w:t>
      </w:r>
      <w:r>
        <w:rPr>
          <w:spacing w:val="-3"/>
        </w:rPr>
        <w:t xml:space="preserve"> </w:t>
      </w:r>
      <w:r>
        <w:t>Program,</w:t>
      </w:r>
      <w:r>
        <w:rPr>
          <w:spacing w:val="-3"/>
        </w:rPr>
        <w:t xml:space="preserve"> </w:t>
      </w:r>
      <w:r>
        <w:t>offering</w:t>
      </w:r>
      <w:r>
        <w:rPr>
          <w:spacing w:val="-6"/>
        </w:rPr>
        <w:t xml:space="preserve"> </w:t>
      </w:r>
      <w:r>
        <w:t>private</w:t>
      </w:r>
      <w:r>
        <w:rPr>
          <w:spacing w:val="-3"/>
        </w:rPr>
        <w:t xml:space="preserve"> </w:t>
      </w:r>
      <w:r>
        <w:t>rental</w:t>
      </w:r>
      <w:r>
        <w:rPr>
          <w:spacing w:val="-5"/>
        </w:rPr>
        <w:t xml:space="preserve"> </w:t>
      </w:r>
      <w:r>
        <w:t>properties</w:t>
      </w:r>
      <w:r>
        <w:rPr>
          <w:spacing w:val="-3"/>
        </w:rPr>
        <w:t xml:space="preserve"> </w:t>
      </w:r>
      <w:r>
        <w:t>outside</w:t>
      </w:r>
      <w:r>
        <w:rPr>
          <w:spacing w:val="-3"/>
        </w:rPr>
        <w:t xml:space="preserve"> </w:t>
      </w:r>
      <w:r>
        <w:t>of high-density public housing towers to high-risk tenants;</w:t>
      </w:r>
    </w:p>
    <w:p w14:paraId="7CB25FD2" w14:textId="77777777" w:rsidR="008A4099" w:rsidRDefault="008A4099">
      <w:pPr>
        <w:pStyle w:val="BodyText"/>
        <w:rPr>
          <w:sz w:val="20"/>
        </w:rPr>
      </w:pPr>
    </w:p>
    <w:p w14:paraId="7CB25FD3" w14:textId="77777777" w:rsidR="008A4099" w:rsidRDefault="006A6EE2">
      <w:pPr>
        <w:pStyle w:val="BodyText"/>
        <w:spacing w:before="90"/>
        <w:rPr>
          <w:sz w:val="20"/>
        </w:rPr>
      </w:pPr>
      <w:r>
        <w:rPr>
          <w:noProof/>
        </w:rPr>
        <mc:AlternateContent>
          <mc:Choice Requires="wps">
            <w:drawing>
              <wp:anchor distT="0" distB="0" distL="0" distR="0" simplePos="0" relativeHeight="487610368" behindDoc="1" locked="0" layoutInCell="1" allowOverlap="1" wp14:anchorId="7CB26633" wp14:editId="7CB26634">
                <wp:simplePos x="0" y="0"/>
                <wp:positionH relativeFrom="page">
                  <wp:posOffset>914704</wp:posOffset>
                </wp:positionH>
                <wp:positionV relativeFrom="paragraph">
                  <wp:posOffset>218675</wp:posOffset>
                </wp:positionV>
                <wp:extent cx="1829435" cy="762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2AEDA0" id="Graphic 87" o:spid="_x0000_s1026" style="position:absolute;margin-left:1in;margin-top:17.2pt;width:144.05pt;height:.6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" path="m1829054,l,,,7620r1829054,l1829054,xe" fillcolor="black" stroked="f">
                <v:path arrowok="t"/>
                <w10:wrap type="topAndBottom" anchorx="page"/>
              </v:shape>
            </w:pict>
          </mc:Fallback>
        </mc:AlternateContent>
      </w:r>
    </w:p>
    <w:p w14:paraId="7CB25FD4" w14:textId="77777777" w:rsidR="008A4099" w:rsidRDefault="006A6EE2">
      <w:pPr>
        <w:spacing w:before="112" w:line="242" w:lineRule="auto"/>
        <w:ind w:left="160" w:right="675"/>
        <w:jc w:val="both"/>
        <w:rPr>
          <w:sz w:val="18"/>
        </w:rPr>
      </w:pPr>
      <w:r>
        <w:rPr>
          <w:sz w:val="18"/>
          <w:vertAlign w:val="superscript"/>
        </w:rPr>
        <w:t>277</w:t>
      </w:r>
      <w:r>
        <w:rPr>
          <w:spacing w:val="-1"/>
          <w:sz w:val="18"/>
        </w:rPr>
        <w:t xml:space="preserve"> </w:t>
      </w:r>
      <w:r>
        <w:rPr>
          <w:sz w:val="18"/>
        </w:rPr>
        <w:t>The</w:t>
      </w:r>
      <w:r>
        <w:rPr>
          <w:spacing w:val="-4"/>
          <w:sz w:val="18"/>
        </w:rPr>
        <w:t xml:space="preserve"> </w:t>
      </w:r>
      <w:r>
        <w:rPr>
          <w:sz w:val="18"/>
        </w:rPr>
        <w:t>Victorian</w:t>
      </w:r>
      <w:r>
        <w:rPr>
          <w:spacing w:val="-3"/>
          <w:sz w:val="18"/>
        </w:rPr>
        <w:t xml:space="preserve"> </w:t>
      </w:r>
      <w:r>
        <w:rPr>
          <w:sz w:val="18"/>
        </w:rPr>
        <w:t>Ombudsman</w:t>
      </w:r>
      <w:r>
        <w:rPr>
          <w:spacing w:val="-2"/>
          <w:sz w:val="18"/>
        </w:rPr>
        <w:t xml:space="preserve"> </w:t>
      </w:r>
      <w:r>
        <w:rPr>
          <w:sz w:val="18"/>
        </w:rPr>
        <w:t>determined to</w:t>
      </w:r>
      <w:r>
        <w:rPr>
          <w:spacing w:val="-2"/>
          <w:sz w:val="18"/>
        </w:rPr>
        <w:t xml:space="preserve"> </w:t>
      </w:r>
      <w:r>
        <w:rPr>
          <w:sz w:val="18"/>
        </w:rPr>
        <w:t>investigate,</w:t>
      </w:r>
      <w:r>
        <w:rPr>
          <w:spacing w:val="-3"/>
          <w:sz w:val="18"/>
        </w:rPr>
        <w:t xml:space="preserve"> </w:t>
      </w:r>
      <w:r>
        <w:rPr>
          <w:sz w:val="18"/>
        </w:rPr>
        <w:t>on</w:t>
      </w:r>
      <w:r>
        <w:rPr>
          <w:spacing w:val="-2"/>
          <w:sz w:val="18"/>
        </w:rPr>
        <w:t xml:space="preserve"> </w:t>
      </w:r>
      <w:r>
        <w:rPr>
          <w:sz w:val="18"/>
        </w:rPr>
        <w:t>its</w:t>
      </w:r>
      <w:r>
        <w:rPr>
          <w:spacing w:val="-4"/>
          <w:sz w:val="18"/>
        </w:rPr>
        <w:t xml:space="preserve"> </w:t>
      </w:r>
      <w:r>
        <w:rPr>
          <w:sz w:val="18"/>
        </w:rPr>
        <w:t>own</w:t>
      </w:r>
      <w:r>
        <w:rPr>
          <w:spacing w:val="-2"/>
          <w:sz w:val="18"/>
        </w:rPr>
        <w:t xml:space="preserve"> </w:t>
      </w:r>
      <w:r>
        <w:rPr>
          <w:sz w:val="18"/>
        </w:rPr>
        <w:t>motion, the</w:t>
      </w:r>
      <w:r>
        <w:rPr>
          <w:spacing w:val="-4"/>
          <w:sz w:val="18"/>
        </w:rPr>
        <w:t xml:space="preserve"> </w:t>
      </w:r>
      <w:r>
        <w:rPr>
          <w:sz w:val="18"/>
        </w:rPr>
        <w:t>use</w:t>
      </w:r>
      <w:r>
        <w:rPr>
          <w:spacing w:val="-4"/>
          <w:sz w:val="18"/>
        </w:rPr>
        <w:t xml:space="preserve"> </w:t>
      </w:r>
      <w:r>
        <w:rPr>
          <w:sz w:val="18"/>
        </w:rPr>
        <w:t>of</w:t>
      </w:r>
      <w:r>
        <w:rPr>
          <w:spacing w:val="-1"/>
          <w:sz w:val="18"/>
        </w:rPr>
        <w:t xml:space="preserve"> </w:t>
      </w:r>
      <w:r>
        <w:rPr>
          <w:sz w:val="18"/>
        </w:rPr>
        <w:t>emergency</w:t>
      </w:r>
      <w:r>
        <w:rPr>
          <w:spacing w:val="-2"/>
          <w:sz w:val="18"/>
        </w:rPr>
        <w:t xml:space="preserve"> </w:t>
      </w:r>
      <w:r>
        <w:rPr>
          <w:sz w:val="18"/>
        </w:rPr>
        <w:t>powers</w:t>
      </w:r>
      <w:r>
        <w:rPr>
          <w:spacing w:val="-1"/>
          <w:sz w:val="18"/>
        </w:rPr>
        <w:t xml:space="preserve"> </w:t>
      </w:r>
      <w:r>
        <w:rPr>
          <w:sz w:val="18"/>
        </w:rPr>
        <w:t>by</w:t>
      </w:r>
      <w:r>
        <w:rPr>
          <w:spacing w:val="-2"/>
          <w:sz w:val="18"/>
        </w:rPr>
        <w:t xml:space="preserve"> </w:t>
      </w:r>
      <w:r>
        <w:rPr>
          <w:sz w:val="18"/>
        </w:rPr>
        <w:t>the</w:t>
      </w:r>
      <w:r>
        <w:rPr>
          <w:spacing w:val="-4"/>
          <w:sz w:val="18"/>
        </w:rPr>
        <w:t xml:space="preserve"> </w:t>
      </w:r>
      <w:r>
        <w:rPr>
          <w:sz w:val="18"/>
        </w:rPr>
        <w:t>Department of</w:t>
      </w:r>
      <w:r>
        <w:rPr>
          <w:spacing w:val="-11"/>
          <w:sz w:val="18"/>
        </w:rPr>
        <w:t xml:space="preserve"> </w:t>
      </w:r>
      <w:r>
        <w:rPr>
          <w:sz w:val="18"/>
        </w:rPr>
        <w:t>Health</w:t>
      </w:r>
      <w:r>
        <w:rPr>
          <w:spacing w:val="-9"/>
          <w:sz w:val="18"/>
        </w:rPr>
        <w:t xml:space="preserve"> </w:t>
      </w:r>
      <w:r>
        <w:rPr>
          <w:sz w:val="18"/>
        </w:rPr>
        <w:t>and</w:t>
      </w:r>
      <w:r>
        <w:rPr>
          <w:spacing w:val="-10"/>
          <w:sz w:val="18"/>
        </w:rPr>
        <w:t xml:space="preserve"> </w:t>
      </w:r>
      <w:r>
        <w:rPr>
          <w:sz w:val="18"/>
        </w:rPr>
        <w:t>Human</w:t>
      </w:r>
      <w:r>
        <w:rPr>
          <w:spacing w:val="-9"/>
          <w:sz w:val="18"/>
        </w:rPr>
        <w:t xml:space="preserve"> </w:t>
      </w:r>
      <w:r>
        <w:rPr>
          <w:sz w:val="18"/>
        </w:rPr>
        <w:t>Services,</w:t>
      </w:r>
      <w:r>
        <w:rPr>
          <w:spacing w:val="-10"/>
          <w:sz w:val="18"/>
        </w:rPr>
        <w:t xml:space="preserve"> </w:t>
      </w:r>
      <w:r>
        <w:rPr>
          <w:sz w:val="18"/>
        </w:rPr>
        <w:t>including,</w:t>
      </w:r>
      <w:r>
        <w:rPr>
          <w:spacing w:val="-11"/>
          <w:sz w:val="18"/>
        </w:rPr>
        <w:t xml:space="preserve"> </w:t>
      </w:r>
      <w:r>
        <w:rPr>
          <w:sz w:val="18"/>
        </w:rPr>
        <w:t>inter</w:t>
      </w:r>
      <w:r>
        <w:rPr>
          <w:spacing w:val="-10"/>
          <w:sz w:val="18"/>
        </w:rPr>
        <w:t xml:space="preserve"> </w:t>
      </w:r>
      <w:r>
        <w:rPr>
          <w:sz w:val="18"/>
        </w:rPr>
        <w:t>alia,</w:t>
      </w:r>
      <w:r>
        <w:rPr>
          <w:spacing w:val="-6"/>
          <w:sz w:val="18"/>
        </w:rPr>
        <w:t xml:space="preserve"> </w:t>
      </w:r>
      <w:r>
        <w:rPr>
          <w:sz w:val="18"/>
        </w:rPr>
        <w:t>‘whether</w:t>
      </w:r>
      <w:r>
        <w:rPr>
          <w:spacing w:val="-10"/>
          <w:sz w:val="18"/>
        </w:rPr>
        <w:t xml:space="preserve"> </w:t>
      </w:r>
      <w:r>
        <w:rPr>
          <w:sz w:val="18"/>
        </w:rPr>
        <w:t>imposition</w:t>
      </w:r>
      <w:r>
        <w:rPr>
          <w:spacing w:val="-10"/>
          <w:sz w:val="18"/>
        </w:rPr>
        <w:t xml:space="preserve"> </w:t>
      </w:r>
      <w:r>
        <w:rPr>
          <w:sz w:val="18"/>
        </w:rPr>
        <w:t>of</w:t>
      </w:r>
      <w:r>
        <w:rPr>
          <w:spacing w:val="-11"/>
          <w:sz w:val="18"/>
        </w:rPr>
        <w:t xml:space="preserve"> </w:t>
      </w:r>
      <w:r>
        <w:rPr>
          <w:sz w:val="18"/>
        </w:rPr>
        <w:t>the</w:t>
      </w:r>
      <w:r>
        <w:rPr>
          <w:spacing w:val="-12"/>
          <w:sz w:val="18"/>
        </w:rPr>
        <w:t xml:space="preserve"> </w:t>
      </w:r>
      <w:r>
        <w:rPr>
          <w:sz w:val="18"/>
        </w:rPr>
        <w:t>lockdown</w:t>
      </w:r>
      <w:r>
        <w:rPr>
          <w:spacing w:val="-8"/>
          <w:sz w:val="18"/>
        </w:rPr>
        <w:t xml:space="preserve"> </w:t>
      </w:r>
      <w:r>
        <w:rPr>
          <w:sz w:val="18"/>
        </w:rPr>
        <w:t>complied</w:t>
      </w:r>
      <w:r>
        <w:rPr>
          <w:spacing w:val="-10"/>
          <w:sz w:val="18"/>
        </w:rPr>
        <w:t xml:space="preserve"> </w:t>
      </w:r>
      <w:r>
        <w:rPr>
          <w:sz w:val="18"/>
        </w:rPr>
        <w:t>with</w:t>
      </w:r>
      <w:r>
        <w:rPr>
          <w:spacing w:val="-9"/>
          <w:sz w:val="18"/>
        </w:rPr>
        <w:t xml:space="preserve"> </w:t>
      </w:r>
      <w:r>
        <w:rPr>
          <w:sz w:val="18"/>
        </w:rPr>
        <w:t>the</w:t>
      </w:r>
      <w:r>
        <w:rPr>
          <w:spacing w:val="-10"/>
          <w:sz w:val="18"/>
        </w:rPr>
        <w:t xml:space="preserve"> </w:t>
      </w:r>
      <w:r>
        <w:rPr>
          <w:sz w:val="18"/>
        </w:rPr>
        <w:t>Charter</w:t>
      </w:r>
      <w:r>
        <w:rPr>
          <w:spacing w:val="-12"/>
          <w:sz w:val="18"/>
        </w:rPr>
        <w:t xml:space="preserve"> </w:t>
      </w:r>
      <w:r>
        <w:rPr>
          <w:sz w:val="18"/>
        </w:rPr>
        <w:t>of</w:t>
      </w:r>
      <w:r>
        <w:rPr>
          <w:spacing w:val="-9"/>
          <w:sz w:val="18"/>
        </w:rPr>
        <w:t xml:space="preserve"> </w:t>
      </w:r>
      <w:r>
        <w:rPr>
          <w:sz w:val="18"/>
        </w:rPr>
        <w:t>Human Rights</w:t>
      </w:r>
      <w:r>
        <w:rPr>
          <w:spacing w:val="-7"/>
          <w:sz w:val="18"/>
        </w:rPr>
        <w:t xml:space="preserve"> </w:t>
      </w:r>
      <w:r>
        <w:rPr>
          <w:sz w:val="18"/>
        </w:rPr>
        <w:t>and</w:t>
      </w:r>
      <w:r>
        <w:rPr>
          <w:spacing w:val="-4"/>
          <w:sz w:val="18"/>
        </w:rPr>
        <w:t xml:space="preserve"> </w:t>
      </w:r>
      <w:r>
        <w:rPr>
          <w:sz w:val="18"/>
        </w:rPr>
        <w:t>Responsibilities</w:t>
      </w:r>
      <w:r>
        <w:rPr>
          <w:spacing w:val="-8"/>
          <w:sz w:val="18"/>
        </w:rPr>
        <w:t xml:space="preserve"> </w:t>
      </w:r>
      <w:r>
        <w:rPr>
          <w:sz w:val="18"/>
        </w:rPr>
        <w:t>Act</w:t>
      </w:r>
      <w:r>
        <w:rPr>
          <w:spacing w:val="-6"/>
          <w:sz w:val="18"/>
        </w:rPr>
        <w:t xml:space="preserve"> </w:t>
      </w:r>
      <w:r>
        <w:rPr>
          <w:sz w:val="18"/>
        </w:rPr>
        <w:t>2006</w:t>
      </w:r>
      <w:r>
        <w:rPr>
          <w:spacing w:val="-6"/>
          <w:sz w:val="18"/>
        </w:rPr>
        <w:t xml:space="preserve"> </w:t>
      </w:r>
      <w:r>
        <w:rPr>
          <w:sz w:val="18"/>
        </w:rPr>
        <w:t>(Vic)’:</w:t>
      </w:r>
      <w:r>
        <w:rPr>
          <w:spacing w:val="-6"/>
          <w:sz w:val="18"/>
        </w:rPr>
        <w:t xml:space="preserve"> </w:t>
      </w:r>
      <w:r>
        <w:rPr>
          <w:sz w:val="18"/>
        </w:rPr>
        <w:t>Victorian</w:t>
      </w:r>
      <w:r>
        <w:rPr>
          <w:spacing w:val="-4"/>
          <w:sz w:val="18"/>
        </w:rPr>
        <w:t xml:space="preserve"> </w:t>
      </w:r>
      <w:r>
        <w:rPr>
          <w:sz w:val="18"/>
        </w:rPr>
        <w:t>Ombudsman,</w:t>
      </w:r>
      <w:r>
        <w:rPr>
          <w:spacing w:val="-4"/>
          <w:sz w:val="18"/>
        </w:rPr>
        <w:t xml:space="preserve"> </w:t>
      </w:r>
      <w:r>
        <w:rPr>
          <w:i/>
          <w:sz w:val="18"/>
        </w:rPr>
        <w:t>Investigation</w:t>
      </w:r>
      <w:r>
        <w:rPr>
          <w:i/>
          <w:spacing w:val="-6"/>
          <w:sz w:val="18"/>
        </w:rPr>
        <w:t xml:space="preserve"> </w:t>
      </w:r>
      <w:r>
        <w:rPr>
          <w:i/>
          <w:sz w:val="18"/>
        </w:rPr>
        <w:t>into</w:t>
      </w:r>
      <w:r>
        <w:rPr>
          <w:i/>
          <w:spacing w:val="-6"/>
          <w:sz w:val="18"/>
        </w:rPr>
        <w:t xml:space="preserve"> </w:t>
      </w:r>
      <w:r>
        <w:rPr>
          <w:i/>
          <w:sz w:val="18"/>
        </w:rPr>
        <w:t>the</w:t>
      </w:r>
      <w:r>
        <w:rPr>
          <w:i/>
          <w:spacing w:val="-7"/>
          <w:sz w:val="18"/>
        </w:rPr>
        <w:t xml:space="preserve"> </w:t>
      </w:r>
      <w:r>
        <w:rPr>
          <w:i/>
          <w:sz w:val="18"/>
        </w:rPr>
        <w:t>Detention</w:t>
      </w:r>
      <w:r>
        <w:rPr>
          <w:i/>
          <w:spacing w:val="-6"/>
          <w:sz w:val="18"/>
        </w:rPr>
        <w:t xml:space="preserve"> </w:t>
      </w:r>
      <w:r>
        <w:rPr>
          <w:i/>
          <w:sz w:val="18"/>
        </w:rPr>
        <w:t>and</w:t>
      </w:r>
      <w:r>
        <w:rPr>
          <w:i/>
          <w:spacing w:val="-6"/>
          <w:sz w:val="18"/>
        </w:rPr>
        <w:t xml:space="preserve"> </w:t>
      </w:r>
      <w:r>
        <w:rPr>
          <w:i/>
          <w:sz w:val="18"/>
        </w:rPr>
        <w:t>Treatment</w:t>
      </w:r>
      <w:r>
        <w:rPr>
          <w:i/>
          <w:spacing w:val="-6"/>
          <w:sz w:val="18"/>
        </w:rPr>
        <w:t xml:space="preserve"> </w:t>
      </w:r>
      <w:r>
        <w:rPr>
          <w:i/>
          <w:sz w:val="18"/>
        </w:rPr>
        <w:t>of</w:t>
      </w:r>
      <w:r>
        <w:rPr>
          <w:i/>
          <w:spacing w:val="-6"/>
          <w:sz w:val="18"/>
        </w:rPr>
        <w:t xml:space="preserve"> </w:t>
      </w:r>
      <w:r>
        <w:rPr>
          <w:i/>
          <w:sz w:val="18"/>
        </w:rPr>
        <w:t xml:space="preserve">Public Housing Residents Arising from a COVID-19 ‘Hard Lockdown’ in July 2020 </w:t>
      </w:r>
      <w:r>
        <w:rPr>
          <w:sz w:val="18"/>
        </w:rPr>
        <w:t>(December 2020) 12 [8].</w:t>
      </w:r>
    </w:p>
    <w:p w14:paraId="7CB25FD5" w14:textId="77777777" w:rsidR="008A4099" w:rsidRDefault="006A6EE2">
      <w:pPr>
        <w:spacing w:before="16"/>
        <w:ind w:left="160"/>
        <w:rPr>
          <w:sz w:val="18"/>
        </w:rPr>
      </w:pPr>
      <w:r>
        <w:rPr>
          <w:sz w:val="18"/>
          <w:vertAlign w:val="superscript"/>
        </w:rPr>
        <w:t>278</w:t>
      </w:r>
      <w:r>
        <w:rPr>
          <w:spacing w:val="3"/>
          <w:sz w:val="18"/>
        </w:rPr>
        <w:t xml:space="preserve"> </w:t>
      </w:r>
      <w:r>
        <w:rPr>
          <w:sz w:val="18"/>
        </w:rPr>
        <w:t>See</w:t>
      </w:r>
      <w:r>
        <w:rPr>
          <w:spacing w:val="2"/>
          <w:sz w:val="18"/>
        </w:rPr>
        <w:t xml:space="preserve"> </w:t>
      </w:r>
      <w:r>
        <w:rPr>
          <w:sz w:val="18"/>
        </w:rPr>
        <w:t>ibid</w:t>
      </w:r>
      <w:r>
        <w:rPr>
          <w:spacing w:val="5"/>
          <w:sz w:val="18"/>
        </w:rPr>
        <w:t xml:space="preserve"> </w:t>
      </w:r>
      <w:r>
        <w:rPr>
          <w:spacing w:val="-2"/>
          <w:sz w:val="18"/>
        </w:rPr>
        <w:t>[300]–[340].</w:t>
      </w:r>
    </w:p>
    <w:p w14:paraId="7CB25FD6" w14:textId="77777777" w:rsidR="008A4099" w:rsidRDefault="006A6EE2">
      <w:pPr>
        <w:spacing w:before="24"/>
        <w:ind w:left="160"/>
        <w:rPr>
          <w:sz w:val="18"/>
        </w:rPr>
      </w:pPr>
      <w:r>
        <w:rPr>
          <w:sz w:val="18"/>
          <w:vertAlign w:val="superscript"/>
        </w:rPr>
        <w:t>279</w:t>
      </w:r>
      <w:r>
        <w:rPr>
          <w:spacing w:val="6"/>
          <w:sz w:val="18"/>
        </w:rPr>
        <w:t xml:space="preserve"> </w:t>
      </w:r>
      <w:r>
        <w:rPr>
          <w:sz w:val="18"/>
        </w:rPr>
        <w:t>Ibid</w:t>
      </w:r>
      <w:r>
        <w:rPr>
          <w:spacing w:val="6"/>
          <w:sz w:val="18"/>
        </w:rPr>
        <w:t xml:space="preserve"> </w:t>
      </w:r>
      <w:r>
        <w:rPr>
          <w:spacing w:val="-2"/>
          <w:sz w:val="18"/>
        </w:rPr>
        <w:t>[24].</w:t>
      </w:r>
    </w:p>
    <w:p w14:paraId="7CB25FD7" w14:textId="77777777" w:rsidR="008A4099" w:rsidRDefault="006A6EE2">
      <w:pPr>
        <w:spacing w:before="21"/>
        <w:ind w:left="160"/>
        <w:rPr>
          <w:sz w:val="18"/>
        </w:rPr>
      </w:pPr>
      <w:r>
        <w:rPr>
          <w:sz w:val="18"/>
          <w:vertAlign w:val="superscript"/>
        </w:rPr>
        <w:t>280</w:t>
      </w:r>
      <w:r>
        <w:rPr>
          <w:spacing w:val="-1"/>
          <w:sz w:val="18"/>
        </w:rPr>
        <w:t xml:space="preserve"> </w:t>
      </w:r>
      <w:r>
        <w:rPr>
          <w:sz w:val="18"/>
        </w:rPr>
        <w:t>Ibid. Records</w:t>
      </w:r>
      <w:r>
        <w:rPr>
          <w:spacing w:val="-3"/>
          <w:sz w:val="18"/>
        </w:rPr>
        <w:t xml:space="preserve"> </w:t>
      </w:r>
      <w:r>
        <w:rPr>
          <w:sz w:val="18"/>
        </w:rPr>
        <w:t>indicate that</w:t>
      </w:r>
      <w:r>
        <w:rPr>
          <w:spacing w:val="-2"/>
          <w:sz w:val="18"/>
        </w:rPr>
        <w:t xml:space="preserve"> </w:t>
      </w:r>
      <w:r>
        <w:rPr>
          <w:sz w:val="18"/>
        </w:rPr>
        <w:t>only</w:t>
      </w:r>
      <w:r>
        <w:rPr>
          <w:spacing w:val="1"/>
          <w:sz w:val="18"/>
        </w:rPr>
        <w:t xml:space="preserve"> </w:t>
      </w:r>
      <w:r>
        <w:rPr>
          <w:sz w:val="18"/>
        </w:rPr>
        <w:t>15</w:t>
      </w:r>
      <w:r>
        <w:rPr>
          <w:spacing w:val="1"/>
          <w:sz w:val="18"/>
        </w:rPr>
        <w:t xml:space="preserve"> </w:t>
      </w:r>
      <w:r>
        <w:rPr>
          <w:sz w:val="18"/>
        </w:rPr>
        <w:t>minutes</w:t>
      </w:r>
      <w:r>
        <w:rPr>
          <w:spacing w:val="-1"/>
          <w:sz w:val="18"/>
        </w:rPr>
        <w:t xml:space="preserve"> </w:t>
      </w:r>
      <w:r>
        <w:rPr>
          <w:sz w:val="18"/>
        </w:rPr>
        <w:t>was allocated</w:t>
      </w:r>
      <w:r>
        <w:rPr>
          <w:spacing w:val="1"/>
          <w:sz w:val="18"/>
        </w:rPr>
        <w:t xml:space="preserve"> </w:t>
      </w:r>
      <w:r>
        <w:rPr>
          <w:sz w:val="18"/>
        </w:rPr>
        <w:t>to</w:t>
      </w:r>
      <w:r>
        <w:rPr>
          <w:spacing w:val="-1"/>
          <w:sz w:val="18"/>
        </w:rPr>
        <w:t xml:space="preserve"> </w:t>
      </w:r>
      <w:r>
        <w:rPr>
          <w:sz w:val="18"/>
        </w:rPr>
        <w:t>reviewing</w:t>
      </w:r>
      <w:r>
        <w:rPr>
          <w:spacing w:val="-1"/>
          <w:sz w:val="18"/>
        </w:rPr>
        <w:t xml:space="preserve"> </w:t>
      </w:r>
      <w:r>
        <w:rPr>
          <w:sz w:val="18"/>
        </w:rPr>
        <w:t>the</w:t>
      </w:r>
      <w:r>
        <w:rPr>
          <w:spacing w:val="-3"/>
          <w:sz w:val="18"/>
        </w:rPr>
        <w:t xml:space="preserve"> </w:t>
      </w:r>
      <w:r>
        <w:rPr>
          <w:sz w:val="18"/>
        </w:rPr>
        <w:t>human</w:t>
      </w:r>
      <w:r>
        <w:rPr>
          <w:spacing w:val="1"/>
          <w:sz w:val="18"/>
        </w:rPr>
        <w:t xml:space="preserve"> </w:t>
      </w:r>
      <w:r>
        <w:rPr>
          <w:sz w:val="18"/>
        </w:rPr>
        <w:t>rights</w:t>
      </w:r>
      <w:r>
        <w:rPr>
          <w:spacing w:val="-3"/>
          <w:sz w:val="18"/>
        </w:rPr>
        <w:t xml:space="preserve"> </w:t>
      </w:r>
      <w:r>
        <w:rPr>
          <w:sz w:val="18"/>
        </w:rPr>
        <w:t>assessment.</w:t>
      </w:r>
      <w:r>
        <w:rPr>
          <w:spacing w:val="1"/>
          <w:sz w:val="18"/>
        </w:rPr>
        <w:t xml:space="preserve"> </w:t>
      </w:r>
      <w:r>
        <w:rPr>
          <w:sz w:val="18"/>
        </w:rPr>
        <w:t>See</w:t>
      </w:r>
      <w:r>
        <w:rPr>
          <w:spacing w:val="8"/>
          <w:sz w:val="18"/>
        </w:rPr>
        <w:t xml:space="preserve"> </w:t>
      </w:r>
      <w:r>
        <w:rPr>
          <w:sz w:val="18"/>
        </w:rPr>
        <w:t>ibid</w:t>
      </w:r>
      <w:r>
        <w:rPr>
          <w:spacing w:val="-1"/>
          <w:sz w:val="18"/>
        </w:rPr>
        <w:t xml:space="preserve"> </w:t>
      </w:r>
      <w:r>
        <w:rPr>
          <w:spacing w:val="-2"/>
          <w:sz w:val="18"/>
        </w:rPr>
        <w:t>[74]–[75].</w:t>
      </w:r>
    </w:p>
    <w:p w14:paraId="7CB25FD8" w14:textId="77777777" w:rsidR="008A4099" w:rsidRDefault="006A6EE2">
      <w:pPr>
        <w:spacing w:before="23"/>
        <w:ind w:left="160"/>
        <w:rPr>
          <w:sz w:val="18"/>
        </w:rPr>
      </w:pPr>
      <w:r>
        <w:rPr>
          <w:sz w:val="18"/>
          <w:vertAlign w:val="superscript"/>
        </w:rPr>
        <w:t>281</w:t>
      </w:r>
      <w:r>
        <w:rPr>
          <w:spacing w:val="6"/>
          <w:sz w:val="18"/>
        </w:rPr>
        <w:t xml:space="preserve"> </w:t>
      </w:r>
      <w:r>
        <w:rPr>
          <w:sz w:val="18"/>
        </w:rPr>
        <w:t>Ibid</w:t>
      </w:r>
      <w:r>
        <w:rPr>
          <w:spacing w:val="6"/>
          <w:sz w:val="18"/>
        </w:rPr>
        <w:t xml:space="preserve"> </w:t>
      </w:r>
      <w:r>
        <w:rPr>
          <w:spacing w:val="-2"/>
          <w:sz w:val="18"/>
        </w:rPr>
        <w:t>[71]–[75].</w:t>
      </w:r>
    </w:p>
    <w:p w14:paraId="7CB25FD9" w14:textId="77777777" w:rsidR="008A4099" w:rsidRDefault="006A6EE2">
      <w:pPr>
        <w:spacing w:before="23"/>
        <w:ind w:left="160"/>
        <w:rPr>
          <w:sz w:val="18"/>
        </w:rPr>
      </w:pPr>
      <w:r>
        <w:rPr>
          <w:sz w:val="18"/>
          <w:vertAlign w:val="superscript"/>
        </w:rPr>
        <w:t>282</w:t>
      </w:r>
      <w:r>
        <w:rPr>
          <w:spacing w:val="6"/>
          <w:sz w:val="18"/>
        </w:rPr>
        <w:t xml:space="preserve"> </w:t>
      </w:r>
      <w:r>
        <w:rPr>
          <w:sz w:val="18"/>
        </w:rPr>
        <w:t>Ibid</w:t>
      </w:r>
      <w:r>
        <w:rPr>
          <w:spacing w:val="6"/>
          <w:sz w:val="18"/>
        </w:rPr>
        <w:t xml:space="preserve"> </w:t>
      </w:r>
      <w:r>
        <w:rPr>
          <w:spacing w:val="-2"/>
          <w:sz w:val="18"/>
        </w:rPr>
        <w:t>[46].</w:t>
      </w:r>
    </w:p>
    <w:p w14:paraId="7CB25FDA" w14:textId="77777777" w:rsidR="008A4099" w:rsidRDefault="006A6EE2">
      <w:pPr>
        <w:spacing w:before="24"/>
        <w:ind w:left="160"/>
        <w:rPr>
          <w:sz w:val="18"/>
        </w:rPr>
      </w:pPr>
      <w:r>
        <w:rPr>
          <w:sz w:val="18"/>
          <w:vertAlign w:val="superscript"/>
        </w:rPr>
        <w:t>283</w:t>
      </w:r>
      <w:r>
        <w:rPr>
          <w:spacing w:val="2"/>
          <w:sz w:val="18"/>
        </w:rPr>
        <w:t xml:space="preserve"> </w:t>
      </w:r>
      <w:r>
        <w:rPr>
          <w:sz w:val="18"/>
        </w:rPr>
        <w:t>Ibid</w:t>
      </w:r>
      <w:r>
        <w:rPr>
          <w:spacing w:val="1"/>
          <w:sz w:val="18"/>
        </w:rPr>
        <w:t xml:space="preserve"> </w:t>
      </w:r>
      <w:r>
        <w:rPr>
          <w:sz w:val="18"/>
        </w:rPr>
        <w:t>180, Recommendation</w:t>
      </w:r>
      <w:r>
        <w:rPr>
          <w:spacing w:val="3"/>
          <w:sz w:val="18"/>
        </w:rPr>
        <w:t xml:space="preserve"> </w:t>
      </w:r>
      <w:r>
        <w:rPr>
          <w:spacing w:val="-5"/>
          <w:sz w:val="18"/>
        </w:rPr>
        <w:t>5.</w:t>
      </w:r>
    </w:p>
    <w:p w14:paraId="7CB25FDB" w14:textId="77777777" w:rsidR="008A4099" w:rsidRDefault="008A4099">
      <w:pPr>
        <w:rPr>
          <w:sz w:val="18"/>
        </w:rPr>
        <w:sectPr w:rsidR="008A4099" w:rsidSect="00D43B2D">
          <w:pgSz w:w="11910" w:h="16840"/>
          <w:pgMar w:top="980" w:right="760" w:bottom="940" w:left="1280" w:header="718" w:footer="753" w:gutter="0"/>
          <w:cols w:space="720"/>
        </w:sectPr>
      </w:pPr>
    </w:p>
    <w:p w14:paraId="7CB25FDC" w14:textId="77777777" w:rsidR="008A4099" w:rsidRDefault="008A4099">
      <w:pPr>
        <w:pStyle w:val="BodyText"/>
        <w:spacing w:before="177" w:after="1"/>
        <w:rPr>
          <w:sz w:val="20"/>
        </w:rPr>
      </w:pPr>
    </w:p>
    <w:p w14:paraId="7CB25FDD" w14:textId="77777777" w:rsidR="008A4099" w:rsidRDefault="006A6EE2">
      <w:pPr>
        <w:pStyle w:val="BodyText"/>
        <w:ind w:left="131"/>
        <w:rPr>
          <w:sz w:val="20"/>
        </w:rPr>
      </w:pPr>
      <w:r>
        <w:rPr>
          <w:noProof/>
          <w:sz w:val="20"/>
        </w:rPr>
        <mc:AlternateContent>
          <mc:Choice Requires="wps">
            <w:drawing>
              <wp:inline distT="0" distB="0" distL="0" distR="0" wp14:anchorId="7CB26635" wp14:editId="7CB26636">
                <wp:extent cx="5769610" cy="1052195"/>
                <wp:effectExtent l="0" t="0" r="0" b="0"/>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1052195"/>
                        </a:xfrm>
                        <a:prstGeom prst="rect">
                          <a:avLst/>
                        </a:prstGeom>
                        <a:solidFill>
                          <a:srgbClr val="E8E8E8"/>
                        </a:solidFill>
                      </wps:spPr>
                      <wps:txbx>
                        <w:txbxContent>
                          <w:p w14:paraId="7CB26763" w14:textId="77777777" w:rsidR="008A4099" w:rsidRDefault="006A6EE2">
                            <w:pPr>
                              <w:pStyle w:val="BodyText"/>
                              <w:numPr>
                                <w:ilvl w:val="0"/>
                                <w:numId w:val="4"/>
                              </w:numPr>
                              <w:tabs>
                                <w:tab w:val="left" w:pos="388"/>
                              </w:tabs>
                              <w:spacing w:before="40" w:line="259" w:lineRule="auto"/>
                              <w:ind w:right="136"/>
                              <w:rPr>
                                <w:color w:val="000000"/>
                              </w:rPr>
                            </w:pPr>
                            <w:r>
                              <w:rPr>
                                <w:color w:val="000000"/>
                              </w:rPr>
                              <w:t>the</w:t>
                            </w:r>
                            <w:r>
                              <w:rPr>
                                <w:color w:val="000000"/>
                                <w:spacing w:val="-3"/>
                              </w:rPr>
                              <w:t xml:space="preserve"> </w:t>
                            </w:r>
                            <w:r>
                              <w:rPr>
                                <w:color w:val="000000"/>
                              </w:rPr>
                              <w:t>establishment</w:t>
                            </w:r>
                            <w:r>
                              <w:rPr>
                                <w:color w:val="000000"/>
                                <w:spacing w:val="-2"/>
                              </w:rPr>
                              <w:t xml:space="preserve"> </w:t>
                            </w:r>
                            <w:r>
                              <w:rPr>
                                <w:color w:val="000000"/>
                              </w:rPr>
                              <w:t>of</w:t>
                            </w:r>
                            <w:r>
                              <w:rPr>
                                <w:color w:val="000000"/>
                                <w:spacing w:val="-3"/>
                              </w:rPr>
                              <w:t xml:space="preserve"> </w:t>
                            </w:r>
                            <w:r>
                              <w:rPr>
                                <w:color w:val="000000"/>
                              </w:rPr>
                              <w:t>a</w:t>
                            </w:r>
                            <w:r>
                              <w:rPr>
                                <w:color w:val="000000"/>
                                <w:spacing w:val="-3"/>
                              </w:rPr>
                              <w:t xml:space="preserve"> </w:t>
                            </w:r>
                            <w:r>
                              <w:rPr>
                                <w:color w:val="000000"/>
                              </w:rPr>
                              <w:t>North</w:t>
                            </w:r>
                            <w:r>
                              <w:rPr>
                                <w:color w:val="000000"/>
                                <w:spacing w:val="-3"/>
                              </w:rPr>
                              <w:t xml:space="preserve"> </w:t>
                            </w:r>
                            <w:r>
                              <w:rPr>
                                <w:color w:val="000000"/>
                              </w:rPr>
                              <w:t>Melbourne,</w:t>
                            </w:r>
                            <w:r>
                              <w:rPr>
                                <w:color w:val="000000"/>
                                <w:spacing w:val="-3"/>
                              </w:rPr>
                              <w:t xml:space="preserve"> </w:t>
                            </w:r>
                            <w:r>
                              <w:rPr>
                                <w:color w:val="000000"/>
                              </w:rPr>
                              <w:t>Flemington</w:t>
                            </w:r>
                            <w:r>
                              <w:rPr>
                                <w:color w:val="000000"/>
                                <w:spacing w:val="-5"/>
                              </w:rPr>
                              <w:t xml:space="preserve"> </w:t>
                            </w:r>
                            <w:r>
                              <w:rPr>
                                <w:color w:val="000000"/>
                              </w:rPr>
                              <w:t>and</w:t>
                            </w:r>
                            <w:r>
                              <w:rPr>
                                <w:color w:val="000000"/>
                                <w:spacing w:val="-3"/>
                              </w:rPr>
                              <w:t xml:space="preserve"> </w:t>
                            </w:r>
                            <w:r>
                              <w:rPr>
                                <w:color w:val="000000"/>
                              </w:rPr>
                              <w:t>Yarra</w:t>
                            </w:r>
                            <w:r>
                              <w:rPr>
                                <w:color w:val="000000"/>
                                <w:spacing w:val="-3"/>
                              </w:rPr>
                              <w:t xml:space="preserve"> </w:t>
                            </w:r>
                            <w:r>
                              <w:rPr>
                                <w:color w:val="000000"/>
                              </w:rPr>
                              <w:t>working</w:t>
                            </w:r>
                            <w:r>
                              <w:rPr>
                                <w:color w:val="000000"/>
                                <w:spacing w:val="-5"/>
                              </w:rPr>
                              <w:t xml:space="preserve"> </w:t>
                            </w:r>
                            <w:r>
                              <w:rPr>
                                <w:color w:val="000000"/>
                              </w:rPr>
                              <w:t>group</w:t>
                            </w:r>
                            <w:r>
                              <w:rPr>
                                <w:color w:val="000000"/>
                                <w:spacing w:val="-3"/>
                              </w:rPr>
                              <w:t xml:space="preserve"> </w:t>
                            </w:r>
                            <w:r>
                              <w:rPr>
                                <w:color w:val="000000"/>
                              </w:rPr>
                              <w:t>to</w:t>
                            </w:r>
                            <w:r>
                              <w:rPr>
                                <w:color w:val="000000"/>
                                <w:spacing w:val="-5"/>
                              </w:rPr>
                              <w:t xml:space="preserve"> </w:t>
                            </w:r>
                            <w:r>
                              <w:rPr>
                                <w:color w:val="000000"/>
                              </w:rPr>
                              <w:t>help</w:t>
                            </w:r>
                            <w:r>
                              <w:rPr>
                                <w:color w:val="000000"/>
                                <w:spacing w:val="-5"/>
                              </w:rPr>
                              <w:t xml:space="preserve"> </w:t>
                            </w:r>
                            <w:r>
                              <w:rPr>
                                <w:color w:val="000000"/>
                              </w:rPr>
                              <w:t>inform</w:t>
                            </w:r>
                            <w:r>
                              <w:rPr>
                                <w:color w:val="000000"/>
                                <w:spacing w:val="-2"/>
                              </w:rPr>
                              <w:t xml:space="preserve"> </w:t>
                            </w:r>
                            <w:r>
                              <w:rPr>
                                <w:color w:val="000000"/>
                              </w:rPr>
                              <w:t>the response to COVID-19 outbreaks in public housing;</w:t>
                            </w:r>
                          </w:p>
                          <w:p w14:paraId="7CB26764" w14:textId="77777777" w:rsidR="008A4099" w:rsidRDefault="006A6EE2">
                            <w:pPr>
                              <w:pStyle w:val="BodyText"/>
                              <w:numPr>
                                <w:ilvl w:val="0"/>
                                <w:numId w:val="4"/>
                              </w:numPr>
                              <w:tabs>
                                <w:tab w:val="left" w:pos="388"/>
                              </w:tabs>
                              <w:spacing w:before="183" w:line="268" w:lineRule="auto"/>
                              <w:ind w:right="40"/>
                              <w:rPr>
                                <w:color w:val="000000"/>
                              </w:rPr>
                            </w:pPr>
                            <w:r>
                              <w:rPr>
                                <w:color w:val="000000"/>
                              </w:rPr>
                              <w:t>that</w:t>
                            </w:r>
                            <w:r>
                              <w:rPr>
                                <w:color w:val="000000"/>
                                <w:spacing w:val="-2"/>
                              </w:rPr>
                              <w:t xml:space="preserve"> </w:t>
                            </w:r>
                            <w:r>
                              <w:rPr>
                                <w:color w:val="000000"/>
                              </w:rPr>
                              <w:t>the</w:t>
                            </w:r>
                            <w:r>
                              <w:rPr>
                                <w:color w:val="000000"/>
                                <w:spacing w:val="-3"/>
                              </w:rPr>
                              <w:t xml:space="preserve"> </w:t>
                            </w:r>
                            <w:r>
                              <w:rPr>
                                <w:color w:val="000000"/>
                              </w:rPr>
                              <w:t>Department</w:t>
                            </w:r>
                            <w:r>
                              <w:rPr>
                                <w:color w:val="000000"/>
                                <w:spacing w:val="-2"/>
                              </w:rPr>
                              <w:t xml:space="preserve"> </w:t>
                            </w:r>
                            <w:r>
                              <w:rPr>
                                <w:color w:val="000000"/>
                              </w:rPr>
                              <w:t>of</w:t>
                            </w:r>
                            <w:r>
                              <w:rPr>
                                <w:color w:val="000000"/>
                                <w:spacing w:val="-3"/>
                              </w:rPr>
                              <w:t xml:space="preserve"> </w:t>
                            </w:r>
                            <w:r>
                              <w:rPr>
                                <w:color w:val="000000"/>
                              </w:rPr>
                              <w:t>Health</w:t>
                            </w:r>
                            <w:r>
                              <w:rPr>
                                <w:color w:val="000000"/>
                                <w:spacing w:val="-3"/>
                              </w:rPr>
                              <w:t xml:space="preserve"> </w:t>
                            </w:r>
                            <w:r>
                              <w:rPr>
                                <w:color w:val="000000"/>
                              </w:rPr>
                              <w:t>and</w:t>
                            </w:r>
                            <w:r>
                              <w:rPr>
                                <w:color w:val="000000"/>
                                <w:spacing w:val="-3"/>
                              </w:rPr>
                              <w:t xml:space="preserve"> </w:t>
                            </w:r>
                            <w:r>
                              <w:rPr>
                                <w:color w:val="000000"/>
                              </w:rPr>
                              <w:t>Human</w:t>
                            </w:r>
                            <w:r>
                              <w:rPr>
                                <w:color w:val="000000"/>
                                <w:spacing w:val="-3"/>
                              </w:rPr>
                              <w:t xml:space="preserve"> </w:t>
                            </w:r>
                            <w:r>
                              <w:rPr>
                                <w:color w:val="000000"/>
                              </w:rPr>
                              <w:t>Services</w:t>
                            </w:r>
                            <w:r>
                              <w:rPr>
                                <w:color w:val="000000"/>
                                <w:spacing w:val="-5"/>
                              </w:rPr>
                              <w:t xml:space="preserve"> </w:t>
                            </w:r>
                            <w:r>
                              <w:rPr>
                                <w:color w:val="000000"/>
                              </w:rPr>
                              <w:t>support</w:t>
                            </w:r>
                            <w:r>
                              <w:rPr>
                                <w:color w:val="000000"/>
                                <w:spacing w:val="-5"/>
                              </w:rPr>
                              <w:t xml:space="preserve"> </w:t>
                            </w:r>
                            <w:r>
                              <w:rPr>
                                <w:color w:val="000000"/>
                              </w:rPr>
                              <w:t>the</w:t>
                            </w:r>
                            <w:r>
                              <w:rPr>
                                <w:color w:val="000000"/>
                                <w:spacing w:val="-3"/>
                              </w:rPr>
                              <w:t xml:space="preserve"> </w:t>
                            </w:r>
                            <w:r>
                              <w:rPr>
                                <w:color w:val="000000"/>
                              </w:rPr>
                              <w:t>Australian</w:t>
                            </w:r>
                            <w:r>
                              <w:rPr>
                                <w:color w:val="000000"/>
                                <w:spacing w:val="-3"/>
                              </w:rPr>
                              <w:t xml:space="preserve"> </w:t>
                            </w:r>
                            <w:r>
                              <w:rPr>
                                <w:color w:val="000000"/>
                              </w:rPr>
                              <w:t>Muslim</w:t>
                            </w:r>
                            <w:r>
                              <w:rPr>
                                <w:color w:val="000000"/>
                                <w:spacing w:val="-7"/>
                              </w:rPr>
                              <w:t xml:space="preserve"> </w:t>
                            </w:r>
                            <w:r>
                              <w:rPr>
                                <w:color w:val="000000"/>
                              </w:rPr>
                              <w:t>Social</w:t>
                            </w:r>
                            <w:r>
                              <w:rPr>
                                <w:color w:val="000000"/>
                                <w:spacing w:val="-2"/>
                              </w:rPr>
                              <w:t xml:space="preserve"> </w:t>
                            </w:r>
                            <w:r>
                              <w:rPr>
                                <w:color w:val="000000"/>
                              </w:rPr>
                              <w:t xml:space="preserve">Services Agency on community engagement work through COVID recovery and provision of ongoing </w:t>
                            </w:r>
                            <w:r>
                              <w:rPr>
                                <w:color w:val="000000"/>
                                <w:spacing w:val="-2"/>
                              </w:rPr>
                              <w:t>support.</w:t>
                            </w:r>
                            <w:r>
                              <w:rPr>
                                <w:color w:val="000000"/>
                                <w:spacing w:val="-2"/>
                                <w:vertAlign w:val="superscript"/>
                              </w:rPr>
                              <w:t>284</w:t>
                            </w:r>
                          </w:p>
                        </w:txbxContent>
                      </wps:txbx>
                      <wps:bodyPr wrap="square" lIns="0" tIns="0" rIns="0" bIns="0" rtlCol="0">
                        <a:noAutofit/>
                      </wps:bodyPr>
                    </wps:wsp>
                  </a:graphicData>
                </a:graphic>
              </wp:inline>
            </w:drawing>
          </mc:Choice>
          <mc:Fallback>
            <w:pict>
              <v:shape w14:anchorId="7CB26635" id="Textbox 88" o:spid="_x0000_s1027" type="#_x0000_t202" style="width:454.3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" fillcolor="#e8e8e8" stroked="f">
                <v:textbox inset="0,0,0,0">
                  <w:txbxContent>
                    <w:p w14:paraId="7CB26763" w14:textId="77777777" w:rsidR="008A4099" w:rsidRDefault="006A6EE2">
                      <w:pPr>
                        <w:pStyle w:val="BodyText"/>
                        <w:numPr>
                          <w:ilvl w:val="0"/>
                          <w:numId w:val="4"/>
                        </w:numPr>
                        <w:tabs>
                          <w:tab w:val="left" w:pos="388"/>
                        </w:tabs>
                        <w:spacing w:before="40" w:line="259" w:lineRule="auto"/>
                        <w:ind w:right="136"/>
                        <w:rPr>
                          <w:color w:val="000000"/>
                        </w:rPr>
                      </w:pPr>
                      <w:r>
                        <w:rPr>
                          <w:color w:val="000000"/>
                        </w:rPr>
                        <w:t>the</w:t>
                      </w:r>
                      <w:r>
                        <w:rPr>
                          <w:color w:val="000000"/>
                          <w:spacing w:val="-3"/>
                        </w:rPr>
                        <w:t xml:space="preserve"> </w:t>
                      </w:r>
                      <w:r>
                        <w:rPr>
                          <w:color w:val="000000"/>
                        </w:rPr>
                        <w:t>establishment</w:t>
                      </w:r>
                      <w:r>
                        <w:rPr>
                          <w:color w:val="000000"/>
                          <w:spacing w:val="-2"/>
                        </w:rPr>
                        <w:t xml:space="preserve"> </w:t>
                      </w:r>
                      <w:r>
                        <w:rPr>
                          <w:color w:val="000000"/>
                        </w:rPr>
                        <w:t>of</w:t>
                      </w:r>
                      <w:r>
                        <w:rPr>
                          <w:color w:val="000000"/>
                          <w:spacing w:val="-3"/>
                        </w:rPr>
                        <w:t xml:space="preserve"> </w:t>
                      </w:r>
                      <w:r>
                        <w:rPr>
                          <w:color w:val="000000"/>
                        </w:rPr>
                        <w:t>a</w:t>
                      </w:r>
                      <w:r>
                        <w:rPr>
                          <w:color w:val="000000"/>
                          <w:spacing w:val="-3"/>
                        </w:rPr>
                        <w:t xml:space="preserve"> </w:t>
                      </w:r>
                      <w:r>
                        <w:rPr>
                          <w:color w:val="000000"/>
                        </w:rPr>
                        <w:t>North</w:t>
                      </w:r>
                      <w:r>
                        <w:rPr>
                          <w:color w:val="000000"/>
                          <w:spacing w:val="-3"/>
                        </w:rPr>
                        <w:t xml:space="preserve"> </w:t>
                      </w:r>
                      <w:r>
                        <w:rPr>
                          <w:color w:val="000000"/>
                        </w:rPr>
                        <w:t>Melbourne,</w:t>
                      </w:r>
                      <w:r>
                        <w:rPr>
                          <w:color w:val="000000"/>
                          <w:spacing w:val="-3"/>
                        </w:rPr>
                        <w:t xml:space="preserve"> </w:t>
                      </w:r>
                      <w:r>
                        <w:rPr>
                          <w:color w:val="000000"/>
                        </w:rPr>
                        <w:t>Flemington</w:t>
                      </w:r>
                      <w:r>
                        <w:rPr>
                          <w:color w:val="000000"/>
                          <w:spacing w:val="-5"/>
                        </w:rPr>
                        <w:t xml:space="preserve"> </w:t>
                      </w:r>
                      <w:r>
                        <w:rPr>
                          <w:color w:val="000000"/>
                        </w:rPr>
                        <w:t>and</w:t>
                      </w:r>
                      <w:r>
                        <w:rPr>
                          <w:color w:val="000000"/>
                          <w:spacing w:val="-3"/>
                        </w:rPr>
                        <w:t xml:space="preserve"> </w:t>
                      </w:r>
                      <w:r>
                        <w:rPr>
                          <w:color w:val="000000"/>
                        </w:rPr>
                        <w:t>Yarra</w:t>
                      </w:r>
                      <w:r>
                        <w:rPr>
                          <w:color w:val="000000"/>
                          <w:spacing w:val="-3"/>
                        </w:rPr>
                        <w:t xml:space="preserve"> </w:t>
                      </w:r>
                      <w:r>
                        <w:rPr>
                          <w:color w:val="000000"/>
                        </w:rPr>
                        <w:t>working</w:t>
                      </w:r>
                      <w:r>
                        <w:rPr>
                          <w:color w:val="000000"/>
                          <w:spacing w:val="-5"/>
                        </w:rPr>
                        <w:t xml:space="preserve"> </w:t>
                      </w:r>
                      <w:r>
                        <w:rPr>
                          <w:color w:val="000000"/>
                        </w:rPr>
                        <w:t>group</w:t>
                      </w:r>
                      <w:r>
                        <w:rPr>
                          <w:color w:val="000000"/>
                          <w:spacing w:val="-3"/>
                        </w:rPr>
                        <w:t xml:space="preserve"> </w:t>
                      </w:r>
                      <w:r>
                        <w:rPr>
                          <w:color w:val="000000"/>
                        </w:rPr>
                        <w:t>to</w:t>
                      </w:r>
                      <w:r>
                        <w:rPr>
                          <w:color w:val="000000"/>
                          <w:spacing w:val="-5"/>
                        </w:rPr>
                        <w:t xml:space="preserve"> </w:t>
                      </w:r>
                      <w:r>
                        <w:rPr>
                          <w:color w:val="000000"/>
                        </w:rPr>
                        <w:t>help</w:t>
                      </w:r>
                      <w:r>
                        <w:rPr>
                          <w:color w:val="000000"/>
                          <w:spacing w:val="-5"/>
                        </w:rPr>
                        <w:t xml:space="preserve"> </w:t>
                      </w:r>
                      <w:r>
                        <w:rPr>
                          <w:color w:val="000000"/>
                        </w:rPr>
                        <w:t>inform</w:t>
                      </w:r>
                      <w:r>
                        <w:rPr>
                          <w:color w:val="000000"/>
                          <w:spacing w:val="-2"/>
                        </w:rPr>
                        <w:t xml:space="preserve"> </w:t>
                      </w:r>
                      <w:r>
                        <w:rPr>
                          <w:color w:val="000000"/>
                        </w:rPr>
                        <w:t>the response to COVID-19 outbreaks in public housing;</w:t>
                      </w:r>
                    </w:p>
                    <w:p w14:paraId="7CB26764" w14:textId="77777777" w:rsidR="008A4099" w:rsidRDefault="006A6EE2">
                      <w:pPr>
                        <w:pStyle w:val="BodyText"/>
                        <w:numPr>
                          <w:ilvl w:val="0"/>
                          <w:numId w:val="4"/>
                        </w:numPr>
                        <w:tabs>
                          <w:tab w:val="left" w:pos="388"/>
                        </w:tabs>
                        <w:spacing w:before="183" w:line="268" w:lineRule="auto"/>
                        <w:ind w:right="40"/>
                        <w:rPr>
                          <w:color w:val="000000"/>
                        </w:rPr>
                      </w:pPr>
                      <w:r>
                        <w:rPr>
                          <w:color w:val="000000"/>
                        </w:rPr>
                        <w:t>that</w:t>
                      </w:r>
                      <w:r>
                        <w:rPr>
                          <w:color w:val="000000"/>
                          <w:spacing w:val="-2"/>
                        </w:rPr>
                        <w:t xml:space="preserve"> </w:t>
                      </w:r>
                      <w:r>
                        <w:rPr>
                          <w:color w:val="000000"/>
                        </w:rPr>
                        <w:t>the</w:t>
                      </w:r>
                      <w:r>
                        <w:rPr>
                          <w:color w:val="000000"/>
                          <w:spacing w:val="-3"/>
                        </w:rPr>
                        <w:t xml:space="preserve"> </w:t>
                      </w:r>
                      <w:r>
                        <w:rPr>
                          <w:color w:val="000000"/>
                        </w:rPr>
                        <w:t>Department</w:t>
                      </w:r>
                      <w:r>
                        <w:rPr>
                          <w:color w:val="000000"/>
                          <w:spacing w:val="-2"/>
                        </w:rPr>
                        <w:t xml:space="preserve"> </w:t>
                      </w:r>
                      <w:r>
                        <w:rPr>
                          <w:color w:val="000000"/>
                        </w:rPr>
                        <w:t>of</w:t>
                      </w:r>
                      <w:r>
                        <w:rPr>
                          <w:color w:val="000000"/>
                          <w:spacing w:val="-3"/>
                        </w:rPr>
                        <w:t xml:space="preserve"> </w:t>
                      </w:r>
                      <w:r>
                        <w:rPr>
                          <w:color w:val="000000"/>
                        </w:rPr>
                        <w:t>Health</w:t>
                      </w:r>
                      <w:r>
                        <w:rPr>
                          <w:color w:val="000000"/>
                          <w:spacing w:val="-3"/>
                        </w:rPr>
                        <w:t xml:space="preserve"> </w:t>
                      </w:r>
                      <w:r>
                        <w:rPr>
                          <w:color w:val="000000"/>
                        </w:rPr>
                        <w:t>and</w:t>
                      </w:r>
                      <w:r>
                        <w:rPr>
                          <w:color w:val="000000"/>
                          <w:spacing w:val="-3"/>
                        </w:rPr>
                        <w:t xml:space="preserve"> </w:t>
                      </w:r>
                      <w:r>
                        <w:rPr>
                          <w:color w:val="000000"/>
                        </w:rPr>
                        <w:t>Human</w:t>
                      </w:r>
                      <w:r>
                        <w:rPr>
                          <w:color w:val="000000"/>
                          <w:spacing w:val="-3"/>
                        </w:rPr>
                        <w:t xml:space="preserve"> </w:t>
                      </w:r>
                      <w:r>
                        <w:rPr>
                          <w:color w:val="000000"/>
                        </w:rPr>
                        <w:t>Services</w:t>
                      </w:r>
                      <w:r>
                        <w:rPr>
                          <w:color w:val="000000"/>
                          <w:spacing w:val="-5"/>
                        </w:rPr>
                        <w:t xml:space="preserve"> </w:t>
                      </w:r>
                      <w:r>
                        <w:rPr>
                          <w:color w:val="000000"/>
                        </w:rPr>
                        <w:t>support</w:t>
                      </w:r>
                      <w:r>
                        <w:rPr>
                          <w:color w:val="000000"/>
                          <w:spacing w:val="-5"/>
                        </w:rPr>
                        <w:t xml:space="preserve"> </w:t>
                      </w:r>
                      <w:r>
                        <w:rPr>
                          <w:color w:val="000000"/>
                        </w:rPr>
                        <w:t>the</w:t>
                      </w:r>
                      <w:r>
                        <w:rPr>
                          <w:color w:val="000000"/>
                          <w:spacing w:val="-3"/>
                        </w:rPr>
                        <w:t xml:space="preserve"> </w:t>
                      </w:r>
                      <w:r>
                        <w:rPr>
                          <w:color w:val="000000"/>
                        </w:rPr>
                        <w:t>Australian</w:t>
                      </w:r>
                      <w:r>
                        <w:rPr>
                          <w:color w:val="000000"/>
                          <w:spacing w:val="-3"/>
                        </w:rPr>
                        <w:t xml:space="preserve"> </w:t>
                      </w:r>
                      <w:r>
                        <w:rPr>
                          <w:color w:val="000000"/>
                        </w:rPr>
                        <w:t>Muslim</w:t>
                      </w:r>
                      <w:r>
                        <w:rPr>
                          <w:color w:val="000000"/>
                          <w:spacing w:val="-7"/>
                        </w:rPr>
                        <w:t xml:space="preserve"> </w:t>
                      </w:r>
                      <w:r>
                        <w:rPr>
                          <w:color w:val="000000"/>
                        </w:rPr>
                        <w:t>Social</w:t>
                      </w:r>
                      <w:r>
                        <w:rPr>
                          <w:color w:val="000000"/>
                          <w:spacing w:val="-2"/>
                        </w:rPr>
                        <w:t xml:space="preserve"> </w:t>
                      </w:r>
                      <w:r>
                        <w:rPr>
                          <w:color w:val="000000"/>
                        </w:rPr>
                        <w:t xml:space="preserve">Services Agency on community engagement work through COVID recovery and provision of ongoing </w:t>
                      </w:r>
                      <w:r>
                        <w:rPr>
                          <w:color w:val="000000"/>
                          <w:spacing w:val="-2"/>
                        </w:rPr>
                        <w:t>support.</w:t>
                      </w:r>
                      <w:r>
                        <w:rPr>
                          <w:color w:val="000000"/>
                          <w:spacing w:val="-2"/>
                          <w:vertAlign w:val="superscript"/>
                        </w:rPr>
                        <w:t>284</w:t>
                      </w:r>
                    </w:p>
                  </w:txbxContent>
                </v:textbox>
                <w10:anchorlock/>
              </v:shape>
            </w:pict>
          </mc:Fallback>
        </mc:AlternateContent>
      </w:r>
    </w:p>
    <w:p w14:paraId="7CB25FDE" w14:textId="77777777" w:rsidR="008A4099" w:rsidRDefault="006A6EE2">
      <w:pPr>
        <w:pStyle w:val="ListParagraph"/>
        <w:numPr>
          <w:ilvl w:val="2"/>
          <w:numId w:val="6"/>
        </w:numPr>
        <w:tabs>
          <w:tab w:val="left" w:pos="879"/>
        </w:tabs>
        <w:spacing w:before="196"/>
        <w:ind w:right="674" w:firstLine="0"/>
        <w:jc w:val="both"/>
      </w:pPr>
      <w:r>
        <w:t>The Victorian experience points to the potential for a human rights enactment to influence public</w:t>
      </w:r>
      <w:r>
        <w:rPr>
          <w:spacing w:val="-2"/>
        </w:rPr>
        <w:t xml:space="preserve"> </w:t>
      </w:r>
      <w:r>
        <w:t>discourse</w:t>
      </w:r>
      <w:r>
        <w:rPr>
          <w:spacing w:val="-2"/>
        </w:rPr>
        <w:t xml:space="preserve"> </w:t>
      </w:r>
      <w:r>
        <w:t>and</w:t>
      </w:r>
      <w:r>
        <w:rPr>
          <w:spacing w:val="-5"/>
        </w:rPr>
        <w:t xml:space="preserve"> </w:t>
      </w:r>
      <w:r>
        <w:t>legislative</w:t>
      </w:r>
      <w:r>
        <w:rPr>
          <w:spacing w:val="-2"/>
        </w:rPr>
        <w:t xml:space="preserve"> </w:t>
      </w:r>
      <w:r>
        <w:t>developments.</w:t>
      </w:r>
      <w:r>
        <w:rPr>
          <w:spacing w:val="-2"/>
        </w:rPr>
        <w:t xml:space="preserve"> </w:t>
      </w:r>
      <w:r>
        <w:t>It</w:t>
      </w:r>
      <w:r>
        <w:rPr>
          <w:spacing w:val="-4"/>
        </w:rPr>
        <w:t xml:space="preserve"> </w:t>
      </w:r>
      <w:r>
        <w:t>also</w:t>
      </w:r>
      <w:r>
        <w:rPr>
          <w:spacing w:val="-2"/>
        </w:rPr>
        <w:t xml:space="preserve"> </w:t>
      </w:r>
      <w:r>
        <w:t>demonstrates</w:t>
      </w:r>
      <w:r>
        <w:rPr>
          <w:spacing w:val="-2"/>
        </w:rPr>
        <w:t xml:space="preserve"> </w:t>
      </w:r>
      <w:r>
        <w:t>how</w:t>
      </w:r>
      <w:r>
        <w:rPr>
          <w:spacing w:val="-3"/>
        </w:rPr>
        <w:t xml:space="preserve"> </w:t>
      </w:r>
      <w:r>
        <w:t>human</w:t>
      </w:r>
      <w:r>
        <w:rPr>
          <w:spacing w:val="-2"/>
        </w:rPr>
        <w:t xml:space="preserve"> </w:t>
      </w:r>
      <w:r>
        <w:t>rights</w:t>
      </w:r>
      <w:r>
        <w:rPr>
          <w:spacing w:val="-2"/>
        </w:rPr>
        <w:t xml:space="preserve"> </w:t>
      </w:r>
      <w:r>
        <w:t>protections</w:t>
      </w:r>
      <w:r>
        <w:rPr>
          <w:spacing w:val="-2"/>
        </w:rPr>
        <w:t xml:space="preserve"> </w:t>
      </w:r>
      <w:r>
        <w:t>may be</w:t>
      </w:r>
      <w:r>
        <w:rPr>
          <w:spacing w:val="-7"/>
        </w:rPr>
        <w:t xml:space="preserve"> </w:t>
      </w:r>
      <w:r>
        <w:t>embedded</w:t>
      </w:r>
      <w:r>
        <w:rPr>
          <w:spacing w:val="-7"/>
        </w:rPr>
        <w:t xml:space="preserve"> </w:t>
      </w:r>
      <w:r>
        <w:t>in</w:t>
      </w:r>
      <w:r>
        <w:rPr>
          <w:spacing w:val="-7"/>
        </w:rPr>
        <w:t xml:space="preserve"> </w:t>
      </w:r>
      <w:r>
        <w:t>other</w:t>
      </w:r>
      <w:r>
        <w:rPr>
          <w:spacing w:val="-6"/>
        </w:rPr>
        <w:t xml:space="preserve"> </w:t>
      </w:r>
      <w:r>
        <w:t>legislative</w:t>
      </w:r>
      <w:r>
        <w:rPr>
          <w:spacing w:val="-7"/>
        </w:rPr>
        <w:t xml:space="preserve"> </w:t>
      </w:r>
      <w:r>
        <w:t>regimes</w:t>
      </w:r>
      <w:r>
        <w:rPr>
          <w:spacing w:val="-6"/>
        </w:rPr>
        <w:t xml:space="preserve"> </w:t>
      </w:r>
      <w:r>
        <w:t>by</w:t>
      </w:r>
      <w:r>
        <w:rPr>
          <w:spacing w:val="-7"/>
        </w:rPr>
        <w:t xml:space="preserve"> </w:t>
      </w:r>
      <w:r>
        <w:t>subjecting</w:t>
      </w:r>
      <w:r>
        <w:rPr>
          <w:spacing w:val="-7"/>
        </w:rPr>
        <w:t xml:space="preserve"> </w:t>
      </w:r>
      <w:r>
        <w:t>their</w:t>
      </w:r>
      <w:r>
        <w:rPr>
          <w:spacing w:val="-6"/>
        </w:rPr>
        <w:t xml:space="preserve"> </w:t>
      </w:r>
      <w:r>
        <w:t>operation</w:t>
      </w:r>
      <w:r>
        <w:rPr>
          <w:spacing w:val="-7"/>
        </w:rPr>
        <w:t xml:space="preserve"> </w:t>
      </w:r>
      <w:r>
        <w:t>to</w:t>
      </w:r>
      <w:r>
        <w:rPr>
          <w:spacing w:val="-7"/>
        </w:rPr>
        <w:t xml:space="preserve"> </w:t>
      </w:r>
      <w:r>
        <w:t>human</w:t>
      </w:r>
      <w:r>
        <w:rPr>
          <w:spacing w:val="-7"/>
        </w:rPr>
        <w:t xml:space="preserve"> </w:t>
      </w:r>
      <w:r>
        <w:t>rights</w:t>
      </w:r>
      <w:r>
        <w:rPr>
          <w:spacing w:val="-6"/>
        </w:rPr>
        <w:t xml:space="preserve"> </w:t>
      </w:r>
      <w:r>
        <w:t>enactments.</w:t>
      </w:r>
      <w:r>
        <w:rPr>
          <w:spacing w:val="-7"/>
        </w:rPr>
        <w:t xml:space="preserve"> </w:t>
      </w:r>
      <w:r>
        <w:t xml:space="preserve">For example, following the public debate about Victoria’s emergency powers legislation and government directives issued under it, which had prompted rallies and online ‘freedom’ campaigns, the Victorian Government negotiated amendments to the </w:t>
      </w:r>
      <w:r>
        <w:rPr>
          <w:i/>
        </w:rPr>
        <w:t xml:space="preserve">Public Health and Wellbeing Act 2008 </w:t>
      </w:r>
      <w:r>
        <w:t>(Vic) through Parliament at the end of 2021.</w:t>
      </w:r>
      <w:r>
        <w:rPr>
          <w:vertAlign w:val="superscript"/>
        </w:rPr>
        <w:t>285</w:t>
      </w:r>
      <w:r>
        <w:t xml:space="preserve"> Key changes were designed to:</w:t>
      </w:r>
    </w:p>
    <w:p w14:paraId="7CB25FDF" w14:textId="77777777" w:rsidR="008A4099" w:rsidRDefault="006A6EE2">
      <w:pPr>
        <w:pStyle w:val="ListParagraph"/>
        <w:numPr>
          <w:ilvl w:val="3"/>
          <w:numId w:val="6"/>
        </w:numPr>
        <w:tabs>
          <w:tab w:val="left" w:pos="880"/>
        </w:tabs>
        <w:spacing w:before="238" w:line="276" w:lineRule="auto"/>
        <w:ind w:left="880" w:right="679" w:hanging="360"/>
      </w:pPr>
      <w:r>
        <w:t>increase Parliamentary accountability by transferring responsibility for key decisions to the Premier and Health Minister, while still requiring them to consult with and consider health advice from the Chief Health Officer;</w:t>
      </w:r>
      <w:r>
        <w:rPr>
          <w:vertAlign w:val="superscript"/>
        </w:rPr>
        <w:t>286</w:t>
      </w:r>
    </w:p>
    <w:p w14:paraId="7CB25FE0" w14:textId="77777777" w:rsidR="008A4099" w:rsidRDefault="006A6EE2">
      <w:pPr>
        <w:pStyle w:val="ListParagraph"/>
        <w:numPr>
          <w:ilvl w:val="3"/>
          <w:numId w:val="6"/>
        </w:numPr>
        <w:tabs>
          <w:tab w:val="left" w:pos="880"/>
        </w:tabs>
        <w:spacing w:before="236" w:line="276" w:lineRule="auto"/>
        <w:ind w:left="880" w:right="678" w:hanging="360"/>
      </w:pPr>
      <w:r>
        <w:t>ensure that</w:t>
      </w:r>
      <w:r>
        <w:rPr>
          <w:spacing w:val="-1"/>
        </w:rPr>
        <w:t xml:space="preserve"> </w:t>
      </w:r>
      <w:r>
        <w:t>any pandemic orders that</w:t>
      </w:r>
      <w:r>
        <w:rPr>
          <w:spacing w:val="-1"/>
        </w:rPr>
        <w:t xml:space="preserve"> </w:t>
      </w:r>
      <w:r>
        <w:t>purport to</w:t>
      </w:r>
      <w:r>
        <w:rPr>
          <w:spacing w:val="-2"/>
        </w:rPr>
        <w:t xml:space="preserve"> </w:t>
      </w:r>
      <w:r>
        <w:t>apply</w:t>
      </w:r>
      <w:r>
        <w:rPr>
          <w:spacing w:val="-2"/>
        </w:rPr>
        <w:t xml:space="preserve"> </w:t>
      </w:r>
      <w:r>
        <w:t>differently</w:t>
      </w:r>
      <w:r>
        <w:rPr>
          <w:spacing w:val="-2"/>
        </w:rPr>
        <w:t xml:space="preserve"> </w:t>
      </w:r>
      <w:r>
        <w:t>to groups</w:t>
      </w:r>
      <w:r>
        <w:rPr>
          <w:spacing w:val="-2"/>
        </w:rPr>
        <w:t xml:space="preserve"> </w:t>
      </w:r>
      <w:r>
        <w:t>based</w:t>
      </w:r>
      <w:r>
        <w:rPr>
          <w:spacing w:val="-2"/>
        </w:rPr>
        <w:t xml:space="preserve"> </w:t>
      </w:r>
      <w:r>
        <w:t>on protected attributes such as age or health must demonstrate that they are ‘relevant to the serious risk to public</w:t>
      </w:r>
      <w:r>
        <w:rPr>
          <w:spacing w:val="-8"/>
        </w:rPr>
        <w:t xml:space="preserve"> </w:t>
      </w:r>
      <w:r>
        <w:t>health</w:t>
      </w:r>
      <w:r>
        <w:rPr>
          <w:spacing w:val="-9"/>
        </w:rPr>
        <w:t xml:space="preserve"> </w:t>
      </w:r>
      <w:r>
        <w:t>posed</w:t>
      </w:r>
      <w:r>
        <w:rPr>
          <w:spacing w:val="-9"/>
        </w:rPr>
        <w:t xml:space="preserve"> </w:t>
      </w:r>
      <w:r>
        <w:t>by</w:t>
      </w:r>
      <w:r>
        <w:rPr>
          <w:spacing w:val="-11"/>
        </w:rPr>
        <w:t xml:space="preserve"> </w:t>
      </w:r>
      <w:r>
        <w:t>the</w:t>
      </w:r>
      <w:r>
        <w:rPr>
          <w:spacing w:val="-8"/>
        </w:rPr>
        <w:t xml:space="preserve"> </w:t>
      </w:r>
      <w:r>
        <w:t>disease</w:t>
      </w:r>
      <w:r>
        <w:rPr>
          <w:spacing w:val="-8"/>
        </w:rPr>
        <w:t xml:space="preserve"> </w:t>
      </w:r>
      <w:r>
        <w:t>specified</w:t>
      </w:r>
      <w:r>
        <w:rPr>
          <w:spacing w:val="-8"/>
        </w:rPr>
        <w:t xml:space="preserve"> </w:t>
      </w:r>
      <w:r>
        <w:t>in</w:t>
      </w:r>
      <w:r>
        <w:rPr>
          <w:spacing w:val="-11"/>
        </w:rPr>
        <w:t xml:space="preserve"> </w:t>
      </w:r>
      <w:r>
        <w:t>the</w:t>
      </w:r>
      <w:r>
        <w:rPr>
          <w:spacing w:val="-8"/>
        </w:rPr>
        <w:t xml:space="preserve"> </w:t>
      </w:r>
      <w:r>
        <w:t>pandemic</w:t>
      </w:r>
      <w:r>
        <w:rPr>
          <w:spacing w:val="-8"/>
        </w:rPr>
        <w:t xml:space="preserve"> </w:t>
      </w:r>
      <w:r>
        <w:t>declaration</w:t>
      </w:r>
      <w:r>
        <w:rPr>
          <w:spacing w:val="-11"/>
        </w:rPr>
        <w:t xml:space="preserve"> </w:t>
      </w:r>
      <w:r>
        <w:t>to</w:t>
      </w:r>
      <w:r>
        <w:rPr>
          <w:spacing w:val="-9"/>
        </w:rPr>
        <w:t xml:space="preserve"> </w:t>
      </w:r>
      <w:r>
        <w:t>which</w:t>
      </w:r>
      <w:r>
        <w:rPr>
          <w:spacing w:val="-11"/>
        </w:rPr>
        <w:t xml:space="preserve"> </w:t>
      </w:r>
      <w:r>
        <w:t>the</w:t>
      </w:r>
      <w:r>
        <w:rPr>
          <w:spacing w:val="-8"/>
        </w:rPr>
        <w:t xml:space="preserve"> </w:t>
      </w:r>
      <w:r>
        <w:t>pandemic order relates’;</w:t>
      </w:r>
      <w:r>
        <w:rPr>
          <w:spacing w:val="-5"/>
        </w:rPr>
        <w:t xml:space="preserve"> </w:t>
      </w:r>
      <w:r>
        <w:rPr>
          <w:vertAlign w:val="superscript"/>
        </w:rPr>
        <w:t>287</w:t>
      </w:r>
    </w:p>
    <w:p w14:paraId="7CB25FE1" w14:textId="77777777" w:rsidR="008A4099" w:rsidRDefault="006A6EE2">
      <w:pPr>
        <w:pStyle w:val="ListParagraph"/>
        <w:numPr>
          <w:ilvl w:val="3"/>
          <w:numId w:val="6"/>
        </w:numPr>
        <w:tabs>
          <w:tab w:val="left" w:pos="880"/>
        </w:tabs>
        <w:spacing w:before="238" w:line="273" w:lineRule="auto"/>
        <w:ind w:left="880" w:right="681" w:hanging="360"/>
      </w:pPr>
      <w:r>
        <w:t>subject all pandemic orders to the Vic Human Rights Charter and require that they be accompanied by a statement justifying any limitations on human rights;</w:t>
      </w:r>
      <w:r>
        <w:rPr>
          <w:vertAlign w:val="superscript"/>
        </w:rPr>
        <w:t>288</w:t>
      </w:r>
    </w:p>
    <w:p w14:paraId="7CB25FE2" w14:textId="77777777" w:rsidR="008A4099" w:rsidRDefault="006A6EE2">
      <w:pPr>
        <w:pStyle w:val="ListParagraph"/>
        <w:numPr>
          <w:ilvl w:val="3"/>
          <w:numId w:val="6"/>
        </w:numPr>
        <w:tabs>
          <w:tab w:val="left" w:pos="880"/>
        </w:tabs>
        <w:spacing w:before="242" w:line="273" w:lineRule="auto"/>
        <w:ind w:left="880" w:right="683" w:hanging="360"/>
      </w:pPr>
      <w:r>
        <w:t>remove aggravated offence provisions and, instead, insert and a new Division establishing an expeditious, independent merits review process for any person detained under the Act;</w:t>
      </w:r>
      <w:r>
        <w:rPr>
          <w:vertAlign w:val="superscript"/>
        </w:rPr>
        <w:t>289</w:t>
      </w:r>
    </w:p>
    <w:p w14:paraId="7CB25FE3" w14:textId="77777777" w:rsidR="008A4099" w:rsidRDefault="006A6EE2">
      <w:pPr>
        <w:pStyle w:val="ListParagraph"/>
        <w:numPr>
          <w:ilvl w:val="3"/>
          <w:numId w:val="6"/>
        </w:numPr>
        <w:tabs>
          <w:tab w:val="left" w:pos="880"/>
        </w:tabs>
        <w:spacing w:before="242" w:line="276" w:lineRule="auto"/>
        <w:ind w:left="880" w:right="676" w:hanging="360"/>
      </w:pPr>
      <w:r>
        <w:t>establish an Independent Pandemic Management Advisory Committee</w:t>
      </w:r>
      <w:r>
        <w:rPr>
          <w:vertAlign w:val="superscript"/>
        </w:rPr>
        <w:t>290</w:t>
      </w:r>
      <w:r>
        <w:t xml:space="preserve"> to consist of people with</w:t>
      </w:r>
      <w:r>
        <w:rPr>
          <w:spacing w:val="-5"/>
        </w:rPr>
        <w:t xml:space="preserve"> </w:t>
      </w:r>
      <w:r>
        <w:t>broad-ranging</w:t>
      </w:r>
      <w:r>
        <w:rPr>
          <w:spacing w:val="-5"/>
        </w:rPr>
        <w:t xml:space="preserve"> </w:t>
      </w:r>
      <w:r>
        <w:t>areas</w:t>
      </w:r>
      <w:r>
        <w:rPr>
          <w:spacing w:val="-4"/>
        </w:rPr>
        <w:t xml:space="preserve"> </w:t>
      </w:r>
      <w:r>
        <w:t>of</w:t>
      </w:r>
      <w:r>
        <w:rPr>
          <w:spacing w:val="-6"/>
        </w:rPr>
        <w:t xml:space="preserve"> </w:t>
      </w:r>
      <w:r>
        <w:t>expertise,</w:t>
      </w:r>
      <w:r>
        <w:rPr>
          <w:spacing w:val="-4"/>
        </w:rPr>
        <w:t xml:space="preserve"> </w:t>
      </w:r>
      <w:r>
        <w:t>including</w:t>
      </w:r>
      <w:r>
        <w:rPr>
          <w:spacing w:val="-5"/>
        </w:rPr>
        <w:t xml:space="preserve"> </w:t>
      </w:r>
      <w:r>
        <w:t>in</w:t>
      </w:r>
      <w:r>
        <w:rPr>
          <w:spacing w:val="-5"/>
        </w:rPr>
        <w:t xml:space="preserve"> </w:t>
      </w:r>
      <w:r>
        <w:t>human</w:t>
      </w:r>
      <w:r>
        <w:rPr>
          <w:spacing w:val="-4"/>
        </w:rPr>
        <w:t xml:space="preserve"> </w:t>
      </w:r>
      <w:r>
        <w:t>rights,</w:t>
      </w:r>
      <w:r>
        <w:rPr>
          <w:vertAlign w:val="superscript"/>
        </w:rPr>
        <w:t>291</w:t>
      </w:r>
      <w:r>
        <w:rPr>
          <w:spacing w:val="-5"/>
        </w:rPr>
        <w:t xml:space="preserve"> </w:t>
      </w:r>
      <w:r>
        <w:t>to</w:t>
      </w:r>
      <w:r>
        <w:rPr>
          <w:spacing w:val="-5"/>
        </w:rPr>
        <w:t xml:space="preserve"> </w:t>
      </w:r>
      <w:r>
        <w:t>review</w:t>
      </w:r>
      <w:r>
        <w:rPr>
          <w:spacing w:val="-5"/>
        </w:rPr>
        <w:t xml:space="preserve"> </w:t>
      </w:r>
      <w:r>
        <w:t>pandemic</w:t>
      </w:r>
      <w:r>
        <w:rPr>
          <w:spacing w:val="-4"/>
        </w:rPr>
        <w:t xml:space="preserve"> </w:t>
      </w:r>
      <w:r>
        <w:t>orders and to provide advice to, and prepare reports for, the Minister;</w:t>
      </w:r>
      <w:r>
        <w:rPr>
          <w:vertAlign w:val="superscript"/>
        </w:rPr>
        <w:t>292</w:t>
      </w:r>
      <w:r>
        <w:t xml:space="preserve"> and</w:t>
      </w:r>
    </w:p>
    <w:p w14:paraId="7CB25FE4" w14:textId="77777777" w:rsidR="008A4099" w:rsidRDefault="006A6EE2">
      <w:pPr>
        <w:pStyle w:val="ListParagraph"/>
        <w:numPr>
          <w:ilvl w:val="3"/>
          <w:numId w:val="6"/>
        </w:numPr>
        <w:tabs>
          <w:tab w:val="left" w:pos="880"/>
        </w:tabs>
        <w:spacing w:before="237" w:line="273" w:lineRule="auto"/>
        <w:ind w:left="880" w:right="682" w:hanging="360"/>
      </w:pPr>
      <w:r>
        <w:t>create a statutory requirement for an independent review of the amendments to be conducted by legal and health experts within 18 months of their commencement.</w:t>
      </w:r>
      <w:r>
        <w:rPr>
          <w:vertAlign w:val="superscript"/>
        </w:rPr>
        <w:t>293</w:t>
      </w:r>
    </w:p>
    <w:p w14:paraId="7CB25FE5" w14:textId="77777777" w:rsidR="008A4099" w:rsidRDefault="008A4099">
      <w:pPr>
        <w:pStyle w:val="BodyText"/>
        <w:rPr>
          <w:sz w:val="20"/>
        </w:rPr>
      </w:pPr>
    </w:p>
    <w:p w14:paraId="7CB25FE6" w14:textId="77777777" w:rsidR="008A4099" w:rsidRDefault="006A6EE2">
      <w:pPr>
        <w:pStyle w:val="BodyText"/>
        <w:spacing w:before="12"/>
        <w:rPr>
          <w:sz w:val="20"/>
        </w:rPr>
      </w:pPr>
      <w:r>
        <w:rPr>
          <w:noProof/>
        </w:rPr>
        <mc:AlternateContent>
          <mc:Choice Requires="wps">
            <w:drawing>
              <wp:anchor distT="0" distB="0" distL="0" distR="0" simplePos="0" relativeHeight="487611904" behindDoc="1" locked="0" layoutInCell="1" allowOverlap="1" wp14:anchorId="7CB26637" wp14:editId="7CB26638">
                <wp:simplePos x="0" y="0"/>
                <wp:positionH relativeFrom="page">
                  <wp:posOffset>914704</wp:posOffset>
                </wp:positionH>
                <wp:positionV relativeFrom="paragraph">
                  <wp:posOffset>169275</wp:posOffset>
                </wp:positionV>
                <wp:extent cx="1829435" cy="762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C61BE7" id="Graphic 89" o:spid="_x0000_s1026" style="position:absolute;margin-left:1in;margin-top:13.35pt;width:144.05pt;height:.6pt;z-index:-157045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" path="m1829054,l,,,7620r1829054,l1829054,xe" fillcolor="black" stroked="f">
                <v:path arrowok="t"/>
                <w10:wrap type="topAndBottom" anchorx="page"/>
              </v:shape>
            </w:pict>
          </mc:Fallback>
        </mc:AlternateContent>
      </w:r>
    </w:p>
    <w:p w14:paraId="7CB25FE7" w14:textId="77777777" w:rsidR="008A4099" w:rsidRDefault="006A6EE2">
      <w:pPr>
        <w:spacing w:before="112"/>
        <w:ind w:left="160"/>
        <w:rPr>
          <w:i/>
          <w:sz w:val="18"/>
        </w:rPr>
      </w:pPr>
      <w:r>
        <w:rPr>
          <w:sz w:val="18"/>
          <w:vertAlign w:val="superscript"/>
        </w:rPr>
        <w:t>284</w:t>
      </w:r>
      <w:r>
        <w:rPr>
          <w:spacing w:val="-1"/>
          <w:sz w:val="18"/>
        </w:rPr>
        <w:t xml:space="preserve"> </w:t>
      </w:r>
      <w:r>
        <w:rPr>
          <w:sz w:val="18"/>
        </w:rPr>
        <w:t>See</w:t>
      </w:r>
      <w:r>
        <w:rPr>
          <w:spacing w:val="42"/>
          <w:sz w:val="18"/>
        </w:rPr>
        <w:t xml:space="preserve"> </w:t>
      </w:r>
      <w:r>
        <w:rPr>
          <w:sz w:val="18"/>
        </w:rPr>
        <w:t>Public</w:t>
      </w:r>
      <w:r>
        <w:rPr>
          <w:spacing w:val="41"/>
          <w:sz w:val="18"/>
        </w:rPr>
        <w:t xml:space="preserve"> </w:t>
      </w:r>
      <w:r>
        <w:rPr>
          <w:sz w:val="18"/>
        </w:rPr>
        <w:t>Accounts</w:t>
      </w:r>
      <w:r>
        <w:rPr>
          <w:spacing w:val="43"/>
          <w:sz w:val="18"/>
        </w:rPr>
        <w:t xml:space="preserve"> </w:t>
      </w:r>
      <w:r>
        <w:rPr>
          <w:sz w:val="18"/>
        </w:rPr>
        <w:t>and</w:t>
      </w:r>
      <w:r>
        <w:rPr>
          <w:spacing w:val="43"/>
          <w:sz w:val="18"/>
        </w:rPr>
        <w:t xml:space="preserve"> </w:t>
      </w:r>
      <w:r>
        <w:rPr>
          <w:sz w:val="18"/>
        </w:rPr>
        <w:t>Estimates</w:t>
      </w:r>
      <w:r>
        <w:rPr>
          <w:spacing w:val="42"/>
          <w:sz w:val="18"/>
        </w:rPr>
        <w:t xml:space="preserve"> </w:t>
      </w:r>
      <w:r>
        <w:rPr>
          <w:sz w:val="18"/>
        </w:rPr>
        <w:t>Committee,</w:t>
      </w:r>
      <w:r>
        <w:rPr>
          <w:spacing w:val="47"/>
          <w:sz w:val="18"/>
        </w:rPr>
        <w:t xml:space="preserve"> </w:t>
      </w:r>
      <w:r>
        <w:rPr>
          <w:i/>
          <w:sz w:val="18"/>
        </w:rPr>
        <w:t>Inquiry</w:t>
      </w:r>
      <w:r>
        <w:rPr>
          <w:i/>
          <w:spacing w:val="42"/>
          <w:sz w:val="18"/>
        </w:rPr>
        <w:t xml:space="preserve"> </w:t>
      </w:r>
      <w:r>
        <w:rPr>
          <w:i/>
          <w:sz w:val="18"/>
        </w:rPr>
        <w:t>into</w:t>
      </w:r>
      <w:r>
        <w:rPr>
          <w:i/>
          <w:spacing w:val="39"/>
          <w:sz w:val="18"/>
        </w:rPr>
        <w:t xml:space="preserve"> </w:t>
      </w:r>
      <w:r>
        <w:rPr>
          <w:i/>
          <w:sz w:val="18"/>
        </w:rPr>
        <w:t>the</w:t>
      </w:r>
      <w:r>
        <w:rPr>
          <w:i/>
          <w:spacing w:val="42"/>
          <w:sz w:val="18"/>
        </w:rPr>
        <w:t xml:space="preserve"> </w:t>
      </w:r>
      <w:r>
        <w:rPr>
          <w:i/>
          <w:sz w:val="18"/>
        </w:rPr>
        <w:t>Government</w:t>
      </w:r>
      <w:r>
        <w:rPr>
          <w:i/>
          <w:spacing w:val="42"/>
          <w:sz w:val="18"/>
        </w:rPr>
        <w:t xml:space="preserve"> </w:t>
      </w:r>
      <w:r>
        <w:rPr>
          <w:i/>
          <w:sz w:val="18"/>
        </w:rPr>
        <w:t>Response</w:t>
      </w:r>
      <w:r>
        <w:rPr>
          <w:i/>
          <w:spacing w:val="42"/>
          <w:sz w:val="18"/>
        </w:rPr>
        <w:t xml:space="preserve"> </w:t>
      </w:r>
      <w:r>
        <w:rPr>
          <w:i/>
          <w:sz w:val="18"/>
        </w:rPr>
        <w:t>to</w:t>
      </w:r>
      <w:r>
        <w:rPr>
          <w:i/>
          <w:spacing w:val="43"/>
          <w:sz w:val="18"/>
        </w:rPr>
        <w:t xml:space="preserve"> </w:t>
      </w:r>
      <w:r>
        <w:rPr>
          <w:i/>
          <w:sz w:val="18"/>
        </w:rPr>
        <w:t>the</w:t>
      </w:r>
      <w:r>
        <w:rPr>
          <w:i/>
          <w:spacing w:val="42"/>
          <w:sz w:val="18"/>
        </w:rPr>
        <w:t xml:space="preserve"> </w:t>
      </w:r>
      <w:r>
        <w:rPr>
          <w:i/>
          <w:sz w:val="18"/>
        </w:rPr>
        <w:t>Covid-19</w:t>
      </w:r>
      <w:r>
        <w:rPr>
          <w:i/>
          <w:spacing w:val="43"/>
          <w:sz w:val="18"/>
        </w:rPr>
        <w:t xml:space="preserve"> </w:t>
      </w:r>
      <w:r>
        <w:rPr>
          <w:i/>
          <w:spacing w:val="-2"/>
          <w:sz w:val="18"/>
        </w:rPr>
        <w:t>Pandemic</w:t>
      </w:r>
    </w:p>
    <w:p w14:paraId="7CB25FE8" w14:textId="77777777" w:rsidR="008A4099" w:rsidRDefault="006A6EE2">
      <w:pPr>
        <w:spacing w:before="5"/>
        <w:ind w:left="160"/>
        <w:rPr>
          <w:sz w:val="18"/>
        </w:rPr>
      </w:pPr>
      <w:r>
        <w:rPr>
          <w:sz w:val="18"/>
        </w:rPr>
        <w:t>(Parliament</w:t>
      </w:r>
      <w:r>
        <w:rPr>
          <w:spacing w:val="-1"/>
          <w:sz w:val="18"/>
        </w:rPr>
        <w:t xml:space="preserve"> </w:t>
      </w:r>
      <w:r>
        <w:rPr>
          <w:sz w:val="18"/>
        </w:rPr>
        <w:t>of</w:t>
      </w:r>
      <w:r>
        <w:rPr>
          <w:spacing w:val="-2"/>
          <w:sz w:val="18"/>
        </w:rPr>
        <w:t xml:space="preserve"> </w:t>
      </w:r>
      <w:r>
        <w:rPr>
          <w:sz w:val="18"/>
        </w:rPr>
        <w:t>Victoria,</w:t>
      </w:r>
      <w:r>
        <w:rPr>
          <w:spacing w:val="-1"/>
          <w:sz w:val="18"/>
        </w:rPr>
        <w:t xml:space="preserve"> </w:t>
      </w:r>
      <w:r>
        <w:rPr>
          <w:sz w:val="18"/>
        </w:rPr>
        <w:t>2021)</w:t>
      </w:r>
      <w:r>
        <w:rPr>
          <w:spacing w:val="-3"/>
          <w:sz w:val="18"/>
        </w:rPr>
        <w:t xml:space="preserve"> </w:t>
      </w:r>
      <w:r>
        <w:rPr>
          <w:spacing w:val="-2"/>
          <w:sz w:val="18"/>
        </w:rPr>
        <w:t>184–195</w:t>
      </w:r>
    </w:p>
    <w:p w14:paraId="7CB25FE9" w14:textId="77777777" w:rsidR="008A4099" w:rsidRDefault="006A6EE2">
      <w:pPr>
        <w:ind w:left="160" w:right="1960"/>
        <w:rPr>
          <w:sz w:val="18"/>
        </w:rPr>
      </w:pPr>
      <w:r>
        <w:rPr>
          <w:spacing w:val="-2"/>
          <w:sz w:val="18"/>
        </w:rPr>
        <w:t>&lt;https://</w:t>
      </w:r>
      <w:hyperlink r:id="rId122">
        <w:r>
          <w:rPr>
            <w:spacing w:val="-2"/>
            <w:sz w:val="18"/>
          </w:rPr>
          <w:t>www.parliament.vic.gov.au/48eb83/contentassets/9c4e489fe9834121826347ad523e87d2/paec_59-</w:t>
        </w:r>
      </w:hyperlink>
      <w:r>
        <w:rPr>
          <w:spacing w:val="-2"/>
          <w:sz w:val="18"/>
        </w:rPr>
        <w:t xml:space="preserve"> 08_vic_gov_response_to_covid-19_pandemic.pdf&gt;.</w:t>
      </w:r>
    </w:p>
    <w:p w14:paraId="7CB25FEA" w14:textId="77777777" w:rsidR="008A4099" w:rsidRDefault="006A6EE2">
      <w:pPr>
        <w:spacing w:before="20"/>
        <w:ind w:left="160"/>
        <w:rPr>
          <w:sz w:val="18"/>
        </w:rPr>
      </w:pPr>
      <w:r>
        <w:rPr>
          <w:sz w:val="18"/>
          <w:vertAlign w:val="superscript"/>
        </w:rPr>
        <w:t>285</w:t>
      </w:r>
      <w:r>
        <w:rPr>
          <w:spacing w:val="-1"/>
          <w:sz w:val="18"/>
        </w:rPr>
        <w:t xml:space="preserve"> </w:t>
      </w:r>
      <w:r>
        <w:rPr>
          <w:i/>
          <w:sz w:val="18"/>
        </w:rPr>
        <w:t>Public</w:t>
      </w:r>
      <w:r>
        <w:rPr>
          <w:i/>
          <w:spacing w:val="-2"/>
          <w:sz w:val="18"/>
        </w:rPr>
        <w:t xml:space="preserve"> </w:t>
      </w:r>
      <w:r>
        <w:rPr>
          <w:i/>
          <w:sz w:val="18"/>
        </w:rPr>
        <w:t>Health</w:t>
      </w:r>
      <w:r>
        <w:rPr>
          <w:i/>
          <w:spacing w:val="1"/>
          <w:sz w:val="18"/>
        </w:rPr>
        <w:t xml:space="preserve"> </w:t>
      </w:r>
      <w:r>
        <w:rPr>
          <w:i/>
          <w:sz w:val="18"/>
        </w:rPr>
        <w:t>and</w:t>
      </w:r>
      <w:r>
        <w:rPr>
          <w:i/>
          <w:spacing w:val="-2"/>
          <w:sz w:val="18"/>
        </w:rPr>
        <w:t xml:space="preserve"> </w:t>
      </w:r>
      <w:r>
        <w:rPr>
          <w:i/>
          <w:sz w:val="18"/>
        </w:rPr>
        <w:t>Wellbeing</w:t>
      </w:r>
      <w:r>
        <w:rPr>
          <w:i/>
          <w:spacing w:val="-2"/>
          <w:sz w:val="18"/>
        </w:rPr>
        <w:t xml:space="preserve"> </w:t>
      </w:r>
      <w:r>
        <w:rPr>
          <w:i/>
          <w:sz w:val="18"/>
        </w:rPr>
        <w:t>Amendment (Public</w:t>
      </w:r>
      <w:r>
        <w:rPr>
          <w:i/>
          <w:spacing w:val="-2"/>
          <w:sz w:val="18"/>
        </w:rPr>
        <w:t xml:space="preserve"> </w:t>
      </w:r>
      <w:r>
        <w:rPr>
          <w:i/>
          <w:sz w:val="18"/>
        </w:rPr>
        <w:t>Management)</w:t>
      </w:r>
      <w:r>
        <w:rPr>
          <w:i/>
          <w:spacing w:val="-3"/>
          <w:sz w:val="18"/>
        </w:rPr>
        <w:t xml:space="preserve"> </w:t>
      </w:r>
      <w:r>
        <w:rPr>
          <w:i/>
          <w:sz w:val="18"/>
        </w:rPr>
        <w:t>Act 2021</w:t>
      </w:r>
      <w:r>
        <w:rPr>
          <w:i/>
          <w:spacing w:val="6"/>
          <w:sz w:val="18"/>
        </w:rPr>
        <w:t xml:space="preserve"> </w:t>
      </w:r>
      <w:r>
        <w:rPr>
          <w:spacing w:val="-2"/>
          <w:sz w:val="18"/>
        </w:rPr>
        <w:t>(Vic).</w:t>
      </w:r>
    </w:p>
    <w:p w14:paraId="7CB25FEB" w14:textId="77777777" w:rsidR="008A4099" w:rsidRDefault="006A6EE2">
      <w:pPr>
        <w:spacing w:before="21" w:line="242" w:lineRule="auto"/>
        <w:ind w:left="160" w:right="681"/>
        <w:jc w:val="both"/>
        <w:rPr>
          <w:sz w:val="18"/>
        </w:rPr>
      </w:pPr>
      <w:r>
        <w:rPr>
          <w:sz w:val="18"/>
          <w:vertAlign w:val="superscript"/>
        </w:rPr>
        <w:t>286</w:t>
      </w:r>
      <w:r>
        <w:rPr>
          <w:spacing w:val="-6"/>
          <w:sz w:val="18"/>
        </w:rPr>
        <w:t xml:space="preserve"> </w:t>
      </w:r>
      <w:r>
        <w:rPr>
          <w:sz w:val="18"/>
        </w:rPr>
        <w:t>See</w:t>
      </w:r>
      <w:r>
        <w:rPr>
          <w:spacing w:val="-6"/>
          <w:sz w:val="18"/>
        </w:rPr>
        <w:t xml:space="preserve"> </w:t>
      </w:r>
      <w:r>
        <w:rPr>
          <w:sz w:val="18"/>
        </w:rPr>
        <w:t>Part</w:t>
      </w:r>
      <w:r>
        <w:rPr>
          <w:spacing w:val="-8"/>
          <w:sz w:val="18"/>
        </w:rPr>
        <w:t xml:space="preserve"> </w:t>
      </w:r>
      <w:r>
        <w:rPr>
          <w:sz w:val="18"/>
        </w:rPr>
        <w:t>8A</w:t>
      </w:r>
      <w:r>
        <w:rPr>
          <w:spacing w:val="-9"/>
          <w:sz w:val="18"/>
        </w:rPr>
        <w:t xml:space="preserve"> </w:t>
      </w:r>
      <w:r>
        <w:rPr>
          <w:sz w:val="18"/>
        </w:rPr>
        <w:t>of</w:t>
      </w:r>
      <w:r>
        <w:rPr>
          <w:spacing w:val="-6"/>
          <w:sz w:val="18"/>
        </w:rPr>
        <w:t xml:space="preserve"> </w:t>
      </w:r>
      <w:r>
        <w:rPr>
          <w:sz w:val="18"/>
        </w:rPr>
        <w:t>the</w:t>
      </w:r>
      <w:r>
        <w:rPr>
          <w:spacing w:val="-6"/>
          <w:sz w:val="18"/>
        </w:rPr>
        <w:t xml:space="preserve"> </w:t>
      </w:r>
      <w:r>
        <w:rPr>
          <w:i/>
          <w:sz w:val="18"/>
        </w:rPr>
        <w:t>Public</w:t>
      </w:r>
      <w:r>
        <w:rPr>
          <w:i/>
          <w:spacing w:val="-9"/>
          <w:sz w:val="18"/>
        </w:rPr>
        <w:t xml:space="preserve"> </w:t>
      </w:r>
      <w:r>
        <w:rPr>
          <w:i/>
          <w:sz w:val="18"/>
        </w:rPr>
        <w:t>Health</w:t>
      </w:r>
      <w:r>
        <w:rPr>
          <w:i/>
          <w:spacing w:val="-9"/>
          <w:sz w:val="18"/>
        </w:rPr>
        <w:t xml:space="preserve"> </w:t>
      </w:r>
      <w:r>
        <w:rPr>
          <w:i/>
          <w:sz w:val="18"/>
        </w:rPr>
        <w:t>and</w:t>
      </w:r>
      <w:r>
        <w:rPr>
          <w:i/>
          <w:spacing w:val="-7"/>
          <w:sz w:val="18"/>
        </w:rPr>
        <w:t xml:space="preserve"> </w:t>
      </w:r>
      <w:r>
        <w:rPr>
          <w:i/>
          <w:sz w:val="18"/>
        </w:rPr>
        <w:t>Wellbeing</w:t>
      </w:r>
      <w:r>
        <w:rPr>
          <w:i/>
          <w:spacing w:val="-7"/>
          <w:sz w:val="18"/>
        </w:rPr>
        <w:t xml:space="preserve"> </w:t>
      </w:r>
      <w:r>
        <w:rPr>
          <w:i/>
          <w:sz w:val="18"/>
        </w:rPr>
        <w:t>Act</w:t>
      </w:r>
      <w:r>
        <w:rPr>
          <w:i/>
          <w:spacing w:val="-6"/>
          <w:sz w:val="18"/>
        </w:rPr>
        <w:t xml:space="preserve"> </w:t>
      </w:r>
      <w:r>
        <w:rPr>
          <w:i/>
          <w:sz w:val="18"/>
        </w:rPr>
        <w:t>2008</w:t>
      </w:r>
      <w:r>
        <w:rPr>
          <w:i/>
          <w:spacing w:val="-2"/>
          <w:sz w:val="18"/>
        </w:rPr>
        <w:t xml:space="preserve"> </w:t>
      </w:r>
      <w:r>
        <w:rPr>
          <w:sz w:val="18"/>
        </w:rPr>
        <w:t>(Vic).</w:t>
      </w:r>
      <w:r>
        <w:rPr>
          <w:spacing w:val="-7"/>
          <w:sz w:val="18"/>
        </w:rPr>
        <w:t xml:space="preserve"> </w:t>
      </w:r>
      <w:r>
        <w:rPr>
          <w:sz w:val="18"/>
        </w:rPr>
        <w:t>For</w:t>
      </w:r>
      <w:r>
        <w:rPr>
          <w:spacing w:val="-6"/>
          <w:sz w:val="18"/>
        </w:rPr>
        <w:t xml:space="preserve"> </w:t>
      </w:r>
      <w:r>
        <w:rPr>
          <w:sz w:val="18"/>
        </w:rPr>
        <w:t>example,</w:t>
      </w:r>
      <w:r>
        <w:rPr>
          <w:spacing w:val="-5"/>
          <w:sz w:val="18"/>
        </w:rPr>
        <w:t xml:space="preserve"> </w:t>
      </w:r>
      <w:r>
        <w:rPr>
          <w:sz w:val="18"/>
        </w:rPr>
        <w:t>s</w:t>
      </w:r>
      <w:r>
        <w:rPr>
          <w:spacing w:val="-9"/>
          <w:sz w:val="18"/>
        </w:rPr>
        <w:t xml:space="preserve"> </w:t>
      </w:r>
      <w:r>
        <w:rPr>
          <w:sz w:val="18"/>
        </w:rPr>
        <w:t>165AS(1)(b)(iv)</w:t>
      </w:r>
      <w:r>
        <w:rPr>
          <w:spacing w:val="-8"/>
          <w:sz w:val="18"/>
        </w:rPr>
        <w:t xml:space="preserve"> </w:t>
      </w:r>
      <w:r>
        <w:rPr>
          <w:sz w:val="18"/>
        </w:rPr>
        <w:t>provides</w:t>
      </w:r>
      <w:r>
        <w:rPr>
          <w:spacing w:val="-6"/>
          <w:sz w:val="18"/>
        </w:rPr>
        <w:t xml:space="preserve"> </w:t>
      </w:r>
      <w:r>
        <w:rPr>
          <w:sz w:val="18"/>
        </w:rPr>
        <w:t>for</w:t>
      </w:r>
      <w:r>
        <w:rPr>
          <w:spacing w:val="-8"/>
          <w:sz w:val="18"/>
        </w:rPr>
        <w:t xml:space="preserve"> </w:t>
      </w:r>
      <w:r>
        <w:rPr>
          <w:sz w:val="18"/>
        </w:rPr>
        <w:t>the</w:t>
      </w:r>
      <w:r>
        <w:rPr>
          <w:spacing w:val="-9"/>
          <w:sz w:val="18"/>
        </w:rPr>
        <w:t xml:space="preserve"> </w:t>
      </w:r>
      <w:r>
        <w:rPr>
          <w:sz w:val="18"/>
        </w:rPr>
        <w:t>Pandemic Declaration Accountability and Oversight Committee to report to Parliament, if an instrument or direction ‘provides for the sub-delegation of powers delegated by the Act’.</w:t>
      </w:r>
    </w:p>
    <w:p w14:paraId="7CB25FEC" w14:textId="77777777" w:rsidR="008A4099" w:rsidRDefault="006A6EE2">
      <w:pPr>
        <w:spacing w:before="19"/>
        <w:ind w:left="160"/>
        <w:jc w:val="both"/>
        <w:rPr>
          <w:sz w:val="18"/>
        </w:rPr>
      </w:pPr>
      <w:r>
        <w:rPr>
          <w:sz w:val="18"/>
          <w:vertAlign w:val="superscript"/>
        </w:rPr>
        <w:t>287</w:t>
      </w:r>
      <w:r>
        <w:rPr>
          <w:sz w:val="18"/>
        </w:rPr>
        <w:t xml:space="preserve"> </w:t>
      </w:r>
      <w:r>
        <w:rPr>
          <w:i/>
          <w:sz w:val="18"/>
        </w:rPr>
        <w:t>Public Health</w:t>
      </w:r>
      <w:r>
        <w:rPr>
          <w:i/>
          <w:spacing w:val="1"/>
          <w:sz w:val="18"/>
        </w:rPr>
        <w:t xml:space="preserve"> </w:t>
      </w:r>
      <w:r>
        <w:rPr>
          <w:i/>
          <w:sz w:val="18"/>
        </w:rPr>
        <w:t>and Wellbeing</w:t>
      </w:r>
      <w:r>
        <w:rPr>
          <w:i/>
          <w:spacing w:val="-1"/>
          <w:sz w:val="18"/>
        </w:rPr>
        <w:t xml:space="preserve"> </w:t>
      </w:r>
      <w:r>
        <w:rPr>
          <w:i/>
          <w:sz w:val="18"/>
        </w:rPr>
        <w:t>Act</w:t>
      </w:r>
      <w:r>
        <w:rPr>
          <w:i/>
          <w:spacing w:val="-1"/>
          <w:sz w:val="18"/>
        </w:rPr>
        <w:t xml:space="preserve"> </w:t>
      </w:r>
      <w:r>
        <w:rPr>
          <w:i/>
          <w:sz w:val="18"/>
        </w:rPr>
        <w:t>2008</w:t>
      </w:r>
      <w:r>
        <w:rPr>
          <w:i/>
          <w:spacing w:val="3"/>
          <w:sz w:val="18"/>
        </w:rPr>
        <w:t xml:space="preserve"> </w:t>
      </w:r>
      <w:r>
        <w:rPr>
          <w:sz w:val="18"/>
        </w:rPr>
        <w:t>(Vic)</w:t>
      </w:r>
      <w:r>
        <w:rPr>
          <w:spacing w:val="1"/>
          <w:sz w:val="18"/>
        </w:rPr>
        <w:t xml:space="preserve"> </w:t>
      </w:r>
      <w:r>
        <w:rPr>
          <w:sz w:val="18"/>
        </w:rPr>
        <w:t xml:space="preserve">s </w:t>
      </w:r>
      <w:r>
        <w:rPr>
          <w:spacing w:val="-2"/>
          <w:sz w:val="18"/>
        </w:rPr>
        <w:t>165AK.</w:t>
      </w:r>
    </w:p>
    <w:p w14:paraId="7CB25FED" w14:textId="77777777" w:rsidR="008A4099" w:rsidRDefault="006A6EE2">
      <w:pPr>
        <w:spacing w:before="21"/>
        <w:ind w:left="160"/>
        <w:jc w:val="both"/>
        <w:rPr>
          <w:sz w:val="18"/>
        </w:rPr>
      </w:pPr>
      <w:r>
        <w:rPr>
          <w:sz w:val="18"/>
          <w:vertAlign w:val="superscript"/>
        </w:rPr>
        <w:t>288</w:t>
      </w:r>
      <w:r>
        <w:rPr>
          <w:spacing w:val="-1"/>
          <w:sz w:val="18"/>
        </w:rPr>
        <w:t xml:space="preserve"> </w:t>
      </w:r>
      <w:r>
        <w:rPr>
          <w:i/>
          <w:sz w:val="18"/>
        </w:rPr>
        <w:t>Public</w:t>
      </w:r>
      <w:r>
        <w:rPr>
          <w:i/>
          <w:spacing w:val="-1"/>
          <w:sz w:val="18"/>
        </w:rPr>
        <w:t xml:space="preserve"> </w:t>
      </w:r>
      <w:r>
        <w:rPr>
          <w:i/>
          <w:sz w:val="18"/>
        </w:rPr>
        <w:t>Health</w:t>
      </w:r>
      <w:r>
        <w:rPr>
          <w:i/>
          <w:spacing w:val="1"/>
          <w:sz w:val="18"/>
        </w:rPr>
        <w:t xml:space="preserve"> </w:t>
      </w:r>
      <w:r>
        <w:rPr>
          <w:i/>
          <w:sz w:val="18"/>
        </w:rPr>
        <w:t>and</w:t>
      </w:r>
      <w:r>
        <w:rPr>
          <w:i/>
          <w:spacing w:val="-1"/>
          <w:sz w:val="18"/>
        </w:rPr>
        <w:t xml:space="preserve"> </w:t>
      </w:r>
      <w:r>
        <w:rPr>
          <w:i/>
          <w:sz w:val="18"/>
        </w:rPr>
        <w:t>Wellbeing</w:t>
      </w:r>
      <w:r>
        <w:rPr>
          <w:i/>
          <w:spacing w:val="-1"/>
          <w:sz w:val="18"/>
        </w:rPr>
        <w:t xml:space="preserve"> </w:t>
      </w:r>
      <w:r>
        <w:rPr>
          <w:i/>
          <w:sz w:val="18"/>
        </w:rPr>
        <w:t>Act</w:t>
      </w:r>
      <w:r>
        <w:rPr>
          <w:i/>
          <w:spacing w:val="-3"/>
          <w:sz w:val="18"/>
        </w:rPr>
        <w:t xml:space="preserve"> </w:t>
      </w:r>
      <w:r>
        <w:rPr>
          <w:i/>
          <w:sz w:val="18"/>
        </w:rPr>
        <w:t>2008</w:t>
      </w:r>
      <w:r>
        <w:rPr>
          <w:i/>
          <w:spacing w:val="3"/>
          <w:sz w:val="18"/>
        </w:rPr>
        <w:t xml:space="preserve"> </w:t>
      </w:r>
      <w:r>
        <w:rPr>
          <w:sz w:val="18"/>
        </w:rPr>
        <w:t>(Vic) ss</w:t>
      </w:r>
      <w:r>
        <w:rPr>
          <w:spacing w:val="-1"/>
          <w:sz w:val="18"/>
        </w:rPr>
        <w:t xml:space="preserve"> </w:t>
      </w:r>
      <w:r>
        <w:rPr>
          <w:sz w:val="18"/>
        </w:rPr>
        <w:t>165AJ, 165AP(2)(c)</w:t>
      </w:r>
      <w:r>
        <w:rPr>
          <w:spacing w:val="-1"/>
          <w:sz w:val="18"/>
        </w:rPr>
        <w:t xml:space="preserve"> </w:t>
      </w:r>
      <w:r>
        <w:rPr>
          <w:sz w:val="18"/>
        </w:rPr>
        <w:t>and</w:t>
      </w:r>
      <w:r>
        <w:rPr>
          <w:spacing w:val="1"/>
          <w:sz w:val="18"/>
        </w:rPr>
        <w:t xml:space="preserve"> </w:t>
      </w:r>
      <w:r>
        <w:rPr>
          <w:spacing w:val="-4"/>
          <w:sz w:val="18"/>
        </w:rPr>
        <w:t>(d).</w:t>
      </w:r>
    </w:p>
    <w:p w14:paraId="7CB25FEE" w14:textId="77777777" w:rsidR="008A4099" w:rsidRDefault="006A6EE2">
      <w:pPr>
        <w:spacing w:before="23" w:line="244" w:lineRule="auto"/>
        <w:ind w:left="160" w:right="677"/>
        <w:jc w:val="both"/>
        <w:rPr>
          <w:sz w:val="18"/>
        </w:rPr>
      </w:pPr>
      <w:r>
        <w:rPr>
          <w:sz w:val="18"/>
          <w:vertAlign w:val="superscript"/>
        </w:rPr>
        <w:t>289</w:t>
      </w:r>
      <w:r>
        <w:rPr>
          <w:sz w:val="18"/>
        </w:rPr>
        <w:t xml:space="preserve"> Part 8A, Div 6 of the </w:t>
      </w:r>
      <w:r>
        <w:rPr>
          <w:i/>
          <w:sz w:val="18"/>
        </w:rPr>
        <w:t xml:space="preserve">Public Health and Wellbeing Act 2008 </w:t>
      </w:r>
      <w:r>
        <w:rPr>
          <w:sz w:val="18"/>
        </w:rPr>
        <w:t>(Vic) provides for people detained to seek review by a Detention Appeal Officer, make a complaint to the Ombudsman, or seek review in a Court.</w:t>
      </w:r>
    </w:p>
    <w:p w14:paraId="7CB25FEF" w14:textId="77777777" w:rsidR="008A4099" w:rsidRDefault="006A6EE2">
      <w:pPr>
        <w:spacing w:before="15"/>
        <w:ind w:left="160"/>
        <w:rPr>
          <w:sz w:val="18"/>
        </w:rPr>
      </w:pPr>
      <w:r>
        <w:rPr>
          <w:sz w:val="18"/>
          <w:vertAlign w:val="superscript"/>
        </w:rPr>
        <w:t>290</w:t>
      </w:r>
      <w:r>
        <w:rPr>
          <w:sz w:val="18"/>
        </w:rPr>
        <w:t xml:space="preserve"> </w:t>
      </w:r>
      <w:r>
        <w:rPr>
          <w:i/>
          <w:sz w:val="18"/>
        </w:rPr>
        <w:t>Public Health</w:t>
      </w:r>
      <w:r>
        <w:rPr>
          <w:i/>
          <w:spacing w:val="1"/>
          <w:sz w:val="18"/>
        </w:rPr>
        <w:t xml:space="preserve"> </w:t>
      </w:r>
      <w:r>
        <w:rPr>
          <w:i/>
          <w:sz w:val="18"/>
        </w:rPr>
        <w:t>and Wellbeing</w:t>
      </w:r>
      <w:r>
        <w:rPr>
          <w:i/>
          <w:spacing w:val="-1"/>
          <w:sz w:val="18"/>
        </w:rPr>
        <w:t xml:space="preserve"> </w:t>
      </w:r>
      <w:r>
        <w:rPr>
          <w:i/>
          <w:sz w:val="18"/>
        </w:rPr>
        <w:t>Act</w:t>
      </w:r>
      <w:r>
        <w:rPr>
          <w:i/>
          <w:spacing w:val="-1"/>
          <w:sz w:val="18"/>
        </w:rPr>
        <w:t xml:space="preserve"> </w:t>
      </w:r>
      <w:r>
        <w:rPr>
          <w:i/>
          <w:sz w:val="18"/>
        </w:rPr>
        <w:t>2008</w:t>
      </w:r>
      <w:r>
        <w:rPr>
          <w:i/>
          <w:spacing w:val="3"/>
          <w:sz w:val="18"/>
        </w:rPr>
        <w:t xml:space="preserve"> </w:t>
      </w:r>
      <w:r>
        <w:rPr>
          <w:sz w:val="18"/>
        </w:rPr>
        <w:t>(Vic)</w:t>
      </w:r>
      <w:r>
        <w:rPr>
          <w:spacing w:val="1"/>
          <w:sz w:val="18"/>
        </w:rPr>
        <w:t xml:space="preserve"> </w:t>
      </w:r>
      <w:r>
        <w:rPr>
          <w:sz w:val="18"/>
        </w:rPr>
        <w:t>Pt</w:t>
      </w:r>
      <w:r>
        <w:rPr>
          <w:spacing w:val="-2"/>
          <w:sz w:val="18"/>
        </w:rPr>
        <w:t xml:space="preserve"> </w:t>
      </w:r>
      <w:r>
        <w:rPr>
          <w:sz w:val="18"/>
        </w:rPr>
        <w:t>8A,</w:t>
      </w:r>
      <w:r>
        <w:rPr>
          <w:spacing w:val="1"/>
          <w:sz w:val="18"/>
        </w:rPr>
        <w:t xml:space="preserve"> </w:t>
      </w:r>
      <w:r>
        <w:rPr>
          <w:sz w:val="18"/>
        </w:rPr>
        <w:t>Div</w:t>
      </w:r>
      <w:r>
        <w:rPr>
          <w:spacing w:val="-1"/>
          <w:sz w:val="18"/>
        </w:rPr>
        <w:t xml:space="preserve"> </w:t>
      </w:r>
      <w:r>
        <w:rPr>
          <w:spacing w:val="-5"/>
          <w:sz w:val="18"/>
        </w:rPr>
        <w:t>9.</w:t>
      </w:r>
    </w:p>
    <w:p w14:paraId="7CB25FF0" w14:textId="77777777" w:rsidR="008A4099" w:rsidRDefault="006A6EE2">
      <w:pPr>
        <w:spacing w:before="23"/>
        <w:ind w:left="160"/>
        <w:rPr>
          <w:sz w:val="18"/>
        </w:rPr>
      </w:pPr>
      <w:r>
        <w:rPr>
          <w:sz w:val="18"/>
          <w:vertAlign w:val="superscript"/>
        </w:rPr>
        <w:t>291</w:t>
      </w:r>
      <w:r>
        <w:rPr>
          <w:sz w:val="18"/>
        </w:rPr>
        <w:t xml:space="preserve"> </w:t>
      </w:r>
      <w:r>
        <w:rPr>
          <w:i/>
          <w:sz w:val="18"/>
        </w:rPr>
        <w:t>Public Health</w:t>
      </w:r>
      <w:r>
        <w:rPr>
          <w:i/>
          <w:spacing w:val="1"/>
          <w:sz w:val="18"/>
        </w:rPr>
        <w:t xml:space="preserve"> </w:t>
      </w:r>
      <w:r>
        <w:rPr>
          <w:i/>
          <w:sz w:val="18"/>
        </w:rPr>
        <w:t>and Wellbeing</w:t>
      </w:r>
      <w:r>
        <w:rPr>
          <w:i/>
          <w:spacing w:val="-1"/>
          <w:sz w:val="18"/>
        </w:rPr>
        <w:t xml:space="preserve"> </w:t>
      </w:r>
      <w:r>
        <w:rPr>
          <w:i/>
          <w:sz w:val="18"/>
        </w:rPr>
        <w:t>Act</w:t>
      </w:r>
      <w:r>
        <w:rPr>
          <w:i/>
          <w:spacing w:val="-1"/>
          <w:sz w:val="18"/>
        </w:rPr>
        <w:t xml:space="preserve"> </w:t>
      </w:r>
      <w:r>
        <w:rPr>
          <w:i/>
          <w:sz w:val="18"/>
        </w:rPr>
        <w:t>2008</w:t>
      </w:r>
      <w:r>
        <w:rPr>
          <w:i/>
          <w:spacing w:val="3"/>
          <w:sz w:val="18"/>
        </w:rPr>
        <w:t xml:space="preserve"> </w:t>
      </w:r>
      <w:r>
        <w:rPr>
          <w:sz w:val="18"/>
        </w:rPr>
        <w:t>(Vic)</w:t>
      </w:r>
      <w:r>
        <w:rPr>
          <w:spacing w:val="1"/>
          <w:sz w:val="18"/>
        </w:rPr>
        <w:t xml:space="preserve"> </w:t>
      </w:r>
      <w:r>
        <w:rPr>
          <w:sz w:val="18"/>
        </w:rPr>
        <w:t xml:space="preserve">s </w:t>
      </w:r>
      <w:r>
        <w:rPr>
          <w:spacing w:val="-2"/>
          <w:sz w:val="18"/>
        </w:rPr>
        <w:t>165CE(4).</w:t>
      </w:r>
    </w:p>
    <w:p w14:paraId="7CB25FF1" w14:textId="77777777" w:rsidR="008A4099" w:rsidRDefault="006A6EE2">
      <w:pPr>
        <w:spacing w:before="23"/>
        <w:ind w:left="160"/>
        <w:rPr>
          <w:sz w:val="18"/>
        </w:rPr>
      </w:pPr>
      <w:r>
        <w:rPr>
          <w:sz w:val="18"/>
          <w:vertAlign w:val="superscript"/>
        </w:rPr>
        <w:t>292</w:t>
      </w:r>
      <w:r>
        <w:rPr>
          <w:sz w:val="18"/>
        </w:rPr>
        <w:t xml:space="preserve"> </w:t>
      </w:r>
      <w:r>
        <w:rPr>
          <w:i/>
          <w:sz w:val="18"/>
        </w:rPr>
        <w:t>Public Health</w:t>
      </w:r>
      <w:r>
        <w:rPr>
          <w:i/>
          <w:spacing w:val="1"/>
          <w:sz w:val="18"/>
        </w:rPr>
        <w:t xml:space="preserve"> </w:t>
      </w:r>
      <w:r>
        <w:rPr>
          <w:i/>
          <w:sz w:val="18"/>
        </w:rPr>
        <w:t>and Wellbeing</w:t>
      </w:r>
      <w:r>
        <w:rPr>
          <w:i/>
          <w:spacing w:val="-1"/>
          <w:sz w:val="18"/>
        </w:rPr>
        <w:t xml:space="preserve"> </w:t>
      </w:r>
      <w:r>
        <w:rPr>
          <w:i/>
          <w:sz w:val="18"/>
        </w:rPr>
        <w:t>Act</w:t>
      </w:r>
      <w:r>
        <w:rPr>
          <w:i/>
          <w:spacing w:val="-1"/>
          <w:sz w:val="18"/>
        </w:rPr>
        <w:t xml:space="preserve"> </w:t>
      </w:r>
      <w:r>
        <w:rPr>
          <w:i/>
          <w:sz w:val="18"/>
        </w:rPr>
        <w:t>2008</w:t>
      </w:r>
      <w:r>
        <w:rPr>
          <w:i/>
          <w:spacing w:val="3"/>
          <w:sz w:val="18"/>
        </w:rPr>
        <w:t xml:space="preserve"> </w:t>
      </w:r>
      <w:r>
        <w:rPr>
          <w:sz w:val="18"/>
        </w:rPr>
        <w:t>(Vic)</w:t>
      </w:r>
      <w:r>
        <w:rPr>
          <w:spacing w:val="1"/>
          <w:sz w:val="18"/>
        </w:rPr>
        <w:t xml:space="preserve"> </w:t>
      </w:r>
      <w:r>
        <w:rPr>
          <w:sz w:val="18"/>
        </w:rPr>
        <w:t xml:space="preserve">s </w:t>
      </w:r>
      <w:r>
        <w:rPr>
          <w:spacing w:val="-2"/>
          <w:sz w:val="18"/>
        </w:rPr>
        <w:t>165CF.</w:t>
      </w:r>
    </w:p>
    <w:p w14:paraId="7CB25FF2" w14:textId="77777777" w:rsidR="008A4099" w:rsidRDefault="006A6EE2">
      <w:pPr>
        <w:spacing w:before="24"/>
        <w:ind w:left="160"/>
        <w:rPr>
          <w:sz w:val="18"/>
        </w:rPr>
      </w:pPr>
      <w:r>
        <w:rPr>
          <w:sz w:val="18"/>
          <w:vertAlign w:val="superscript"/>
        </w:rPr>
        <w:t>293</w:t>
      </w:r>
      <w:r>
        <w:rPr>
          <w:sz w:val="18"/>
        </w:rPr>
        <w:t xml:space="preserve"> </w:t>
      </w:r>
      <w:r>
        <w:rPr>
          <w:i/>
          <w:sz w:val="18"/>
        </w:rPr>
        <w:t>Public Health</w:t>
      </w:r>
      <w:r>
        <w:rPr>
          <w:i/>
          <w:spacing w:val="1"/>
          <w:sz w:val="18"/>
        </w:rPr>
        <w:t xml:space="preserve"> </w:t>
      </w:r>
      <w:r>
        <w:rPr>
          <w:i/>
          <w:sz w:val="18"/>
        </w:rPr>
        <w:t>and Wellbeing</w:t>
      </w:r>
      <w:r>
        <w:rPr>
          <w:i/>
          <w:spacing w:val="-1"/>
          <w:sz w:val="18"/>
        </w:rPr>
        <w:t xml:space="preserve"> </w:t>
      </w:r>
      <w:r>
        <w:rPr>
          <w:i/>
          <w:sz w:val="18"/>
        </w:rPr>
        <w:t>Act</w:t>
      </w:r>
      <w:r>
        <w:rPr>
          <w:i/>
          <w:spacing w:val="-1"/>
          <w:sz w:val="18"/>
        </w:rPr>
        <w:t xml:space="preserve"> </w:t>
      </w:r>
      <w:r>
        <w:rPr>
          <w:i/>
          <w:sz w:val="18"/>
        </w:rPr>
        <w:t>2008</w:t>
      </w:r>
      <w:r>
        <w:rPr>
          <w:i/>
          <w:spacing w:val="3"/>
          <w:sz w:val="18"/>
        </w:rPr>
        <w:t xml:space="preserve"> </w:t>
      </w:r>
      <w:r>
        <w:rPr>
          <w:sz w:val="18"/>
        </w:rPr>
        <w:t>(Vic)</w:t>
      </w:r>
      <w:r>
        <w:rPr>
          <w:spacing w:val="1"/>
          <w:sz w:val="18"/>
        </w:rPr>
        <w:t xml:space="preserve"> </w:t>
      </w:r>
      <w:r>
        <w:rPr>
          <w:sz w:val="18"/>
        </w:rPr>
        <w:t xml:space="preserve">s </w:t>
      </w:r>
      <w:r>
        <w:rPr>
          <w:spacing w:val="-2"/>
          <w:sz w:val="18"/>
        </w:rPr>
        <w:t>165CX.</w:t>
      </w:r>
    </w:p>
    <w:p w14:paraId="7CB25FF3" w14:textId="77777777" w:rsidR="008A4099" w:rsidRDefault="008A4099">
      <w:pPr>
        <w:rPr>
          <w:sz w:val="18"/>
        </w:rPr>
        <w:sectPr w:rsidR="008A4099" w:rsidSect="00D43B2D">
          <w:pgSz w:w="11910" w:h="16840"/>
          <w:pgMar w:top="980" w:right="760" w:bottom="940" w:left="1280" w:header="718" w:footer="753" w:gutter="0"/>
          <w:cols w:space="720"/>
        </w:sectPr>
      </w:pPr>
    </w:p>
    <w:p w14:paraId="7CB25FF4" w14:textId="77777777" w:rsidR="008A4099" w:rsidRDefault="008A4099">
      <w:pPr>
        <w:pStyle w:val="BodyText"/>
        <w:spacing w:before="194"/>
      </w:pPr>
    </w:p>
    <w:p w14:paraId="7CB25FF5" w14:textId="77777777" w:rsidR="008A4099" w:rsidRDefault="006A6EE2">
      <w:pPr>
        <w:pStyle w:val="ListParagraph"/>
        <w:numPr>
          <w:ilvl w:val="2"/>
          <w:numId w:val="6"/>
        </w:numPr>
        <w:tabs>
          <w:tab w:val="left" w:pos="879"/>
        </w:tabs>
        <w:spacing w:before="1"/>
        <w:ind w:right="677" w:firstLine="0"/>
        <w:jc w:val="both"/>
      </w:pPr>
      <w:r>
        <w:t xml:space="preserve">It can be suggested that the discourse surrounding the brokered reforms point to the value of legislative human rights frameworks as a clear touchstone in guiding reform and extraordinary emergency powers. The Human Rights Law Centre has said of the amended pandemic management </w:t>
      </w:r>
      <w:r>
        <w:rPr>
          <w:spacing w:val="-2"/>
        </w:rPr>
        <w:t>regime:</w:t>
      </w:r>
    </w:p>
    <w:p w14:paraId="7CB25FF6" w14:textId="77777777" w:rsidR="008A4099" w:rsidRDefault="006A6EE2">
      <w:pPr>
        <w:pStyle w:val="BodyText"/>
        <w:spacing w:before="237" w:line="278" w:lineRule="auto"/>
        <w:ind w:left="868" w:right="1339"/>
        <w:jc w:val="both"/>
      </w:pPr>
      <w:r>
        <w:t>[It]</w:t>
      </w:r>
      <w:r>
        <w:rPr>
          <w:spacing w:val="-11"/>
        </w:rPr>
        <w:t xml:space="preserve"> </w:t>
      </w:r>
      <w:r>
        <w:t>isn’t</w:t>
      </w:r>
      <w:r>
        <w:rPr>
          <w:spacing w:val="-11"/>
        </w:rPr>
        <w:t xml:space="preserve"> </w:t>
      </w:r>
      <w:r>
        <w:t>perfect</w:t>
      </w:r>
      <w:r>
        <w:rPr>
          <w:spacing w:val="-11"/>
        </w:rPr>
        <w:t xml:space="preserve"> </w:t>
      </w:r>
      <w:r>
        <w:t>but</w:t>
      </w:r>
      <w:r>
        <w:rPr>
          <w:spacing w:val="-11"/>
        </w:rPr>
        <w:t xml:space="preserve"> </w:t>
      </w:r>
      <w:r>
        <w:t>it</w:t>
      </w:r>
      <w:r>
        <w:rPr>
          <w:spacing w:val="-9"/>
        </w:rPr>
        <w:t xml:space="preserve"> </w:t>
      </w:r>
      <w:r>
        <w:t>is</w:t>
      </w:r>
      <w:r>
        <w:rPr>
          <w:spacing w:val="-9"/>
        </w:rPr>
        <w:t xml:space="preserve"> </w:t>
      </w:r>
      <w:r>
        <w:t>a</w:t>
      </w:r>
      <w:r>
        <w:rPr>
          <w:spacing w:val="-12"/>
        </w:rPr>
        <w:t xml:space="preserve"> </w:t>
      </w:r>
      <w:r>
        <w:t>big</w:t>
      </w:r>
      <w:r>
        <w:rPr>
          <w:spacing w:val="-10"/>
        </w:rPr>
        <w:t xml:space="preserve"> </w:t>
      </w:r>
      <w:r>
        <w:t>improvement</w:t>
      </w:r>
      <w:r>
        <w:rPr>
          <w:spacing w:val="-7"/>
        </w:rPr>
        <w:t xml:space="preserve"> </w:t>
      </w:r>
      <w:r>
        <w:t>...</w:t>
      </w:r>
      <w:r>
        <w:rPr>
          <w:spacing w:val="-10"/>
        </w:rPr>
        <w:t xml:space="preserve"> </w:t>
      </w:r>
      <w:r>
        <w:t>Overall</w:t>
      </w:r>
      <w:r>
        <w:rPr>
          <w:spacing w:val="-9"/>
        </w:rPr>
        <w:t xml:space="preserve"> </w:t>
      </w:r>
      <w:r>
        <w:t>the</w:t>
      </w:r>
      <w:r>
        <w:rPr>
          <w:spacing w:val="-9"/>
        </w:rPr>
        <w:t xml:space="preserve"> </w:t>
      </w:r>
      <w:r>
        <w:t>new</w:t>
      </w:r>
      <w:r>
        <w:rPr>
          <w:spacing w:val="-10"/>
        </w:rPr>
        <w:t xml:space="preserve"> </w:t>
      </w:r>
      <w:r>
        <w:t>bill</w:t>
      </w:r>
      <w:r>
        <w:rPr>
          <w:spacing w:val="-11"/>
        </w:rPr>
        <w:t xml:space="preserve"> </w:t>
      </w:r>
      <w:r>
        <w:t>ensures</w:t>
      </w:r>
      <w:r>
        <w:rPr>
          <w:spacing w:val="-11"/>
        </w:rPr>
        <w:t xml:space="preserve"> </w:t>
      </w:r>
      <w:r>
        <w:t>much</w:t>
      </w:r>
      <w:r>
        <w:rPr>
          <w:spacing w:val="-9"/>
        </w:rPr>
        <w:t xml:space="preserve"> </w:t>
      </w:r>
      <w:r>
        <w:t>greater transparency, oversight and</w:t>
      </w:r>
      <w:r>
        <w:rPr>
          <w:spacing w:val="-3"/>
        </w:rPr>
        <w:t xml:space="preserve"> </w:t>
      </w:r>
      <w:r>
        <w:t>human rights</w:t>
      </w:r>
      <w:r>
        <w:rPr>
          <w:spacing w:val="-2"/>
        </w:rPr>
        <w:t xml:space="preserve"> </w:t>
      </w:r>
      <w:r>
        <w:t>protections</w:t>
      </w:r>
      <w:r>
        <w:rPr>
          <w:spacing w:val="-2"/>
        </w:rPr>
        <w:t xml:space="preserve"> </w:t>
      </w:r>
      <w:r>
        <w:t>than the current law</w:t>
      </w:r>
      <w:r>
        <w:rPr>
          <w:spacing w:val="-1"/>
        </w:rPr>
        <w:t xml:space="preserve"> </w:t>
      </w:r>
      <w:r>
        <w:t>and</w:t>
      </w:r>
      <w:r>
        <w:rPr>
          <w:spacing w:val="-2"/>
        </w:rPr>
        <w:t xml:space="preserve"> </w:t>
      </w:r>
      <w:r>
        <w:t>the</w:t>
      </w:r>
      <w:r>
        <w:rPr>
          <w:spacing w:val="-2"/>
        </w:rPr>
        <w:t xml:space="preserve"> </w:t>
      </w:r>
      <w:r>
        <w:t>laws in other parts of the country ... The safeguards in the Bill will help government make better decisions and strike the right balance between our right to life and public health and other individual rights and freedoms.</w:t>
      </w:r>
      <w:r>
        <w:rPr>
          <w:vertAlign w:val="superscript"/>
        </w:rPr>
        <w:t>294</w:t>
      </w:r>
    </w:p>
    <w:p w14:paraId="7CB25FF7" w14:textId="77777777" w:rsidR="008A4099" w:rsidRDefault="006A6EE2">
      <w:pPr>
        <w:pStyle w:val="ListParagraph"/>
        <w:numPr>
          <w:ilvl w:val="2"/>
          <w:numId w:val="6"/>
        </w:numPr>
        <w:tabs>
          <w:tab w:val="left" w:pos="879"/>
        </w:tabs>
        <w:spacing w:before="239"/>
        <w:ind w:right="676" w:firstLine="0"/>
        <w:jc w:val="both"/>
        <w:rPr>
          <w:sz w:val="13"/>
        </w:rPr>
      </w:pPr>
      <w:r>
        <w:t>Similarly, in relation to responses to COVID-19, the AHRC has stated that a ‘Human Rights Act may not lead to perfect results, but it would help us make better decisions. COVID-19 has highlighted the need for a shared set of rights and values to guide us through difficult times’.</w:t>
      </w:r>
      <w:r>
        <w:rPr>
          <w:position w:val="7"/>
          <w:sz w:val="13"/>
        </w:rPr>
        <w:t>295</w:t>
      </w:r>
    </w:p>
    <w:p w14:paraId="7CB25FF8" w14:textId="77777777" w:rsidR="008A4099" w:rsidRDefault="006A6EE2">
      <w:pPr>
        <w:pStyle w:val="ListParagraph"/>
        <w:numPr>
          <w:ilvl w:val="2"/>
          <w:numId w:val="6"/>
        </w:numPr>
        <w:tabs>
          <w:tab w:val="left" w:pos="879"/>
        </w:tabs>
        <w:spacing w:before="217"/>
        <w:ind w:right="673" w:firstLine="0"/>
        <w:jc w:val="both"/>
      </w:pPr>
      <w:r>
        <w:t>Progress towards fostering a stronger human rights culture underpinned by the human rights enactment</w:t>
      </w:r>
      <w:r>
        <w:rPr>
          <w:spacing w:val="-6"/>
        </w:rPr>
        <w:t xml:space="preserve"> </w:t>
      </w:r>
      <w:r>
        <w:t>was</w:t>
      </w:r>
      <w:r>
        <w:rPr>
          <w:spacing w:val="-6"/>
        </w:rPr>
        <w:t xml:space="preserve"> </w:t>
      </w:r>
      <w:r>
        <w:t>observed</w:t>
      </w:r>
      <w:r>
        <w:rPr>
          <w:spacing w:val="-7"/>
        </w:rPr>
        <w:t xml:space="preserve"> </w:t>
      </w:r>
      <w:r>
        <w:t>by</w:t>
      </w:r>
      <w:r>
        <w:rPr>
          <w:spacing w:val="-10"/>
        </w:rPr>
        <w:t xml:space="preserve"> </w:t>
      </w:r>
      <w:r>
        <w:t>the</w:t>
      </w:r>
      <w:r>
        <w:rPr>
          <w:spacing w:val="-7"/>
        </w:rPr>
        <w:t xml:space="preserve"> </w:t>
      </w:r>
      <w:r>
        <w:t>VEOHRC</w:t>
      </w:r>
      <w:r>
        <w:rPr>
          <w:spacing w:val="-8"/>
        </w:rPr>
        <w:t xml:space="preserve"> </w:t>
      </w:r>
      <w:r>
        <w:t>in</w:t>
      </w:r>
      <w:r>
        <w:rPr>
          <w:spacing w:val="-7"/>
        </w:rPr>
        <w:t xml:space="preserve"> </w:t>
      </w:r>
      <w:r>
        <w:t>its</w:t>
      </w:r>
      <w:r>
        <w:rPr>
          <w:spacing w:val="-6"/>
        </w:rPr>
        <w:t xml:space="preserve"> </w:t>
      </w:r>
      <w:r>
        <w:t>2020</w:t>
      </w:r>
      <w:r>
        <w:rPr>
          <w:spacing w:val="-7"/>
        </w:rPr>
        <w:t xml:space="preserve"> </w:t>
      </w:r>
      <w:r>
        <w:t>Report</w:t>
      </w:r>
      <w:r>
        <w:rPr>
          <w:spacing w:val="-6"/>
        </w:rPr>
        <w:t xml:space="preserve"> </w:t>
      </w:r>
      <w:r>
        <w:t>on</w:t>
      </w:r>
      <w:r>
        <w:rPr>
          <w:spacing w:val="-7"/>
        </w:rPr>
        <w:t xml:space="preserve"> </w:t>
      </w:r>
      <w:r>
        <w:t>the</w:t>
      </w:r>
      <w:r>
        <w:rPr>
          <w:spacing w:val="-3"/>
        </w:rPr>
        <w:t xml:space="preserve"> </w:t>
      </w:r>
      <w:r>
        <w:t>operation</w:t>
      </w:r>
      <w:r>
        <w:rPr>
          <w:spacing w:val="-7"/>
        </w:rPr>
        <w:t xml:space="preserve"> </w:t>
      </w:r>
      <w:r>
        <w:t>of</w:t>
      </w:r>
      <w:r>
        <w:rPr>
          <w:spacing w:val="-6"/>
        </w:rPr>
        <w:t xml:space="preserve"> </w:t>
      </w:r>
      <w:r>
        <w:t>the</w:t>
      </w:r>
      <w:r>
        <w:rPr>
          <w:spacing w:val="-7"/>
        </w:rPr>
        <w:t xml:space="preserve"> </w:t>
      </w:r>
      <w:r>
        <w:t>Vic</w:t>
      </w:r>
      <w:r>
        <w:rPr>
          <w:spacing w:val="-7"/>
        </w:rPr>
        <w:t xml:space="preserve"> </w:t>
      </w:r>
      <w:r>
        <w:t>Human</w:t>
      </w:r>
      <w:r>
        <w:rPr>
          <w:spacing w:val="-7"/>
        </w:rPr>
        <w:t xml:space="preserve"> </w:t>
      </w:r>
      <w:r>
        <w:t>Rights Charter in the context of the response to the COVID-19 pandemic. The VEOHRC Report noted that Parliament</w:t>
      </w:r>
      <w:r>
        <w:rPr>
          <w:spacing w:val="-4"/>
        </w:rPr>
        <w:t xml:space="preserve"> </w:t>
      </w:r>
      <w:r>
        <w:t>had</w:t>
      </w:r>
      <w:r>
        <w:rPr>
          <w:spacing w:val="-4"/>
        </w:rPr>
        <w:t xml:space="preserve"> </w:t>
      </w:r>
      <w:r>
        <w:t>not</w:t>
      </w:r>
      <w:r>
        <w:rPr>
          <w:spacing w:val="-6"/>
        </w:rPr>
        <w:t xml:space="preserve"> </w:t>
      </w:r>
      <w:r>
        <w:t>sought</w:t>
      </w:r>
      <w:r>
        <w:rPr>
          <w:spacing w:val="-6"/>
        </w:rPr>
        <w:t xml:space="preserve"> </w:t>
      </w:r>
      <w:r>
        <w:t>to</w:t>
      </w:r>
      <w:r>
        <w:rPr>
          <w:spacing w:val="-5"/>
        </w:rPr>
        <w:t xml:space="preserve"> </w:t>
      </w:r>
      <w:r>
        <w:t>override</w:t>
      </w:r>
      <w:r>
        <w:rPr>
          <w:spacing w:val="-7"/>
        </w:rPr>
        <w:t xml:space="preserve"> </w:t>
      </w:r>
      <w:r>
        <w:t>the</w:t>
      </w:r>
      <w:r>
        <w:rPr>
          <w:spacing w:val="-4"/>
        </w:rPr>
        <w:t xml:space="preserve"> </w:t>
      </w:r>
      <w:r>
        <w:t>Charter’s</w:t>
      </w:r>
      <w:r>
        <w:rPr>
          <w:spacing w:val="-4"/>
        </w:rPr>
        <w:t xml:space="preserve"> </w:t>
      </w:r>
      <w:r>
        <w:t>protections</w:t>
      </w:r>
      <w:r>
        <w:rPr>
          <w:spacing w:val="-7"/>
        </w:rPr>
        <w:t xml:space="preserve"> </w:t>
      </w:r>
      <w:r>
        <w:t>in</w:t>
      </w:r>
      <w:r>
        <w:rPr>
          <w:spacing w:val="-7"/>
        </w:rPr>
        <w:t xml:space="preserve"> </w:t>
      </w:r>
      <w:r>
        <w:t>framing</w:t>
      </w:r>
      <w:r>
        <w:rPr>
          <w:spacing w:val="-7"/>
        </w:rPr>
        <w:t xml:space="preserve"> </w:t>
      </w:r>
      <w:r>
        <w:t>its</w:t>
      </w:r>
      <w:r>
        <w:rPr>
          <w:spacing w:val="-7"/>
        </w:rPr>
        <w:t xml:space="preserve"> </w:t>
      </w:r>
      <w:r>
        <w:t>response</w:t>
      </w:r>
      <w:r>
        <w:rPr>
          <w:spacing w:val="-6"/>
        </w:rPr>
        <w:t xml:space="preserve"> </w:t>
      </w:r>
      <w:r>
        <w:t>to</w:t>
      </w:r>
      <w:r>
        <w:rPr>
          <w:spacing w:val="-7"/>
        </w:rPr>
        <w:t xml:space="preserve"> </w:t>
      </w:r>
      <w:r>
        <w:t>the</w:t>
      </w:r>
      <w:r>
        <w:rPr>
          <w:spacing w:val="-7"/>
        </w:rPr>
        <w:t xml:space="preserve"> </w:t>
      </w:r>
      <w:r>
        <w:t>pandemic and that the Charter’s continued role in ‘guiding public decision-making, ensuring human rights were considered in new laws and [in] maintaining the role of courts and tribunals [had] shown the significance of human rights frameworks … in difficult times’.</w:t>
      </w:r>
      <w:r>
        <w:rPr>
          <w:position w:val="7"/>
          <w:sz w:val="13"/>
        </w:rPr>
        <w:t>296</w:t>
      </w:r>
      <w:r>
        <w:rPr>
          <w:spacing w:val="33"/>
          <w:position w:val="7"/>
          <w:sz w:val="13"/>
        </w:rPr>
        <w:t xml:space="preserve"> </w:t>
      </w:r>
      <w:r>
        <w:t xml:space="preserve">The Commissioner also considered that a human rights culture within the public sector had strengthened Victoria’s response to COVID- </w:t>
      </w:r>
      <w:r>
        <w:rPr>
          <w:spacing w:val="-4"/>
        </w:rPr>
        <w:t>19:</w:t>
      </w:r>
    </w:p>
    <w:p w14:paraId="7CB25FF9" w14:textId="77777777" w:rsidR="008A4099" w:rsidRDefault="006A6EE2">
      <w:pPr>
        <w:pStyle w:val="BodyText"/>
        <w:spacing w:before="237" w:line="276" w:lineRule="auto"/>
        <w:ind w:left="868" w:right="1337"/>
        <w:jc w:val="both"/>
        <w:rPr>
          <w:sz w:val="13"/>
        </w:rPr>
      </w:pPr>
      <w:r>
        <w:t>Perhaps</w:t>
      </w:r>
      <w:r>
        <w:rPr>
          <w:spacing w:val="-10"/>
        </w:rPr>
        <w:t xml:space="preserve"> </w:t>
      </w:r>
      <w:r>
        <w:t>the</w:t>
      </w:r>
      <w:r>
        <w:rPr>
          <w:spacing w:val="-10"/>
        </w:rPr>
        <w:t xml:space="preserve"> </w:t>
      </w:r>
      <w:r>
        <w:t>most</w:t>
      </w:r>
      <w:r>
        <w:rPr>
          <w:spacing w:val="-9"/>
        </w:rPr>
        <w:t xml:space="preserve"> </w:t>
      </w:r>
      <w:r>
        <w:t>significant</w:t>
      </w:r>
      <w:r>
        <w:rPr>
          <w:spacing w:val="-10"/>
        </w:rPr>
        <w:t xml:space="preserve"> </w:t>
      </w:r>
      <w:r>
        <w:t>impact</w:t>
      </w:r>
      <w:r>
        <w:rPr>
          <w:spacing w:val="-7"/>
        </w:rPr>
        <w:t xml:space="preserve"> </w:t>
      </w:r>
      <w:r>
        <w:t>of</w:t>
      </w:r>
      <w:r>
        <w:rPr>
          <w:spacing w:val="-10"/>
        </w:rPr>
        <w:t xml:space="preserve"> </w:t>
      </w:r>
      <w:r>
        <w:t>the</w:t>
      </w:r>
      <w:r>
        <w:rPr>
          <w:spacing w:val="-10"/>
        </w:rPr>
        <w:t xml:space="preserve"> </w:t>
      </w:r>
      <w:r>
        <w:t>Charter</w:t>
      </w:r>
      <w:r>
        <w:rPr>
          <w:spacing w:val="-7"/>
        </w:rPr>
        <w:t xml:space="preserve"> </w:t>
      </w:r>
      <w:r>
        <w:t>during</w:t>
      </w:r>
      <w:r>
        <w:rPr>
          <w:spacing w:val="-8"/>
        </w:rPr>
        <w:t xml:space="preserve"> </w:t>
      </w:r>
      <w:r>
        <w:t>the</w:t>
      </w:r>
      <w:r>
        <w:rPr>
          <w:spacing w:val="-8"/>
        </w:rPr>
        <w:t xml:space="preserve"> </w:t>
      </w:r>
      <w:r>
        <w:t>COVID-19</w:t>
      </w:r>
      <w:r>
        <w:rPr>
          <w:spacing w:val="-8"/>
        </w:rPr>
        <w:t xml:space="preserve"> </w:t>
      </w:r>
      <w:r>
        <w:t>pandemic</w:t>
      </w:r>
      <w:r>
        <w:rPr>
          <w:spacing w:val="-8"/>
        </w:rPr>
        <w:t xml:space="preserve"> </w:t>
      </w:r>
      <w:r>
        <w:t>was the role it played in public policy decision-making. Public authorities remained bound by</w:t>
      </w:r>
      <w:r>
        <w:rPr>
          <w:spacing w:val="-2"/>
        </w:rPr>
        <w:t xml:space="preserve"> </w:t>
      </w:r>
      <w:r>
        <w:t>the</w:t>
      </w:r>
      <w:r>
        <w:rPr>
          <w:spacing w:val="-2"/>
        </w:rPr>
        <w:t xml:space="preserve"> </w:t>
      </w:r>
      <w:r>
        <w:t>Charter</w:t>
      </w:r>
      <w:r>
        <w:rPr>
          <w:spacing w:val="-3"/>
        </w:rPr>
        <w:t xml:space="preserve"> </w:t>
      </w:r>
      <w:r>
        <w:t>to</w:t>
      </w:r>
      <w:r>
        <w:rPr>
          <w:spacing w:val="-5"/>
        </w:rPr>
        <w:t xml:space="preserve"> </w:t>
      </w:r>
      <w:r>
        <w:t>consider</w:t>
      </w:r>
      <w:r>
        <w:rPr>
          <w:spacing w:val="-3"/>
        </w:rPr>
        <w:t xml:space="preserve"> </w:t>
      </w:r>
      <w:r>
        <w:t>human</w:t>
      </w:r>
      <w:r>
        <w:rPr>
          <w:spacing w:val="-4"/>
        </w:rPr>
        <w:t xml:space="preserve"> </w:t>
      </w:r>
      <w:r>
        <w:t>rights,</w:t>
      </w:r>
      <w:r>
        <w:rPr>
          <w:spacing w:val="-4"/>
        </w:rPr>
        <w:t xml:space="preserve"> </w:t>
      </w:r>
      <w:r>
        <w:t>and</w:t>
      </w:r>
      <w:r>
        <w:rPr>
          <w:spacing w:val="-4"/>
        </w:rPr>
        <w:t xml:space="preserve"> </w:t>
      </w:r>
      <w:r>
        <w:t>to</w:t>
      </w:r>
      <w:r>
        <w:rPr>
          <w:spacing w:val="-5"/>
        </w:rPr>
        <w:t xml:space="preserve"> </w:t>
      </w:r>
      <w:r>
        <w:t>act</w:t>
      </w:r>
      <w:r>
        <w:rPr>
          <w:spacing w:val="-4"/>
        </w:rPr>
        <w:t xml:space="preserve"> </w:t>
      </w:r>
      <w:r>
        <w:t>in</w:t>
      </w:r>
      <w:r>
        <w:rPr>
          <w:spacing w:val="-5"/>
        </w:rPr>
        <w:t xml:space="preserve"> </w:t>
      </w:r>
      <w:r>
        <w:t>accordance</w:t>
      </w:r>
      <w:r>
        <w:rPr>
          <w:spacing w:val="-2"/>
        </w:rPr>
        <w:t xml:space="preserve"> </w:t>
      </w:r>
      <w:r>
        <w:t>with</w:t>
      </w:r>
      <w:r>
        <w:rPr>
          <w:spacing w:val="-5"/>
        </w:rPr>
        <w:t xml:space="preserve"> </w:t>
      </w:r>
      <w:r>
        <w:t>human</w:t>
      </w:r>
      <w:r>
        <w:rPr>
          <w:spacing w:val="-4"/>
        </w:rPr>
        <w:t xml:space="preserve"> </w:t>
      </w:r>
      <w:r>
        <w:t>rights,</w:t>
      </w:r>
      <w:r>
        <w:rPr>
          <w:spacing w:val="-4"/>
        </w:rPr>
        <w:t xml:space="preserve"> </w:t>
      </w:r>
      <w:r>
        <w:t>in their decision-making. Throughout 2020, the Commission heard from public servants that the Charter was ‘part of the furniture’ and that they had ‘never considered the Charter more’ in their work.</w:t>
      </w:r>
      <w:r>
        <w:rPr>
          <w:position w:val="7"/>
          <w:sz w:val="13"/>
        </w:rPr>
        <w:t>297</w:t>
      </w:r>
    </w:p>
    <w:p w14:paraId="7CB25FFA" w14:textId="77777777" w:rsidR="008A4099" w:rsidRDefault="006A6EE2">
      <w:pPr>
        <w:pStyle w:val="ListParagraph"/>
        <w:numPr>
          <w:ilvl w:val="2"/>
          <w:numId w:val="6"/>
        </w:numPr>
        <w:tabs>
          <w:tab w:val="left" w:pos="879"/>
        </w:tabs>
        <w:spacing w:before="238"/>
        <w:ind w:right="672" w:firstLine="0"/>
        <w:jc w:val="both"/>
      </w:pPr>
      <w:r>
        <w:t>In contrast, in evaluating the Tasmanian response to the COVID-19 pandemic, a lack of transparency in the process</w:t>
      </w:r>
      <w:r>
        <w:rPr>
          <w:spacing w:val="-1"/>
        </w:rPr>
        <w:t xml:space="preserve"> </w:t>
      </w:r>
      <w:r>
        <w:t>means it is unclear precisely how human rights were taken into account. It is not suggested that human rights were not taken into consideration during development and implementation. Rather, the lack of a clear human rights framework meant there was no obligation to document the human rights repercussions of responses to COVID-19, set out the considerations taken into</w:t>
      </w:r>
      <w:r>
        <w:rPr>
          <w:spacing w:val="-4"/>
        </w:rPr>
        <w:t xml:space="preserve"> </w:t>
      </w:r>
      <w:r>
        <w:t>account</w:t>
      </w:r>
      <w:r>
        <w:rPr>
          <w:spacing w:val="-1"/>
        </w:rPr>
        <w:t xml:space="preserve"> </w:t>
      </w:r>
      <w:r>
        <w:t>when</w:t>
      </w:r>
      <w:r>
        <w:rPr>
          <w:spacing w:val="-2"/>
        </w:rPr>
        <w:t xml:space="preserve"> </w:t>
      </w:r>
      <w:r>
        <w:t>balancing</w:t>
      </w:r>
      <w:r>
        <w:rPr>
          <w:spacing w:val="-2"/>
        </w:rPr>
        <w:t xml:space="preserve"> </w:t>
      </w:r>
      <w:r>
        <w:t>competing</w:t>
      </w:r>
      <w:r>
        <w:rPr>
          <w:spacing w:val="-2"/>
        </w:rPr>
        <w:t xml:space="preserve"> </w:t>
      </w:r>
      <w:r>
        <w:t>rights,</w:t>
      </w:r>
      <w:r>
        <w:rPr>
          <w:spacing w:val="-2"/>
        </w:rPr>
        <w:t xml:space="preserve"> </w:t>
      </w:r>
      <w:r>
        <w:t>justify</w:t>
      </w:r>
      <w:r>
        <w:rPr>
          <w:spacing w:val="-2"/>
        </w:rPr>
        <w:t xml:space="preserve"> </w:t>
      </w:r>
      <w:r>
        <w:t>the</w:t>
      </w:r>
      <w:r>
        <w:rPr>
          <w:spacing w:val="-2"/>
        </w:rPr>
        <w:t xml:space="preserve"> </w:t>
      </w:r>
      <w:r>
        <w:t>effect</w:t>
      </w:r>
      <w:r>
        <w:rPr>
          <w:spacing w:val="-1"/>
        </w:rPr>
        <w:t xml:space="preserve"> </w:t>
      </w:r>
      <w:r>
        <w:t>of</w:t>
      </w:r>
      <w:r>
        <w:rPr>
          <w:spacing w:val="-2"/>
        </w:rPr>
        <w:t xml:space="preserve"> </w:t>
      </w:r>
      <w:r>
        <w:t>restrictions,</w:t>
      </w:r>
      <w:r>
        <w:rPr>
          <w:spacing w:val="-2"/>
        </w:rPr>
        <w:t xml:space="preserve"> </w:t>
      </w:r>
      <w:r>
        <w:t>or</w:t>
      </w:r>
      <w:r>
        <w:rPr>
          <w:spacing w:val="-3"/>
        </w:rPr>
        <w:t xml:space="preserve"> </w:t>
      </w:r>
      <w:r>
        <w:t>demonstrate</w:t>
      </w:r>
      <w:r>
        <w:rPr>
          <w:spacing w:val="-2"/>
        </w:rPr>
        <w:t xml:space="preserve"> </w:t>
      </w:r>
      <w:r>
        <w:t>that</w:t>
      </w:r>
      <w:r>
        <w:rPr>
          <w:spacing w:val="-3"/>
        </w:rPr>
        <w:t xml:space="preserve"> </w:t>
      </w:r>
      <w:r>
        <w:t>the approaches adopted were designed to minimise intrusion on those rights. This leads to a more limited opportunity to analyse any deficiencies formally, identify any over-reach and unnecessary or disproportionate violations of human rights arising from the regulatory response to the public health emergency, or engage in reflexive parliamentary dialogue on matters of concern.</w:t>
      </w:r>
    </w:p>
    <w:p w14:paraId="7CB25FFB" w14:textId="77777777" w:rsidR="008A4099" w:rsidRDefault="006A6EE2">
      <w:pPr>
        <w:pStyle w:val="ListParagraph"/>
        <w:numPr>
          <w:ilvl w:val="2"/>
          <w:numId w:val="6"/>
        </w:numPr>
        <w:tabs>
          <w:tab w:val="left" w:pos="879"/>
        </w:tabs>
        <w:spacing w:before="221" w:line="235" w:lineRule="auto"/>
        <w:ind w:right="678" w:firstLine="0"/>
        <w:jc w:val="both"/>
      </w:pPr>
      <w:r>
        <w:t>The role of human rights enactments in setting out a framework to allow for the balancing of rights,</w:t>
      </w:r>
      <w:r>
        <w:rPr>
          <w:spacing w:val="18"/>
        </w:rPr>
        <w:t xml:space="preserve"> </w:t>
      </w:r>
      <w:r>
        <w:t>as</w:t>
      </w:r>
      <w:r>
        <w:rPr>
          <w:spacing w:val="18"/>
        </w:rPr>
        <w:t xml:space="preserve"> </w:t>
      </w:r>
      <w:r>
        <w:t>well</w:t>
      </w:r>
      <w:r>
        <w:rPr>
          <w:spacing w:val="19"/>
        </w:rPr>
        <w:t xml:space="preserve"> </w:t>
      </w:r>
      <w:r>
        <w:t>as</w:t>
      </w:r>
      <w:r>
        <w:rPr>
          <w:spacing w:val="16"/>
        </w:rPr>
        <w:t xml:space="preserve"> </w:t>
      </w:r>
      <w:r>
        <w:t>influencing</w:t>
      </w:r>
      <w:r>
        <w:rPr>
          <w:spacing w:val="18"/>
        </w:rPr>
        <w:t xml:space="preserve"> </w:t>
      </w:r>
      <w:r>
        <w:t>public</w:t>
      </w:r>
      <w:r>
        <w:rPr>
          <w:spacing w:val="18"/>
        </w:rPr>
        <w:t xml:space="preserve"> </w:t>
      </w:r>
      <w:r>
        <w:t>discourse</w:t>
      </w:r>
      <w:r>
        <w:rPr>
          <w:spacing w:val="18"/>
        </w:rPr>
        <w:t xml:space="preserve"> </w:t>
      </w:r>
      <w:r>
        <w:t>and</w:t>
      </w:r>
      <w:r>
        <w:rPr>
          <w:spacing w:val="18"/>
        </w:rPr>
        <w:t xml:space="preserve"> </w:t>
      </w:r>
      <w:r>
        <w:t>policy</w:t>
      </w:r>
      <w:r>
        <w:rPr>
          <w:spacing w:val="18"/>
        </w:rPr>
        <w:t xml:space="preserve"> </w:t>
      </w:r>
      <w:r>
        <w:t>outcomes,</w:t>
      </w:r>
      <w:r>
        <w:rPr>
          <w:spacing w:val="24"/>
        </w:rPr>
        <w:t xml:space="preserve"> </w:t>
      </w:r>
      <w:r>
        <w:t>can</w:t>
      </w:r>
      <w:r>
        <w:rPr>
          <w:spacing w:val="18"/>
        </w:rPr>
        <w:t xml:space="preserve"> </w:t>
      </w:r>
      <w:r>
        <w:t>be</w:t>
      </w:r>
      <w:r>
        <w:rPr>
          <w:spacing w:val="18"/>
        </w:rPr>
        <w:t xml:space="preserve"> </w:t>
      </w:r>
      <w:r>
        <w:t>seen</w:t>
      </w:r>
      <w:r>
        <w:rPr>
          <w:spacing w:val="15"/>
        </w:rPr>
        <w:t xml:space="preserve"> </w:t>
      </w:r>
      <w:r>
        <w:t>in</w:t>
      </w:r>
      <w:r>
        <w:rPr>
          <w:spacing w:val="18"/>
        </w:rPr>
        <w:t xml:space="preserve"> </w:t>
      </w:r>
      <w:r>
        <w:t>relation</w:t>
      </w:r>
      <w:r>
        <w:rPr>
          <w:spacing w:val="18"/>
        </w:rPr>
        <w:t xml:space="preserve"> </w:t>
      </w:r>
      <w:r>
        <w:t>to</w:t>
      </w:r>
      <w:r>
        <w:rPr>
          <w:spacing w:val="18"/>
        </w:rPr>
        <w:t xml:space="preserve"> </w:t>
      </w:r>
      <w:r>
        <w:t>other</w:t>
      </w:r>
    </w:p>
    <w:p w14:paraId="7CB25FFC" w14:textId="77777777" w:rsidR="008A4099" w:rsidRDefault="006A6EE2">
      <w:pPr>
        <w:pStyle w:val="BodyText"/>
        <w:spacing w:before="62"/>
        <w:rPr>
          <w:sz w:val="20"/>
        </w:rPr>
      </w:pPr>
      <w:r>
        <w:rPr>
          <w:noProof/>
        </w:rPr>
        <mc:AlternateContent>
          <mc:Choice Requires="wps">
            <w:drawing>
              <wp:anchor distT="0" distB="0" distL="0" distR="0" simplePos="0" relativeHeight="487612416" behindDoc="1" locked="0" layoutInCell="1" allowOverlap="1" wp14:anchorId="7CB26639" wp14:editId="7CB2663A">
                <wp:simplePos x="0" y="0"/>
                <wp:positionH relativeFrom="page">
                  <wp:posOffset>914704</wp:posOffset>
                </wp:positionH>
                <wp:positionV relativeFrom="paragraph">
                  <wp:posOffset>200903</wp:posOffset>
                </wp:positionV>
                <wp:extent cx="1829435" cy="762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0A8F8F" id="Graphic 90" o:spid="_x0000_s1026" style="position:absolute;margin-left:1in;margin-top:15.8pt;width:144.05pt;height:.6pt;z-index:-15704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" path="m1829054,l,,,7620r1829054,l1829054,xe" fillcolor="black" stroked="f">
                <v:path arrowok="t"/>
                <w10:wrap type="topAndBottom" anchorx="page"/>
              </v:shape>
            </w:pict>
          </mc:Fallback>
        </mc:AlternateContent>
      </w:r>
    </w:p>
    <w:p w14:paraId="7CB25FFD" w14:textId="77777777" w:rsidR="008A4099" w:rsidRDefault="006A6EE2">
      <w:pPr>
        <w:spacing w:before="112" w:line="242" w:lineRule="auto"/>
        <w:ind w:left="160" w:right="671"/>
        <w:jc w:val="both"/>
        <w:rPr>
          <w:sz w:val="18"/>
        </w:rPr>
      </w:pPr>
      <w:r>
        <w:rPr>
          <w:sz w:val="18"/>
          <w:vertAlign w:val="superscript"/>
        </w:rPr>
        <w:t>294</w:t>
      </w:r>
      <w:r>
        <w:rPr>
          <w:sz w:val="18"/>
        </w:rPr>
        <w:t xml:space="preserve"> Human Rights Law Centre, ‘Proposed Amendments to Victoria’s Pandemic Law Welcome, Will Increase Oversight and Strengthen Appeal Rights’ (Media Release, 30 November 2021) &lt;https://</w:t>
      </w:r>
      <w:hyperlink r:id="rId123">
        <w:r>
          <w:rPr>
            <w:sz w:val="18"/>
          </w:rPr>
          <w:t>www.hrlc.org.au/news/2021/11/30/proposed-</w:t>
        </w:r>
      </w:hyperlink>
      <w:r>
        <w:rPr>
          <w:sz w:val="18"/>
        </w:rPr>
        <w:t xml:space="preserve"> </w:t>
      </w:r>
      <w:r>
        <w:rPr>
          <w:spacing w:val="-2"/>
          <w:sz w:val="18"/>
        </w:rPr>
        <w:t>amendments-to-victorias-pandemic-law-welcome-will-increase-oversight-and-strengthen-appeal-rights&gt;.</w:t>
      </w:r>
    </w:p>
    <w:p w14:paraId="7CB25FFE" w14:textId="77777777" w:rsidR="008A4099" w:rsidRDefault="006A6EE2">
      <w:pPr>
        <w:spacing w:before="19"/>
        <w:ind w:left="160"/>
        <w:jc w:val="both"/>
        <w:rPr>
          <w:sz w:val="18"/>
        </w:rPr>
      </w:pPr>
      <w:r>
        <w:rPr>
          <w:sz w:val="18"/>
          <w:vertAlign w:val="superscript"/>
        </w:rPr>
        <w:t>295</w:t>
      </w:r>
      <w:r>
        <w:rPr>
          <w:sz w:val="18"/>
        </w:rPr>
        <w:t xml:space="preserve"> AHRC, </w:t>
      </w:r>
      <w:r>
        <w:rPr>
          <w:i/>
          <w:sz w:val="18"/>
        </w:rPr>
        <w:t>A National Human</w:t>
      </w:r>
      <w:r>
        <w:rPr>
          <w:i/>
          <w:spacing w:val="1"/>
          <w:sz w:val="18"/>
        </w:rPr>
        <w:t xml:space="preserve"> </w:t>
      </w:r>
      <w:r>
        <w:rPr>
          <w:i/>
          <w:sz w:val="18"/>
        </w:rPr>
        <w:t>Rights</w:t>
      </w:r>
      <w:r>
        <w:rPr>
          <w:i/>
          <w:spacing w:val="1"/>
          <w:sz w:val="18"/>
        </w:rPr>
        <w:t xml:space="preserve"> </w:t>
      </w:r>
      <w:r>
        <w:rPr>
          <w:i/>
          <w:sz w:val="18"/>
        </w:rPr>
        <w:t>Act for Australia</w:t>
      </w:r>
      <w:r>
        <w:rPr>
          <w:i/>
          <w:spacing w:val="2"/>
          <w:sz w:val="18"/>
        </w:rPr>
        <w:t xml:space="preserve"> </w:t>
      </w:r>
      <w:r>
        <w:rPr>
          <w:spacing w:val="-5"/>
          <w:sz w:val="18"/>
        </w:rPr>
        <w:t>39.</w:t>
      </w:r>
    </w:p>
    <w:p w14:paraId="7CB25FFF" w14:textId="77777777" w:rsidR="008A4099" w:rsidRDefault="006A6EE2">
      <w:pPr>
        <w:spacing w:before="23" w:line="244" w:lineRule="auto"/>
        <w:ind w:left="160" w:right="676"/>
        <w:jc w:val="both"/>
        <w:rPr>
          <w:sz w:val="18"/>
        </w:rPr>
      </w:pPr>
      <w:r>
        <w:rPr>
          <w:sz w:val="18"/>
          <w:vertAlign w:val="superscript"/>
        </w:rPr>
        <w:t>296</w:t>
      </w:r>
      <w:r>
        <w:rPr>
          <w:spacing w:val="9"/>
          <w:sz w:val="18"/>
        </w:rPr>
        <w:t xml:space="preserve"> </w:t>
      </w:r>
      <w:r>
        <w:rPr>
          <w:sz w:val="18"/>
        </w:rPr>
        <w:t>VEOHRC,</w:t>
      </w:r>
      <w:r>
        <w:rPr>
          <w:spacing w:val="9"/>
          <w:sz w:val="18"/>
        </w:rPr>
        <w:t xml:space="preserve"> </w:t>
      </w:r>
      <w:r>
        <w:rPr>
          <w:i/>
          <w:sz w:val="18"/>
        </w:rPr>
        <w:t>2020</w:t>
      </w:r>
      <w:r>
        <w:rPr>
          <w:i/>
          <w:spacing w:val="10"/>
          <w:sz w:val="18"/>
        </w:rPr>
        <w:t xml:space="preserve"> </w:t>
      </w:r>
      <w:r>
        <w:rPr>
          <w:i/>
          <w:sz w:val="18"/>
        </w:rPr>
        <w:t>Report on the Operation of</w:t>
      </w:r>
      <w:r>
        <w:rPr>
          <w:i/>
          <w:spacing w:val="9"/>
          <w:sz w:val="18"/>
        </w:rPr>
        <w:t xml:space="preserve"> </w:t>
      </w:r>
      <w:r>
        <w:rPr>
          <w:i/>
          <w:sz w:val="18"/>
        </w:rPr>
        <w:t>the</w:t>
      </w:r>
      <w:r>
        <w:rPr>
          <w:i/>
          <w:spacing w:val="8"/>
          <w:sz w:val="18"/>
        </w:rPr>
        <w:t xml:space="preserve"> </w:t>
      </w:r>
      <w:r>
        <w:rPr>
          <w:i/>
          <w:sz w:val="18"/>
        </w:rPr>
        <w:t>Charter</w:t>
      </w:r>
      <w:r>
        <w:rPr>
          <w:i/>
          <w:spacing w:val="8"/>
          <w:sz w:val="18"/>
        </w:rPr>
        <w:t xml:space="preserve"> </w:t>
      </w:r>
      <w:r>
        <w:rPr>
          <w:i/>
          <w:sz w:val="18"/>
        </w:rPr>
        <w:t>of Human Rights and</w:t>
      </w:r>
      <w:r>
        <w:rPr>
          <w:i/>
          <w:spacing w:val="10"/>
          <w:sz w:val="18"/>
        </w:rPr>
        <w:t xml:space="preserve"> </w:t>
      </w:r>
      <w:r>
        <w:rPr>
          <w:i/>
          <w:sz w:val="18"/>
        </w:rPr>
        <w:t>Responsibilities</w:t>
      </w:r>
      <w:r>
        <w:rPr>
          <w:sz w:val="18"/>
        </w:rPr>
        <w:t>, November</w:t>
      </w:r>
      <w:r>
        <w:rPr>
          <w:spacing w:val="9"/>
          <w:sz w:val="18"/>
        </w:rPr>
        <w:t xml:space="preserve"> </w:t>
      </w:r>
      <w:r>
        <w:rPr>
          <w:sz w:val="18"/>
        </w:rPr>
        <w:t>2021</w:t>
      </w:r>
      <w:r>
        <w:rPr>
          <w:spacing w:val="10"/>
          <w:sz w:val="18"/>
        </w:rPr>
        <w:t xml:space="preserve"> </w:t>
      </w:r>
      <w:r>
        <w:rPr>
          <w:sz w:val="18"/>
        </w:rPr>
        <w:t>(tabled</w:t>
      </w:r>
      <w:r>
        <w:rPr>
          <w:spacing w:val="40"/>
          <w:sz w:val="18"/>
        </w:rPr>
        <w:t xml:space="preserve"> </w:t>
      </w:r>
      <w:r>
        <w:rPr>
          <w:sz w:val="18"/>
        </w:rPr>
        <w:t>2</w:t>
      </w:r>
      <w:r>
        <w:rPr>
          <w:spacing w:val="-2"/>
          <w:sz w:val="18"/>
        </w:rPr>
        <w:t xml:space="preserve"> </w:t>
      </w:r>
      <w:r>
        <w:rPr>
          <w:sz w:val="18"/>
        </w:rPr>
        <w:t>December</w:t>
      </w:r>
      <w:r>
        <w:rPr>
          <w:spacing w:val="44"/>
          <w:sz w:val="18"/>
        </w:rPr>
        <w:t xml:space="preserve">  </w:t>
      </w:r>
      <w:r>
        <w:rPr>
          <w:sz w:val="18"/>
        </w:rPr>
        <w:t>2021),</w:t>
      </w:r>
      <w:r>
        <w:rPr>
          <w:spacing w:val="44"/>
          <w:sz w:val="18"/>
        </w:rPr>
        <w:t xml:space="preserve">  </w:t>
      </w:r>
      <w:r>
        <w:rPr>
          <w:sz w:val="18"/>
        </w:rPr>
        <w:t>in</w:t>
      </w:r>
      <w:r>
        <w:rPr>
          <w:spacing w:val="43"/>
          <w:sz w:val="18"/>
        </w:rPr>
        <w:t xml:space="preserve">  </w:t>
      </w:r>
      <w:r>
        <w:rPr>
          <w:sz w:val="18"/>
        </w:rPr>
        <w:t>the</w:t>
      </w:r>
      <w:r>
        <w:rPr>
          <w:spacing w:val="43"/>
          <w:sz w:val="18"/>
        </w:rPr>
        <w:t xml:space="preserve">  </w:t>
      </w:r>
      <w:r>
        <w:rPr>
          <w:sz w:val="18"/>
        </w:rPr>
        <w:t>Commissioner’s</w:t>
      </w:r>
      <w:r>
        <w:rPr>
          <w:spacing w:val="44"/>
          <w:sz w:val="18"/>
        </w:rPr>
        <w:t xml:space="preserve">  </w:t>
      </w:r>
      <w:r>
        <w:rPr>
          <w:sz w:val="18"/>
        </w:rPr>
        <w:t>letter</w:t>
      </w:r>
      <w:r>
        <w:rPr>
          <w:spacing w:val="44"/>
          <w:sz w:val="18"/>
        </w:rPr>
        <w:t xml:space="preserve">  </w:t>
      </w:r>
      <w:r>
        <w:rPr>
          <w:sz w:val="18"/>
        </w:rPr>
        <w:t>to</w:t>
      </w:r>
      <w:r>
        <w:rPr>
          <w:spacing w:val="44"/>
          <w:sz w:val="18"/>
        </w:rPr>
        <w:t xml:space="preserve">  </w:t>
      </w:r>
      <w:r>
        <w:rPr>
          <w:sz w:val="18"/>
        </w:rPr>
        <w:t>the</w:t>
      </w:r>
      <w:r>
        <w:rPr>
          <w:spacing w:val="45"/>
          <w:sz w:val="18"/>
        </w:rPr>
        <w:t xml:space="preserve">  </w:t>
      </w:r>
      <w:r>
        <w:rPr>
          <w:sz w:val="18"/>
        </w:rPr>
        <w:t>Attorney-General</w:t>
      </w:r>
      <w:r>
        <w:rPr>
          <w:spacing w:val="44"/>
          <w:sz w:val="18"/>
        </w:rPr>
        <w:t xml:space="preserve">  </w:t>
      </w:r>
      <w:r>
        <w:rPr>
          <w:sz w:val="18"/>
        </w:rPr>
        <w:t>at</w:t>
      </w:r>
      <w:r>
        <w:rPr>
          <w:spacing w:val="45"/>
          <w:sz w:val="18"/>
        </w:rPr>
        <w:t xml:space="preserve">  </w:t>
      </w:r>
      <w:r>
        <w:rPr>
          <w:sz w:val="18"/>
        </w:rPr>
        <w:t>the</w:t>
      </w:r>
      <w:r>
        <w:rPr>
          <w:spacing w:val="44"/>
          <w:sz w:val="18"/>
        </w:rPr>
        <w:t xml:space="preserve">  </w:t>
      </w:r>
      <w:r>
        <w:rPr>
          <w:sz w:val="18"/>
        </w:rPr>
        <w:t>outset</w:t>
      </w:r>
      <w:r>
        <w:rPr>
          <w:spacing w:val="44"/>
          <w:sz w:val="18"/>
        </w:rPr>
        <w:t xml:space="preserve">  </w:t>
      </w:r>
      <w:r>
        <w:rPr>
          <w:sz w:val="18"/>
        </w:rPr>
        <w:t>of</w:t>
      </w:r>
      <w:r>
        <w:rPr>
          <w:spacing w:val="43"/>
          <w:sz w:val="18"/>
        </w:rPr>
        <w:t xml:space="preserve">  </w:t>
      </w:r>
      <w:r>
        <w:rPr>
          <w:sz w:val="18"/>
        </w:rPr>
        <w:t>the</w:t>
      </w:r>
      <w:r>
        <w:rPr>
          <w:spacing w:val="45"/>
          <w:sz w:val="18"/>
        </w:rPr>
        <w:t xml:space="preserve">  </w:t>
      </w:r>
      <w:r>
        <w:rPr>
          <w:spacing w:val="-2"/>
          <w:sz w:val="18"/>
        </w:rPr>
        <w:t>Report</w:t>
      </w:r>
    </w:p>
    <w:p w14:paraId="7CB26000" w14:textId="77777777" w:rsidR="008A4099" w:rsidRDefault="006A6EE2">
      <w:pPr>
        <w:spacing w:line="202" w:lineRule="exact"/>
        <w:ind w:left="160"/>
        <w:rPr>
          <w:sz w:val="18"/>
        </w:rPr>
      </w:pPr>
      <w:r>
        <w:rPr>
          <w:spacing w:val="-2"/>
          <w:sz w:val="18"/>
        </w:rPr>
        <w:t>&lt;https://</w:t>
      </w:r>
      <w:hyperlink r:id="rId124">
        <w:r>
          <w:rPr>
            <w:spacing w:val="-2"/>
            <w:sz w:val="18"/>
          </w:rPr>
          <w:t>www.humanrights.vic.gov.au/static/7275f265280c4c43a025ea0d34b54c44/Resource-Charter_Report-2020.pdf&gt;</w:t>
        </w:r>
      </w:hyperlink>
      <w:r>
        <w:rPr>
          <w:spacing w:val="-2"/>
          <w:sz w:val="18"/>
        </w:rPr>
        <w:t>.</w:t>
      </w:r>
    </w:p>
    <w:p w14:paraId="7CB26001" w14:textId="77777777" w:rsidR="008A4099" w:rsidRDefault="006A6EE2">
      <w:pPr>
        <w:spacing w:before="19"/>
        <w:ind w:left="160"/>
        <w:rPr>
          <w:sz w:val="18"/>
        </w:rPr>
      </w:pPr>
      <w:r>
        <w:rPr>
          <w:sz w:val="18"/>
          <w:vertAlign w:val="superscript"/>
        </w:rPr>
        <w:t>297</w:t>
      </w:r>
      <w:r>
        <w:rPr>
          <w:spacing w:val="6"/>
          <w:sz w:val="18"/>
        </w:rPr>
        <w:t xml:space="preserve"> </w:t>
      </w:r>
      <w:r>
        <w:rPr>
          <w:sz w:val="18"/>
        </w:rPr>
        <w:t>Ibid</w:t>
      </w:r>
      <w:r>
        <w:rPr>
          <w:spacing w:val="6"/>
          <w:sz w:val="18"/>
        </w:rPr>
        <w:t xml:space="preserve"> </w:t>
      </w:r>
      <w:r>
        <w:rPr>
          <w:spacing w:val="-5"/>
          <w:sz w:val="18"/>
        </w:rPr>
        <w:t>28.</w:t>
      </w:r>
    </w:p>
    <w:p w14:paraId="7CB26002" w14:textId="77777777" w:rsidR="008A4099" w:rsidRDefault="008A4099">
      <w:pPr>
        <w:rPr>
          <w:sz w:val="18"/>
        </w:rPr>
        <w:sectPr w:rsidR="008A4099" w:rsidSect="00D43B2D">
          <w:pgSz w:w="11910" w:h="16840"/>
          <w:pgMar w:top="980" w:right="760" w:bottom="940" w:left="1280" w:header="718" w:footer="753" w:gutter="0"/>
          <w:cols w:space="720"/>
        </w:sectPr>
      </w:pPr>
    </w:p>
    <w:p w14:paraId="7CB26003" w14:textId="77777777" w:rsidR="008A4099" w:rsidRDefault="008A4099">
      <w:pPr>
        <w:pStyle w:val="BodyText"/>
        <w:spacing w:before="194"/>
      </w:pPr>
    </w:p>
    <w:p w14:paraId="7CB26004" w14:textId="77777777" w:rsidR="008A4099" w:rsidRDefault="006A6EE2">
      <w:pPr>
        <w:pStyle w:val="BodyText"/>
        <w:spacing w:line="244" w:lineRule="auto"/>
        <w:ind w:left="160" w:right="674"/>
        <w:jc w:val="both"/>
      </w:pPr>
      <w:r>
        <w:t>events</w:t>
      </w:r>
      <w:r>
        <w:rPr>
          <w:spacing w:val="-8"/>
        </w:rPr>
        <w:t xml:space="preserve"> </w:t>
      </w:r>
      <w:r>
        <w:t>in</w:t>
      </w:r>
      <w:r>
        <w:rPr>
          <w:spacing w:val="-9"/>
        </w:rPr>
        <w:t xml:space="preserve"> </w:t>
      </w:r>
      <w:r>
        <w:t>the</w:t>
      </w:r>
      <w:r>
        <w:rPr>
          <w:spacing w:val="-8"/>
        </w:rPr>
        <w:t xml:space="preserve"> </w:t>
      </w:r>
      <w:r>
        <w:t>Review</w:t>
      </w:r>
      <w:r>
        <w:rPr>
          <w:spacing w:val="-9"/>
        </w:rPr>
        <w:t xml:space="preserve"> </w:t>
      </w:r>
      <w:r>
        <w:t>Period.</w:t>
      </w:r>
      <w:r>
        <w:rPr>
          <w:spacing w:val="-7"/>
        </w:rPr>
        <w:t xml:space="preserve"> </w:t>
      </w:r>
      <w:r>
        <w:t>External</w:t>
      </w:r>
      <w:r>
        <w:rPr>
          <w:spacing w:val="-8"/>
        </w:rPr>
        <w:t xml:space="preserve"> </w:t>
      </w:r>
      <w:r>
        <w:t>reviews</w:t>
      </w:r>
      <w:r>
        <w:rPr>
          <w:spacing w:val="-9"/>
        </w:rPr>
        <w:t xml:space="preserve"> </w:t>
      </w:r>
      <w:r>
        <w:t>and</w:t>
      </w:r>
      <w:r>
        <w:rPr>
          <w:spacing w:val="-9"/>
        </w:rPr>
        <w:t xml:space="preserve"> </w:t>
      </w:r>
      <w:r>
        <w:t>auditing</w:t>
      </w:r>
      <w:r>
        <w:rPr>
          <w:spacing w:val="-9"/>
        </w:rPr>
        <w:t xml:space="preserve"> </w:t>
      </w:r>
      <w:r>
        <w:t>led</w:t>
      </w:r>
      <w:r>
        <w:rPr>
          <w:spacing w:val="-10"/>
        </w:rPr>
        <w:t xml:space="preserve"> </w:t>
      </w:r>
      <w:r>
        <w:t>to</w:t>
      </w:r>
      <w:r>
        <w:rPr>
          <w:spacing w:val="-9"/>
        </w:rPr>
        <w:t xml:space="preserve"> </w:t>
      </w:r>
      <w:r>
        <w:t>a</w:t>
      </w:r>
      <w:r>
        <w:rPr>
          <w:spacing w:val="-11"/>
        </w:rPr>
        <w:t xml:space="preserve"> </w:t>
      </w:r>
      <w:r>
        <w:t>change</w:t>
      </w:r>
      <w:r>
        <w:rPr>
          <w:spacing w:val="-11"/>
        </w:rPr>
        <w:t xml:space="preserve"> </w:t>
      </w:r>
      <w:r>
        <w:t>in</w:t>
      </w:r>
      <w:r>
        <w:rPr>
          <w:spacing w:val="-9"/>
        </w:rPr>
        <w:t xml:space="preserve"> </w:t>
      </w:r>
      <w:r>
        <w:t>policy</w:t>
      </w:r>
      <w:r>
        <w:rPr>
          <w:spacing w:val="-11"/>
        </w:rPr>
        <w:t xml:space="preserve"> </w:t>
      </w:r>
      <w:r>
        <w:t>in</w:t>
      </w:r>
      <w:r>
        <w:rPr>
          <w:spacing w:val="-9"/>
        </w:rPr>
        <w:t xml:space="preserve"> </w:t>
      </w:r>
      <w:r>
        <w:t>relation</w:t>
      </w:r>
      <w:r>
        <w:rPr>
          <w:spacing w:val="-11"/>
        </w:rPr>
        <w:t xml:space="preserve"> </w:t>
      </w:r>
      <w:r>
        <w:t>to</w:t>
      </w:r>
      <w:r>
        <w:rPr>
          <w:spacing w:val="-9"/>
        </w:rPr>
        <w:t xml:space="preserve"> </w:t>
      </w:r>
      <w:r>
        <w:t>youth detainees</w:t>
      </w:r>
      <w:r>
        <w:rPr>
          <w:spacing w:val="-10"/>
        </w:rPr>
        <w:t xml:space="preserve"> </w:t>
      </w:r>
      <w:r>
        <w:t>and</w:t>
      </w:r>
      <w:r>
        <w:rPr>
          <w:spacing w:val="-13"/>
        </w:rPr>
        <w:t xml:space="preserve"> </w:t>
      </w:r>
      <w:r>
        <w:t>adult</w:t>
      </w:r>
      <w:r>
        <w:rPr>
          <w:spacing w:val="-10"/>
        </w:rPr>
        <w:t xml:space="preserve"> </w:t>
      </w:r>
      <w:r>
        <w:t>prisoners</w:t>
      </w:r>
      <w:r>
        <w:rPr>
          <w:spacing w:val="-10"/>
        </w:rPr>
        <w:t xml:space="preserve"> </w:t>
      </w:r>
      <w:r>
        <w:t>in</w:t>
      </w:r>
      <w:r>
        <w:rPr>
          <w:spacing w:val="-11"/>
        </w:rPr>
        <w:t xml:space="preserve"> </w:t>
      </w:r>
      <w:r>
        <w:t>the</w:t>
      </w:r>
      <w:r>
        <w:rPr>
          <w:spacing w:val="-11"/>
        </w:rPr>
        <w:t xml:space="preserve"> </w:t>
      </w:r>
      <w:r>
        <w:t>ACT,</w:t>
      </w:r>
      <w:r>
        <w:rPr>
          <w:spacing w:val="-11"/>
        </w:rPr>
        <w:t xml:space="preserve"> </w:t>
      </w:r>
      <w:r>
        <w:t>for</w:t>
      </w:r>
      <w:r>
        <w:rPr>
          <w:spacing w:val="-10"/>
        </w:rPr>
        <w:t xml:space="preserve"> </w:t>
      </w:r>
      <w:r>
        <w:t>example,</w:t>
      </w:r>
      <w:r>
        <w:rPr>
          <w:spacing w:val="-11"/>
        </w:rPr>
        <w:t xml:space="preserve"> </w:t>
      </w:r>
      <w:r>
        <w:t>in</w:t>
      </w:r>
      <w:r>
        <w:rPr>
          <w:spacing w:val="-11"/>
        </w:rPr>
        <w:t xml:space="preserve"> </w:t>
      </w:r>
      <w:r>
        <w:t>response</w:t>
      </w:r>
      <w:r>
        <w:rPr>
          <w:spacing w:val="-13"/>
        </w:rPr>
        <w:t xml:space="preserve"> </w:t>
      </w:r>
      <w:r>
        <w:t>to</w:t>
      </w:r>
      <w:r>
        <w:rPr>
          <w:spacing w:val="-11"/>
        </w:rPr>
        <w:t xml:space="preserve"> </w:t>
      </w:r>
      <w:r>
        <w:t>a</w:t>
      </w:r>
      <w:r>
        <w:rPr>
          <w:spacing w:val="-11"/>
        </w:rPr>
        <w:t xml:space="preserve"> </w:t>
      </w:r>
      <w:r>
        <w:t>2011</w:t>
      </w:r>
      <w:r>
        <w:rPr>
          <w:spacing w:val="-13"/>
        </w:rPr>
        <w:t xml:space="preserve"> </w:t>
      </w:r>
      <w:r>
        <w:t>review</w:t>
      </w:r>
      <w:r>
        <w:rPr>
          <w:spacing w:val="-12"/>
        </w:rPr>
        <w:t xml:space="preserve"> </w:t>
      </w:r>
      <w:r>
        <w:t>(‘Bimberi</w:t>
      </w:r>
      <w:r>
        <w:rPr>
          <w:spacing w:val="-12"/>
        </w:rPr>
        <w:t xml:space="preserve"> </w:t>
      </w:r>
      <w:r>
        <w:t>review’). This review found that there continued to be some unreasonable limitations on human rights of young people and recommended that the government develop a Charter of Rights for Young People in Detention.</w:t>
      </w:r>
      <w:r>
        <w:rPr>
          <w:vertAlign w:val="superscript"/>
        </w:rPr>
        <w:t>298</w:t>
      </w:r>
      <w:r>
        <w:t xml:space="preserve"> In response, in 2017, the Charter of Rights for Young People in Bimberi Youth Justice Centre</w:t>
      </w:r>
      <w:r>
        <w:rPr>
          <w:spacing w:val="-6"/>
        </w:rPr>
        <w:t xml:space="preserve"> </w:t>
      </w:r>
      <w:r>
        <w:t>was</w:t>
      </w:r>
      <w:r>
        <w:rPr>
          <w:spacing w:val="-8"/>
        </w:rPr>
        <w:t xml:space="preserve"> </w:t>
      </w:r>
      <w:r>
        <w:t>adopted,</w:t>
      </w:r>
      <w:r>
        <w:rPr>
          <w:spacing w:val="-8"/>
        </w:rPr>
        <w:t xml:space="preserve"> </w:t>
      </w:r>
      <w:r>
        <w:t>setting</w:t>
      </w:r>
      <w:r>
        <w:rPr>
          <w:spacing w:val="-9"/>
        </w:rPr>
        <w:t xml:space="preserve"> </w:t>
      </w:r>
      <w:r>
        <w:t>out</w:t>
      </w:r>
      <w:r>
        <w:rPr>
          <w:spacing w:val="-8"/>
        </w:rPr>
        <w:t xml:space="preserve"> </w:t>
      </w:r>
      <w:r>
        <w:t>the</w:t>
      </w:r>
      <w:r>
        <w:rPr>
          <w:spacing w:val="-3"/>
        </w:rPr>
        <w:t xml:space="preserve"> </w:t>
      </w:r>
      <w:r>
        <w:t>12</w:t>
      </w:r>
      <w:r>
        <w:rPr>
          <w:spacing w:val="-8"/>
        </w:rPr>
        <w:t xml:space="preserve"> </w:t>
      </w:r>
      <w:r>
        <w:t>rights</w:t>
      </w:r>
      <w:r>
        <w:rPr>
          <w:spacing w:val="-5"/>
        </w:rPr>
        <w:t xml:space="preserve"> </w:t>
      </w:r>
      <w:r>
        <w:t>relevant</w:t>
      </w:r>
      <w:r>
        <w:rPr>
          <w:spacing w:val="-5"/>
        </w:rPr>
        <w:t xml:space="preserve"> </w:t>
      </w:r>
      <w:r>
        <w:t>to</w:t>
      </w:r>
      <w:r>
        <w:rPr>
          <w:spacing w:val="-9"/>
        </w:rPr>
        <w:t xml:space="preserve"> </w:t>
      </w:r>
      <w:r>
        <w:t>detention,</w:t>
      </w:r>
      <w:r>
        <w:rPr>
          <w:spacing w:val="-6"/>
        </w:rPr>
        <w:t xml:space="preserve"> </w:t>
      </w:r>
      <w:r>
        <w:t>how</w:t>
      </w:r>
      <w:r>
        <w:rPr>
          <w:spacing w:val="-10"/>
        </w:rPr>
        <w:t xml:space="preserve"> </w:t>
      </w:r>
      <w:r>
        <w:t>youth</w:t>
      </w:r>
      <w:r>
        <w:rPr>
          <w:spacing w:val="-6"/>
        </w:rPr>
        <w:t xml:space="preserve"> </w:t>
      </w:r>
      <w:r>
        <w:t>detainees</w:t>
      </w:r>
      <w:r>
        <w:rPr>
          <w:spacing w:val="-8"/>
        </w:rPr>
        <w:t xml:space="preserve"> </w:t>
      </w:r>
      <w:r>
        <w:t>could</w:t>
      </w:r>
      <w:r>
        <w:rPr>
          <w:spacing w:val="-6"/>
        </w:rPr>
        <w:t xml:space="preserve"> </w:t>
      </w:r>
      <w:r>
        <w:t>expect</w:t>
      </w:r>
      <w:r>
        <w:rPr>
          <w:spacing w:val="-7"/>
        </w:rPr>
        <w:t xml:space="preserve"> </w:t>
      </w:r>
      <w:r>
        <w:t>to be treated, and how they were expected to treat other detainees and staff.</w:t>
      </w:r>
      <w:r>
        <w:rPr>
          <w:vertAlign w:val="superscript"/>
        </w:rPr>
        <w:t>299</w:t>
      </w:r>
      <w:r>
        <w:t xml:space="preserve"> Many of the other recommendations made in the Bimberi review were also implemented. Continued oversight and scrutiny of practices in youth detention facilities was undertaken by the Human Rights Commission. As with the previous review, the Commission noted improvements, but was critical of some procedure</w:t>
      </w:r>
      <w:r>
        <w:rPr>
          <w:vertAlign w:val="superscript"/>
        </w:rPr>
        <w:t>300</w:t>
      </w:r>
      <w:r>
        <w:t xml:space="preserve"> and subsequently an explicit prohibition on the strip searching was issued.</w:t>
      </w:r>
    </w:p>
    <w:p w14:paraId="7CB26005" w14:textId="77777777" w:rsidR="008A4099" w:rsidRDefault="006A6EE2">
      <w:pPr>
        <w:pStyle w:val="ListParagraph"/>
        <w:numPr>
          <w:ilvl w:val="2"/>
          <w:numId w:val="6"/>
        </w:numPr>
        <w:tabs>
          <w:tab w:val="left" w:pos="879"/>
        </w:tabs>
        <w:spacing w:before="225" w:line="247" w:lineRule="auto"/>
        <w:ind w:right="675" w:firstLine="0"/>
        <w:jc w:val="both"/>
      </w:pPr>
      <w:r>
        <w:t>An examination of the rights of adult prisoners was also undertaken in the ACT, under the ‘dialogue’</w:t>
      </w:r>
      <w:r>
        <w:rPr>
          <w:spacing w:val="-8"/>
        </w:rPr>
        <w:t xml:space="preserve"> </w:t>
      </w:r>
      <w:r>
        <w:t>framework</w:t>
      </w:r>
      <w:r>
        <w:rPr>
          <w:spacing w:val="-10"/>
        </w:rPr>
        <w:t xml:space="preserve"> </w:t>
      </w:r>
      <w:r>
        <w:t>created</w:t>
      </w:r>
      <w:r>
        <w:rPr>
          <w:spacing w:val="-9"/>
        </w:rPr>
        <w:t xml:space="preserve"> </w:t>
      </w:r>
      <w:r>
        <w:t>by</w:t>
      </w:r>
      <w:r>
        <w:rPr>
          <w:spacing w:val="-10"/>
        </w:rPr>
        <w:t xml:space="preserve"> </w:t>
      </w:r>
      <w:r>
        <w:t>the</w:t>
      </w:r>
      <w:r>
        <w:rPr>
          <w:spacing w:val="-9"/>
        </w:rPr>
        <w:t xml:space="preserve"> </w:t>
      </w:r>
      <w:r>
        <w:t>human</w:t>
      </w:r>
      <w:r>
        <w:rPr>
          <w:spacing w:val="-10"/>
        </w:rPr>
        <w:t xml:space="preserve"> </w:t>
      </w:r>
      <w:r>
        <w:t>rights</w:t>
      </w:r>
      <w:r>
        <w:rPr>
          <w:spacing w:val="-9"/>
        </w:rPr>
        <w:t xml:space="preserve"> </w:t>
      </w:r>
      <w:r>
        <w:t>enactment.</w:t>
      </w:r>
      <w:r>
        <w:rPr>
          <w:spacing w:val="-10"/>
        </w:rPr>
        <w:t xml:space="preserve"> </w:t>
      </w:r>
      <w:r>
        <w:t>In</w:t>
      </w:r>
      <w:r>
        <w:rPr>
          <w:spacing w:val="-10"/>
        </w:rPr>
        <w:t xml:space="preserve"> </w:t>
      </w:r>
      <w:r>
        <w:t>January</w:t>
      </w:r>
      <w:r>
        <w:rPr>
          <w:spacing w:val="-10"/>
        </w:rPr>
        <w:t xml:space="preserve"> </w:t>
      </w:r>
      <w:r>
        <w:t>2013,</w:t>
      </w:r>
      <w:r>
        <w:rPr>
          <w:spacing w:val="-10"/>
        </w:rPr>
        <w:t xml:space="preserve"> </w:t>
      </w:r>
      <w:r>
        <w:t>the</w:t>
      </w:r>
      <w:r>
        <w:rPr>
          <w:spacing w:val="-9"/>
        </w:rPr>
        <w:t xml:space="preserve"> </w:t>
      </w:r>
      <w:r>
        <w:t>ACT</w:t>
      </w:r>
      <w:r>
        <w:rPr>
          <w:spacing w:val="-10"/>
        </w:rPr>
        <w:t xml:space="preserve"> </w:t>
      </w:r>
      <w:r>
        <w:t>Human</w:t>
      </w:r>
      <w:r>
        <w:rPr>
          <w:spacing w:val="-9"/>
        </w:rPr>
        <w:t xml:space="preserve"> </w:t>
      </w:r>
      <w:r>
        <w:t>Rights and Discrimination Commissioner initiated a human rights audit of the effect and implementation of Territory</w:t>
      </w:r>
      <w:r>
        <w:rPr>
          <w:spacing w:val="-2"/>
        </w:rPr>
        <w:t xml:space="preserve"> </w:t>
      </w:r>
      <w:r>
        <w:t>laws</w:t>
      </w:r>
      <w:r>
        <w:rPr>
          <w:spacing w:val="-1"/>
        </w:rPr>
        <w:t xml:space="preserve"> </w:t>
      </w:r>
      <w:r>
        <w:t>governing</w:t>
      </w:r>
      <w:r>
        <w:rPr>
          <w:spacing w:val="-1"/>
        </w:rPr>
        <w:t xml:space="preserve"> </w:t>
      </w:r>
      <w:r>
        <w:t>the</w:t>
      </w:r>
      <w:r>
        <w:rPr>
          <w:spacing w:val="-1"/>
        </w:rPr>
        <w:t xml:space="preserve"> </w:t>
      </w:r>
      <w:r>
        <w:t>treatment of women</w:t>
      </w:r>
      <w:r>
        <w:rPr>
          <w:spacing w:val="-1"/>
        </w:rPr>
        <w:t xml:space="preserve"> </w:t>
      </w:r>
      <w:r>
        <w:t>detainees.</w:t>
      </w:r>
      <w:r>
        <w:rPr>
          <w:vertAlign w:val="superscript"/>
        </w:rPr>
        <w:t>301</w:t>
      </w:r>
      <w:r>
        <w:rPr>
          <w:spacing w:val="-1"/>
        </w:rPr>
        <w:t xml:space="preserve"> </w:t>
      </w:r>
      <w:r>
        <w:t>The</w:t>
      </w:r>
      <w:r>
        <w:rPr>
          <w:spacing w:val="-1"/>
        </w:rPr>
        <w:t xml:space="preserve"> </w:t>
      </w:r>
      <w:r>
        <w:t>audit broadly</w:t>
      </w:r>
      <w:r>
        <w:rPr>
          <w:spacing w:val="-1"/>
        </w:rPr>
        <w:t xml:space="preserve"> </w:t>
      </w:r>
      <w:r>
        <w:t>found</w:t>
      </w:r>
      <w:r>
        <w:rPr>
          <w:spacing w:val="-1"/>
        </w:rPr>
        <w:t xml:space="preserve"> </w:t>
      </w:r>
      <w:r>
        <w:t>practices</w:t>
      </w:r>
      <w:r>
        <w:rPr>
          <w:spacing w:val="-1"/>
        </w:rPr>
        <w:t xml:space="preserve"> </w:t>
      </w:r>
      <w:r>
        <w:t>were compliant with human rights, particularly noting a ‘very significant reduction in reliance on strip searching</w:t>
      </w:r>
      <w:r>
        <w:rPr>
          <w:spacing w:val="-12"/>
        </w:rPr>
        <w:t xml:space="preserve"> </w:t>
      </w:r>
      <w:r>
        <w:t>of</w:t>
      </w:r>
      <w:r>
        <w:rPr>
          <w:spacing w:val="-11"/>
        </w:rPr>
        <w:t xml:space="preserve"> </w:t>
      </w:r>
      <w:r>
        <w:t>women’</w:t>
      </w:r>
      <w:r>
        <w:rPr>
          <w:vertAlign w:val="superscript"/>
        </w:rPr>
        <w:t>302</w:t>
      </w:r>
      <w:r>
        <w:rPr>
          <w:spacing w:val="-12"/>
        </w:rPr>
        <w:t xml:space="preserve"> </w:t>
      </w:r>
      <w:r>
        <w:t>since</w:t>
      </w:r>
      <w:r>
        <w:rPr>
          <w:spacing w:val="-14"/>
        </w:rPr>
        <w:t xml:space="preserve"> </w:t>
      </w:r>
      <w:r>
        <w:t>the</w:t>
      </w:r>
      <w:r>
        <w:rPr>
          <w:spacing w:val="-12"/>
        </w:rPr>
        <w:t xml:space="preserve"> </w:t>
      </w:r>
      <w:r>
        <w:t>2007</w:t>
      </w:r>
      <w:r>
        <w:rPr>
          <w:spacing w:val="-12"/>
        </w:rPr>
        <w:t xml:space="preserve"> </w:t>
      </w:r>
      <w:r>
        <w:t>audit</w:t>
      </w:r>
      <w:r>
        <w:rPr>
          <w:spacing w:val="-13"/>
        </w:rPr>
        <w:t xml:space="preserve"> </w:t>
      </w:r>
      <w:r>
        <w:t>of</w:t>
      </w:r>
      <w:r>
        <w:rPr>
          <w:spacing w:val="-13"/>
        </w:rPr>
        <w:t xml:space="preserve"> </w:t>
      </w:r>
      <w:r>
        <w:t>all</w:t>
      </w:r>
      <w:r>
        <w:rPr>
          <w:spacing w:val="-13"/>
        </w:rPr>
        <w:t xml:space="preserve"> </w:t>
      </w:r>
      <w:r>
        <w:t>correctional</w:t>
      </w:r>
      <w:r>
        <w:rPr>
          <w:spacing w:val="-13"/>
        </w:rPr>
        <w:t xml:space="preserve"> </w:t>
      </w:r>
      <w:r>
        <w:t>facilities.</w:t>
      </w:r>
      <w:r>
        <w:rPr>
          <w:spacing w:val="-14"/>
        </w:rPr>
        <w:t xml:space="preserve"> </w:t>
      </w:r>
      <w:r>
        <w:t>The</w:t>
      </w:r>
      <w:r>
        <w:rPr>
          <w:spacing w:val="-14"/>
        </w:rPr>
        <w:t xml:space="preserve"> </w:t>
      </w:r>
      <w:r>
        <w:t>audit</w:t>
      </w:r>
      <w:r>
        <w:rPr>
          <w:spacing w:val="-13"/>
        </w:rPr>
        <w:t xml:space="preserve"> </w:t>
      </w:r>
      <w:r>
        <w:t>found</w:t>
      </w:r>
      <w:r>
        <w:rPr>
          <w:spacing w:val="-12"/>
        </w:rPr>
        <w:t xml:space="preserve"> </w:t>
      </w:r>
      <w:r>
        <w:t>that</w:t>
      </w:r>
      <w:r>
        <w:rPr>
          <w:spacing w:val="-13"/>
        </w:rPr>
        <w:t xml:space="preserve"> </w:t>
      </w:r>
      <w:r>
        <w:t>the</w:t>
      </w:r>
      <w:r>
        <w:rPr>
          <w:spacing w:val="-14"/>
        </w:rPr>
        <w:t xml:space="preserve"> </w:t>
      </w:r>
      <w:r>
        <w:t>human rights of prisoners with specific needs were less well protected, including prisoners with disability, prisoners with mental health challenges, and transgender and intersex detainees. The audit recommended a review of policies and services to meet the diverse needs of prisoners, training for officers, a range of changes to increase therapeutic care and rehabilitation, access to children, and improving privacy through reduced surveillance.</w:t>
      </w:r>
      <w:r>
        <w:rPr>
          <w:vertAlign w:val="superscript"/>
        </w:rPr>
        <w:t>303</w:t>
      </w:r>
      <w:r>
        <w:t xml:space="preserve"> The government response supported most of the recommendations but noted that surveillance of high needs and crisis units was essential to ensure the safety of prisoners.</w:t>
      </w:r>
      <w:r>
        <w:rPr>
          <w:vertAlign w:val="superscript"/>
        </w:rPr>
        <w:t>304</w:t>
      </w:r>
    </w:p>
    <w:p w14:paraId="7CB26006" w14:textId="77777777" w:rsidR="008A4099" w:rsidRDefault="006A6EE2">
      <w:pPr>
        <w:pStyle w:val="ListParagraph"/>
        <w:numPr>
          <w:ilvl w:val="2"/>
          <w:numId w:val="6"/>
        </w:numPr>
        <w:tabs>
          <w:tab w:val="left" w:pos="879"/>
        </w:tabs>
        <w:spacing w:before="197" w:line="247" w:lineRule="auto"/>
        <w:ind w:right="674" w:firstLine="0"/>
        <w:jc w:val="both"/>
      </w:pPr>
      <w:r>
        <w:t>The</w:t>
      </w:r>
      <w:r>
        <w:rPr>
          <w:spacing w:val="-5"/>
        </w:rPr>
        <w:t xml:space="preserve"> </w:t>
      </w:r>
      <w:r>
        <w:t>audit</w:t>
      </w:r>
      <w:r>
        <w:rPr>
          <w:spacing w:val="-4"/>
        </w:rPr>
        <w:t xml:space="preserve"> </w:t>
      </w:r>
      <w:r>
        <w:t>process</w:t>
      </w:r>
      <w:r>
        <w:rPr>
          <w:spacing w:val="-4"/>
        </w:rPr>
        <w:t xml:space="preserve"> </w:t>
      </w:r>
      <w:r>
        <w:t>set</w:t>
      </w:r>
      <w:r>
        <w:rPr>
          <w:spacing w:val="-4"/>
        </w:rPr>
        <w:t xml:space="preserve"> </w:t>
      </w:r>
      <w:r>
        <w:t>up</w:t>
      </w:r>
      <w:r>
        <w:rPr>
          <w:spacing w:val="-5"/>
        </w:rPr>
        <w:t xml:space="preserve"> </w:t>
      </w:r>
      <w:r>
        <w:t>under</w:t>
      </w:r>
      <w:r>
        <w:rPr>
          <w:spacing w:val="-4"/>
        </w:rPr>
        <w:t xml:space="preserve"> </w:t>
      </w:r>
      <w:r>
        <w:t>the</w:t>
      </w:r>
      <w:r>
        <w:rPr>
          <w:spacing w:val="-4"/>
        </w:rPr>
        <w:t xml:space="preserve"> </w:t>
      </w:r>
      <w:r>
        <w:t>ACT</w:t>
      </w:r>
      <w:r>
        <w:rPr>
          <w:spacing w:val="-5"/>
        </w:rPr>
        <w:t xml:space="preserve"> </w:t>
      </w:r>
      <w:r>
        <w:t>human</w:t>
      </w:r>
      <w:r>
        <w:rPr>
          <w:spacing w:val="-4"/>
        </w:rPr>
        <w:t xml:space="preserve"> </w:t>
      </w:r>
      <w:r>
        <w:t>rights</w:t>
      </w:r>
      <w:r>
        <w:rPr>
          <w:spacing w:val="-4"/>
        </w:rPr>
        <w:t xml:space="preserve"> </w:t>
      </w:r>
      <w:r>
        <w:t>framework</w:t>
      </w:r>
      <w:r>
        <w:rPr>
          <w:spacing w:val="-4"/>
        </w:rPr>
        <w:t xml:space="preserve"> </w:t>
      </w:r>
      <w:r>
        <w:t>has</w:t>
      </w:r>
      <w:r>
        <w:rPr>
          <w:spacing w:val="-4"/>
        </w:rPr>
        <w:t xml:space="preserve"> </w:t>
      </w:r>
      <w:r>
        <w:t>been</w:t>
      </w:r>
      <w:r>
        <w:rPr>
          <w:spacing w:val="-5"/>
        </w:rPr>
        <w:t xml:space="preserve"> </w:t>
      </w:r>
      <w:r>
        <w:t>described</w:t>
      </w:r>
      <w:r>
        <w:rPr>
          <w:spacing w:val="-4"/>
        </w:rPr>
        <w:t xml:space="preserve"> </w:t>
      </w:r>
      <w:r>
        <w:t>as</w:t>
      </w:r>
      <w:r>
        <w:rPr>
          <w:spacing w:val="-4"/>
        </w:rPr>
        <w:t xml:space="preserve"> </w:t>
      </w:r>
      <w:r>
        <w:t>setting out clear human rights standards and so providing ‘a clear, unambiguous framework from which to analyse</w:t>
      </w:r>
      <w:r>
        <w:rPr>
          <w:spacing w:val="-6"/>
        </w:rPr>
        <w:t xml:space="preserve"> </w:t>
      </w:r>
      <w:r>
        <w:t>the</w:t>
      </w:r>
      <w:r>
        <w:rPr>
          <w:spacing w:val="-7"/>
        </w:rPr>
        <w:t xml:space="preserve"> </w:t>
      </w:r>
      <w:r>
        <w:t>operation</w:t>
      </w:r>
      <w:r>
        <w:rPr>
          <w:spacing w:val="-7"/>
        </w:rPr>
        <w:t xml:space="preserve"> </w:t>
      </w:r>
      <w:r>
        <w:t>of</w:t>
      </w:r>
      <w:r>
        <w:rPr>
          <w:spacing w:val="-6"/>
        </w:rPr>
        <w:t xml:space="preserve"> </w:t>
      </w:r>
      <w:r>
        <w:t>youth</w:t>
      </w:r>
      <w:r>
        <w:rPr>
          <w:spacing w:val="-7"/>
        </w:rPr>
        <w:t xml:space="preserve"> </w:t>
      </w:r>
      <w:r>
        <w:t>and</w:t>
      </w:r>
      <w:r>
        <w:rPr>
          <w:spacing w:val="-7"/>
        </w:rPr>
        <w:t xml:space="preserve"> </w:t>
      </w:r>
      <w:r>
        <w:t>adult</w:t>
      </w:r>
      <w:r>
        <w:rPr>
          <w:spacing w:val="-6"/>
        </w:rPr>
        <w:t xml:space="preserve"> </w:t>
      </w:r>
      <w:r>
        <w:t>detention</w:t>
      </w:r>
      <w:r>
        <w:rPr>
          <w:spacing w:val="-7"/>
        </w:rPr>
        <w:t xml:space="preserve"> </w:t>
      </w:r>
      <w:r>
        <w:t>in</w:t>
      </w:r>
      <w:r>
        <w:rPr>
          <w:spacing w:val="-7"/>
        </w:rPr>
        <w:t xml:space="preserve"> </w:t>
      </w:r>
      <w:r>
        <w:t>the</w:t>
      </w:r>
      <w:r>
        <w:rPr>
          <w:spacing w:val="-7"/>
        </w:rPr>
        <w:t xml:space="preserve"> </w:t>
      </w:r>
      <w:r>
        <w:t>ACT’.</w:t>
      </w:r>
      <w:r>
        <w:rPr>
          <w:vertAlign w:val="superscript"/>
        </w:rPr>
        <w:t>305</w:t>
      </w:r>
      <w:r>
        <w:rPr>
          <w:spacing w:val="-7"/>
        </w:rPr>
        <w:t xml:space="preserve"> </w:t>
      </w:r>
      <w:r>
        <w:t>It</w:t>
      </w:r>
      <w:r>
        <w:rPr>
          <w:spacing w:val="-6"/>
        </w:rPr>
        <w:t xml:space="preserve"> </w:t>
      </w:r>
      <w:r>
        <w:t>is</w:t>
      </w:r>
      <w:r>
        <w:rPr>
          <w:spacing w:val="-6"/>
        </w:rPr>
        <w:t xml:space="preserve"> </w:t>
      </w:r>
      <w:r>
        <w:t>a</w:t>
      </w:r>
      <w:r>
        <w:rPr>
          <w:spacing w:val="-7"/>
        </w:rPr>
        <w:t xml:space="preserve"> </w:t>
      </w:r>
      <w:r>
        <w:t>feature</w:t>
      </w:r>
      <w:r>
        <w:rPr>
          <w:spacing w:val="-7"/>
        </w:rPr>
        <w:t xml:space="preserve"> </w:t>
      </w:r>
      <w:r>
        <w:t>of</w:t>
      </w:r>
      <w:r>
        <w:rPr>
          <w:spacing w:val="-6"/>
        </w:rPr>
        <w:t xml:space="preserve"> </w:t>
      </w:r>
      <w:r>
        <w:t>the</w:t>
      </w:r>
      <w:r>
        <w:rPr>
          <w:spacing w:val="-7"/>
        </w:rPr>
        <w:t xml:space="preserve"> </w:t>
      </w:r>
      <w:r>
        <w:t>ACT</w:t>
      </w:r>
      <w:r>
        <w:rPr>
          <w:spacing w:val="-8"/>
        </w:rPr>
        <w:t xml:space="preserve"> </w:t>
      </w:r>
      <w:r>
        <w:t>system</w:t>
      </w:r>
      <w:r>
        <w:rPr>
          <w:spacing w:val="-6"/>
        </w:rPr>
        <w:t xml:space="preserve"> </w:t>
      </w:r>
      <w:r>
        <w:t>that generates</w:t>
      </w:r>
      <w:r>
        <w:rPr>
          <w:spacing w:val="-5"/>
        </w:rPr>
        <w:t xml:space="preserve"> </w:t>
      </w:r>
      <w:r>
        <w:t>a</w:t>
      </w:r>
      <w:r>
        <w:rPr>
          <w:spacing w:val="-5"/>
        </w:rPr>
        <w:t xml:space="preserve"> </w:t>
      </w:r>
      <w:r>
        <w:t>human</w:t>
      </w:r>
      <w:r>
        <w:rPr>
          <w:spacing w:val="-5"/>
        </w:rPr>
        <w:t xml:space="preserve"> </w:t>
      </w:r>
      <w:r>
        <w:t>rights</w:t>
      </w:r>
      <w:r>
        <w:rPr>
          <w:spacing w:val="-5"/>
        </w:rPr>
        <w:t xml:space="preserve"> </w:t>
      </w:r>
      <w:r>
        <w:t>dialogue</w:t>
      </w:r>
      <w:r>
        <w:rPr>
          <w:spacing w:val="-5"/>
        </w:rPr>
        <w:t xml:space="preserve"> </w:t>
      </w:r>
      <w:r>
        <w:t>with</w:t>
      </w:r>
      <w:r>
        <w:rPr>
          <w:spacing w:val="-6"/>
        </w:rPr>
        <w:t xml:space="preserve"> </w:t>
      </w:r>
      <w:r>
        <w:t>the</w:t>
      </w:r>
      <w:r>
        <w:rPr>
          <w:spacing w:val="-3"/>
        </w:rPr>
        <w:t xml:space="preserve"> </w:t>
      </w:r>
      <w:r>
        <w:t>Executive</w:t>
      </w:r>
      <w:r>
        <w:rPr>
          <w:spacing w:val="-7"/>
        </w:rPr>
        <w:t xml:space="preserve"> </w:t>
      </w:r>
      <w:r>
        <w:t>and</w:t>
      </w:r>
      <w:r>
        <w:rPr>
          <w:spacing w:val="-6"/>
        </w:rPr>
        <w:t xml:space="preserve"> </w:t>
      </w:r>
      <w:r>
        <w:t>the</w:t>
      </w:r>
      <w:r>
        <w:rPr>
          <w:spacing w:val="-5"/>
        </w:rPr>
        <w:t xml:space="preserve"> </w:t>
      </w:r>
      <w:r>
        <w:t>Human</w:t>
      </w:r>
      <w:r>
        <w:rPr>
          <w:spacing w:val="-6"/>
        </w:rPr>
        <w:t xml:space="preserve"> </w:t>
      </w:r>
      <w:r>
        <w:t>Rights</w:t>
      </w:r>
      <w:r>
        <w:rPr>
          <w:spacing w:val="-5"/>
        </w:rPr>
        <w:t xml:space="preserve"> </w:t>
      </w:r>
      <w:r>
        <w:t>Commissioner</w:t>
      </w:r>
      <w:r>
        <w:rPr>
          <w:spacing w:val="-5"/>
        </w:rPr>
        <w:t xml:space="preserve"> </w:t>
      </w:r>
      <w:r>
        <w:t>and</w:t>
      </w:r>
      <w:r>
        <w:rPr>
          <w:spacing w:val="-5"/>
        </w:rPr>
        <w:t xml:space="preserve"> </w:t>
      </w:r>
      <w:r>
        <w:t>is</w:t>
      </w:r>
      <w:r>
        <w:rPr>
          <w:spacing w:val="-5"/>
        </w:rPr>
        <w:t xml:space="preserve"> </w:t>
      </w:r>
      <w:r>
        <w:t xml:space="preserve">said to achieve ‘systemic improvements in human rights in human rights protection to existing laws and </w:t>
      </w:r>
      <w:r>
        <w:rPr>
          <w:spacing w:val="-2"/>
        </w:rPr>
        <w:t>practices’.</w:t>
      </w:r>
      <w:r>
        <w:rPr>
          <w:spacing w:val="-2"/>
          <w:vertAlign w:val="superscript"/>
        </w:rPr>
        <w:t>306</w:t>
      </w:r>
    </w:p>
    <w:p w14:paraId="7CB26007" w14:textId="77777777" w:rsidR="008A4099" w:rsidRDefault="006A6EE2">
      <w:pPr>
        <w:pStyle w:val="ListParagraph"/>
        <w:numPr>
          <w:ilvl w:val="2"/>
          <w:numId w:val="6"/>
        </w:numPr>
        <w:tabs>
          <w:tab w:val="left" w:pos="879"/>
        </w:tabs>
        <w:spacing w:before="213" w:line="237" w:lineRule="auto"/>
        <w:ind w:right="674" w:firstLine="0"/>
        <w:jc w:val="both"/>
      </w:pPr>
      <w:r>
        <w:t xml:space="preserve">Engagement with human rights and the balancing of Charter rights is also evident in the approach taken in Victoria to reforms relating to freedom of religion. In the Review Period, the </w:t>
      </w:r>
      <w:r>
        <w:rPr>
          <w:i/>
        </w:rPr>
        <w:t xml:space="preserve">Equal Opportunity Act 2010 </w:t>
      </w:r>
      <w:r>
        <w:t>(Vic) was amended to remove permissions for religious bodies and schools to discriminate against people based on the personal characteristics of sex, sexual orientation, lawful sexual</w:t>
      </w:r>
      <w:r>
        <w:rPr>
          <w:spacing w:val="18"/>
        </w:rPr>
        <w:t xml:space="preserve"> </w:t>
      </w:r>
      <w:r>
        <w:t>activity,</w:t>
      </w:r>
      <w:r>
        <w:rPr>
          <w:spacing w:val="21"/>
        </w:rPr>
        <w:t xml:space="preserve"> </w:t>
      </w:r>
      <w:r>
        <w:t>marital</w:t>
      </w:r>
      <w:r>
        <w:rPr>
          <w:spacing w:val="22"/>
        </w:rPr>
        <w:t xml:space="preserve"> </w:t>
      </w:r>
      <w:r>
        <w:t>status,</w:t>
      </w:r>
      <w:r>
        <w:rPr>
          <w:spacing w:val="22"/>
        </w:rPr>
        <w:t xml:space="preserve"> </w:t>
      </w:r>
      <w:r>
        <w:t>parental</w:t>
      </w:r>
      <w:r>
        <w:rPr>
          <w:spacing w:val="24"/>
        </w:rPr>
        <w:t xml:space="preserve"> </w:t>
      </w:r>
      <w:r>
        <w:t>status,</w:t>
      </w:r>
      <w:r>
        <w:rPr>
          <w:spacing w:val="21"/>
        </w:rPr>
        <w:t xml:space="preserve"> </w:t>
      </w:r>
      <w:r>
        <w:t>and</w:t>
      </w:r>
      <w:r>
        <w:rPr>
          <w:spacing w:val="21"/>
        </w:rPr>
        <w:t xml:space="preserve"> </w:t>
      </w:r>
      <w:r>
        <w:t>gender</w:t>
      </w:r>
      <w:r>
        <w:rPr>
          <w:spacing w:val="21"/>
        </w:rPr>
        <w:t xml:space="preserve"> </w:t>
      </w:r>
      <w:r>
        <w:t>identity</w:t>
      </w:r>
      <w:r>
        <w:rPr>
          <w:spacing w:val="21"/>
        </w:rPr>
        <w:t xml:space="preserve"> </w:t>
      </w:r>
      <w:r>
        <w:t>in</w:t>
      </w:r>
      <w:r>
        <w:rPr>
          <w:spacing w:val="21"/>
        </w:rPr>
        <w:t xml:space="preserve"> </w:t>
      </w:r>
      <w:r>
        <w:t>making</w:t>
      </w:r>
      <w:r>
        <w:rPr>
          <w:spacing w:val="21"/>
        </w:rPr>
        <w:t xml:space="preserve"> </w:t>
      </w:r>
      <w:r>
        <w:t>employment</w:t>
      </w:r>
      <w:r>
        <w:rPr>
          <w:spacing w:val="22"/>
        </w:rPr>
        <w:t xml:space="preserve"> </w:t>
      </w:r>
      <w:r>
        <w:rPr>
          <w:spacing w:val="-2"/>
        </w:rPr>
        <w:t>decisions</w:t>
      </w:r>
    </w:p>
    <w:p w14:paraId="7CB26008" w14:textId="77777777" w:rsidR="008A4099" w:rsidRDefault="006A6EE2">
      <w:pPr>
        <w:pStyle w:val="BodyText"/>
        <w:spacing w:before="2"/>
        <w:rPr>
          <w:sz w:val="13"/>
        </w:rPr>
      </w:pPr>
      <w:r>
        <w:rPr>
          <w:noProof/>
        </w:rPr>
        <mc:AlternateContent>
          <mc:Choice Requires="wps">
            <w:drawing>
              <wp:anchor distT="0" distB="0" distL="0" distR="0" simplePos="0" relativeHeight="487612928" behindDoc="1" locked="0" layoutInCell="1" allowOverlap="1" wp14:anchorId="7CB2663B" wp14:editId="7CB2663C">
                <wp:simplePos x="0" y="0"/>
                <wp:positionH relativeFrom="page">
                  <wp:posOffset>914704</wp:posOffset>
                </wp:positionH>
                <wp:positionV relativeFrom="paragraph">
                  <wp:posOffset>111648</wp:posOffset>
                </wp:positionV>
                <wp:extent cx="1829435" cy="762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5282B" id="Graphic 91" o:spid="_x0000_s1026" style="position:absolute;margin-left:1in;margin-top:8.8pt;width:144.05pt;height:.6pt;z-index:-157035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" path="m1829054,l,,,7620r1829054,l1829054,xe" fillcolor="black" stroked="f">
                <v:path arrowok="t"/>
                <w10:wrap type="topAndBottom" anchorx="page"/>
              </v:shape>
            </w:pict>
          </mc:Fallback>
        </mc:AlternateContent>
      </w:r>
    </w:p>
    <w:p w14:paraId="7CB26009" w14:textId="77777777" w:rsidR="008A4099" w:rsidRDefault="006A6EE2">
      <w:pPr>
        <w:spacing w:before="112" w:line="244" w:lineRule="auto"/>
        <w:ind w:left="160" w:right="680"/>
        <w:rPr>
          <w:sz w:val="18"/>
        </w:rPr>
      </w:pPr>
      <w:r>
        <w:rPr>
          <w:sz w:val="18"/>
          <w:vertAlign w:val="superscript"/>
        </w:rPr>
        <w:t>298</w:t>
      </w:r>
      <w:r>
        <w:rPr>
          <w:sz w:val="18"/>
        </w:rPr>
        <w:t xml:space="preserve"> ACT Human Rights Commission, </w:t>
      </w:r>
      <w:r>
        <w:rPr>
          <w:i/>
          <w:sz w:val="18"/>
        </w:rPr>
        <w:t xml:space="preserve">The ACT Youth Justice System: A Report to the ACT Legislative Assembly by the ACT Human Rights Commission </w:t>
      </w:r>
      <w:r>
        <w:rPr>
          <w:sz w:val="18"/>
        </w:rPr>
        <w:t>(Report, 2011) [2.7.13] 61, Recommendation 3.7, 82.</w:t>
      </w:r>
    </w:p>
    <w:p w14:paraId="7CB2600A" w14:textId="77777777" w:rsidR="008A4099" w:rsidRDefault="006A6EE2">
      <w:pPr>
        <w:spacing w:before="15"/>
        <w:ind w:left="160"/>
        <w:rPr>
          <w:sz w:val="18"/>
        </w:rPr>
      </w:pPr>
      <w:r>
        <w:rPr>
          <w:sz w:val="18"/>
          <w:vertAlign w:val="superscript"/>
        </w:rPr>
        <w:t>299</w:t>
      </w:r>
      <w:r>
        <w:rPr>
          <w:spacing w:val="-1"/>
          <w:sz w:val="18"/>
        </w:rPr>
        <w:t xml:space="preserve"> </w:t>
      </w:r>
      <w:r>
        <w:rPr>
          <w:sz w:val="18"/>
        </w:rPr>
        <w:t>Department</w:t>
      </w:r>
      <w:r>
        <w:rPr>
          <w:spacing w:val="58"/>
          <w:sz w:val="18"/>
        </w:rPr>
        <w:t xml:space="preserve"> </w:t>
      </w:r>
      <w:r>
        <w:rPr>
          <w:sz w:val="18"/>
        </w:rPr>
        <w:t>of</w:t>
      </w:r>
      <w:r>
        <w:rPr>
          <w:spacing w:val="54"/>
          <w:sz w:val="18"/>
        </w:rPr>
        <w:t xml:space="preserve"> </w:t>
      </w:r>
      <w:r>
        <w:rPr>
          <w:sz w:val="18"/>
        </w:rPr>
        <w:t>Community</w:t>
      </w:r>
      <w:r>
        <w:rPr>
          <w:spacing w:val="56"/>
          <w:sz w:val="18"/>
        </w:rPr>
        <w:t xml:space="preserve"> </w:t>
      </w:r>
      <w:r>
        <w:rPr>
          <w:sz w:val="18"/>
        </w:rPr>
        <w:t>Services,</w:t>
      </w:r>
      <w:r>
        <w:rPr>
          <w:spacing w:val="61"/>
          <w:sz w:val="18"/>
        </w:rPr>
        <w:t xml:space="preserve"> </w:t>
      </w:r>
      <w:r>
        <w:rPr>
          <w:i/>
          <w:sz w:val="18"/>
        </w:rPr>
        <w:t>Charter</w:t>
      </w:r>
      <w:r>
        <w:rPr>
          <w:i/>
          <w:spacing w:val="56"/>
          <w:sz w:val="18"/>
        </w:rPr>
        <w:t xml:space="preserve"> </w:t>
      </w:r>
      <w:r>
        <w:rPr>
          <w:i/>
          <w:sz w:val="18"/>
        </w:rPr>
        <w:t>of</w:t>
      </w:r>
      <w:r>
        <w:rPr>
          <w:i/>
          <w:spacing w:val="55"/>
          <w:sz w:val="18"/>
        </w:rPr>
        <w:t xml:space="preserve"> </w:t>
      </w:r>
      <w:r>
        <w:rPr>
          <w:i/>
          <w:sz w:val="18"/>
        </w:rPr>
        <w:t>Rights</w:t>
      </w:r>
      <w:r>
        <w:rPr>
          <w:i/>
          <w:spacing w:val="54"/>
          <w:sz w:val="18"/>
        </w:rPr>
        <w:t xml:space="preserve"> </w:t>
      </w:r>
      <w:r>
        <w:rPr>
          <w:i/>
          <w:sz w:val="18"/>
        </w:rPr>
        <w:t>for</w:t>
      </w:r>
      <w:r>
        <w:rPr>
          <w:i/>
          <w:spacing w:val="55"/>
          <w:sz w:val="18"/>
        </w:rPr>
        <w:t xml:space="preserve"> </w:t>
      </w:r>
      <w:r>
        <w:rPr>
          <w:i/>
          <w:sz w:val="18"/>
        </w:rPr>
        <w:t>Young</w:t>
      </w:r>
      <w:r>
        <w:rPr>
          <w:i/>
          <w:spacing w:val="55"/>
          <w:sz w:val="18"/>
        </w:rPr>
        <w:t xml:space="preserve"> </w:t>
      </w:r>
      <w:r>
        <w:rPr>
          <w:i/>
          <w:sz w:val="18"/>
        </w:rPr>
        <w:t>People</w:t>
      </w:r>
      <w:r>
        <w:rPr>
          <w:i/>
          <w:spacing w:val="57"/>
          <w:sz w:val="18"/>
        </w:rPr>
        <w:t xml:space="preserve"> </w:t>
      </w:r>
      <w:r>
        <w:rPr>
          <w:i/>
          <w:sz w:val="18"/>
        </w:rPr>
        <w:t>in</w:t>
      </w:r>
      <w:r>
        <w:rPr>
          <w:i/>
          <w:spacing w:val="56"/>
          <w:sz w:val="18"/>
        </w:rPr>
        <w:t xml:space="preserve"> </w:t>
      </w:r>
      <w:r>
        <w:rPr>
          <w:i/>
          <w:sz w:val="18"/>
        </w:rPr>
        <w:t>Bimberi</w:t>
      </w:r>
      <w:r>
        <w:rPr>
          <w:i/>
          <w:spacing w:val="61"/>
          <w:sz w:val="18"/>
        </w:rPr>
        <w:t xml:space="preserve"> </w:t>
      </w:r>
      <w:r>
        <w:rPr>
          <w:sz w:val="18"/>
        </w:rPr>
        <w:t>(ACT</w:t>
      </w:r>
      <w:r>
        <w:rPr>
          <w:spacing w:val="55"/>
          <w:sz w:val="18"/>
        </w:rPr>
        <w:t xml:space="preserve"> </w:t>
      </w:r>
      <w:r>
        <w:rPr>
          <w:sz w:val="18"/>
        </w:rPr>
        <w:t>Government,</w:t>
      </w:r>
      <w:r>
        <w:rPr>
          <w:spacing w:val="55"/>
          <w:sz w:val="18"/>
        </w:rPr>
        <w:t xml:space="preserve"> </w:t>
      </w:r>
      <w:r>
        <w:rPr>
          <w:spacing w:val="-2"/>
          <w:sz w:val="18"/>
        </w:rPr>
        <w:t>2024)</w:t>
      </w:r>
    </w:p>
    <w:p w14:paraId="7CB2600B" w14:textId="77777777" w:rsidR="008A4099" w:rsidRDefault="006A6EE2">
      <w:pPr>
        <w:spacing w:before="4"/>
        <w:ind w:left="160" w:right="964"/>
        <w:rPr>
          <w:sz w:val="18"/>
        </w:rPr>
      </w:pPr>
      <w:r>
        <w:rPr>
          <w:spacing w:val="-2"/>
          <w:sz w:val="18"/>
        </w:rPr>
        <w:t>&lt;https://</w:t>
      </w:r>
      <w:hyperlink r:id="rId125">
        <w:r>
          <w:rPr>
            <w:spacing w:val="-2"/>
            <w:sz w:val="18"/>
          </w:rPr>
          <w:t>www.communityservices.act.gov.au/children-and-families/youth-justice/bimberi-youth-justice-centre/charter-of-</w:t>
        </w:r>
      </w:hyperlink>
      <w:r>
        <w:rPr>
          <w:spacing w:val="40"/>
          <w:sz w:val="18"/>
        </w:rPr>
        <w:t xml:space="preserve"> </w:t>
      </w:r>
      <w:r>
        <w:rPr>
          <w:spacing w:val="-2"/>
          <w:sz w:val="18"/>
        </w:rPr>
        <w:t>rights-for-young-people-in-bimberi&gt;.</w:t>
      </w:r>
    </w:p>
    <w:p w14:paraId="7CB2600C" w14:textId="77777777" w:rsidR="008A4099" w:rsidRDefault="006A6EE2">
      <w:pPr>
        <w:spacing w:before="19"/>
        <w:ind w:left="160"/>
        <w:rPr>
          <w:sz w:val="18"/>
        </w:rPr>
      </w:pPr>
      <w:r>
        <w:rPr>
          <w:w w:val="105"/>
          <w:sz w:val="18"/>
          <w:vertAlign w:val="superscript"/>
        </w:rPr>
        <w:t>300</w:t>
      </w:r>
      <w:r>
        <w:rPr>
          <w:spacing w:val="1"/>
          <w:w w:val="105"/>
          <w:sz w:val="18"/>
        </w:rPr>
        <w:t xml:space="preserve"> </w:t>
      </w:r>
      <w:r>
        <w:rPr>
          <w:spacing w:val="-2"/>
          <w:w w:val="105"/>
          <w:sz w:val="18"/>
        </w:rPr>
        <w:t>Ibid.</w:t>
      </w:r>
    </w:p>
    <w:p w14:paraId="7CB2600D" w14:textId="77777777" w:rsidR="008A4099" w:rsidRDefault="006A6EE2">
      <w:pPr>
        <w:spacing w:before="23" w:line="242" w:lineRule="auto"/>
        <w:ind w:left="160" w:right="673"/>
        <w:jc w:val="both"/>
        <w:rPr>
          <w:sz w:val="18"/>
        </w:rPr>
      </w:pPr>
      <w:r>
        <w:rPr>
          <w:sz w:val="18"/>
          <w:vertAlign w:val="superscript"/>
        </w:rPr>
        <w:t>301</w:t>
      </w:r>
      <w:r>
        <w:rPr>
          <w:sz w:val="18"/>
        </w:rPr>
        <w:t xml:space="preserve"> The Alexander Maconochie Centre is the single prison facility in the ACT. It accommodates men and women in separate precincts. See Helen Watchirs et al, </w:t>
      </w:r>
      <w:r>
        <w:rPr>
          <w:i/>
          <w:sz w:val="18"/>
        </w:rPr>
        <w:t>Human Rights Audit on the Conditions of Detention of Women at the Alexander Maconochie</w:t>
      </w:r>
      <w:r>
        <w:rPr>
          <w:i/>
          <w:spacing w:val="23"/>
          <w:sz w:val="18"/>
        </w:rPr>
        <w:t xml:space="preserve"> </w:t>
      </w:r>
      <w:r>
        <w:rPr>
          <w:i/>
          <w:sz w:val="18"/>
        </w:rPr>
        <w:t>Centre</w:t>
      </w:r>
      <w:r>
        <w:rPr>
          <w:i/>
          <w:spacing w:val="23"/>
          <w:sz w:val="18"/>
        </w:rPr>
        <w:t xml:space="preserve"> </w:t>
      </w:r>
      <w:r>
        <w:rPr>
          <w:sz w:val="18"/>
        </w:rPr>
        <w:t>(ACT</w:t>
      </w:r>
      <w:r>
        <w:rPr>
          <w:spacing w:val="21"/>
          <w:sz w:val="18"/>
        </w:rPr>
        <w:t xml:space="preserve"> </w:t>
      </w:r>
      <w:r>
        <w:rPr>
          <w:sz w:val="18"/>
        </w:rPr>
        <w:t>Human</w:t>
      </w:r>
      <w:r>
        <w:rPr>
          <w:spacing w:val="24"/>
          <w:sz w:val="18"/>
        </w:rPr>
        <w:t xml:space="preserve"> </w:t>
      </w:r>
      <w:r>
        <w:rPr>
          <w:sz w:val="18"/>
        </w:rPr>
        <w:t>Rights</w:t>
      </w:r>
      <w:r>
        <w:rPr>
          <w:spacing w:val="21"/>
          <w:sz w:val="18"/>
        </w:rPr>
        <w:t xml:space="preserve"> </w:t>
      </w:r>
      <w:r>
        <w:rPr>
          <w:sz w:val="18"/>
        </w:rPr>
        <w:t>Commission,</w:t>
      </w:r>
      <w:r>
        <w:rPr>
          <w:spacing w:val="21"/>
          <w:sz w:val="18"/>
        </w:rPr>
        <w:t xml:space="preserve"> </w:t>
      </w:r>
      <w:r>
        <w:rPr>
          <w:sz w:val="18"/>
        </w:rPr>
        <w:t>2014)</w:t>
      </w:r>
      <w:r>
        <w:rPr>
          <w:spacing w:val="21"/>
          <w:sz w:val="18"/>
        </w:rPr>
        <w:t xml:space="preserve"> </w:t>
      </w:r>
      <w:r>
        <w:rPr>
          <w:sz w:val="18"/>
        </w:rPr>
        <w:t>initiated</w:t>
      </w:r>
      <w:r>
        <w:rPr>
          <w:spacing w:val="24"/>
          <w:sz w:val="18"/>
        </w:rPr>
        <w:t xml:space="preserve"> </w:t>
      </w:r>
      <w:r>
        <w:rPr>
          <w:sz w:val="18"/>
        </w:rPr>
        <w:t>under</w:t>
      </w:r>
      <w:r>
        <w:rPr>
          <w:spacing w:val="24"/>
          <w:sz w:val="18"/>
        </w:rPr>
        <w:t xml:space="preserve"> </w:t>
      </w:r>
      <w:r>
        <w:rPr>
          <w:sz w:val="18"/>
        </w:rPr>
        <w:t>s</w:t>
      </w:r>
      <w:r>
        <w:rPr>
          <w:spacing w:val="20"/>
          <w:sz w:val="18"/>
        </w:rPr>
        <w:t xml:space="preserve"> </w:t>
      </w:r>
      <w:r>
        <w:rPr>
          <w:sz w:val="18"/>
        </w:rPr>
        <w:t>41</w:t>
      </w:r>
      <w:r>
        <w:rPr>
          <w:spacing w:val="22"/>
          <w:sz w:val="18"/>
        </w:rPr>
        <w:t xml:space="preserve"> </w:t>
      </w:r>
      <w:r>
        <w:rPr>
          <w:sz w:val="18"/>
        </w:rPr>
        <w:t>of</w:t>
      </w:r>
      <w:r>
        <w:rPr>
          <w:spacing w:val="21"/>
          <w:sz w:val="18"/>
        </w:rPr>
        <w:t xml:space="preserve"> </w:t>
      </w:r>
      <w:r>
        <w:rPr>
          <w:sz w:val="18"/>
        </w:rPr>
        <w:t>the</w:t>
      </w:r>
      <w:r>
        <w:rPr>
          <w:spacing w:val="29"/>
          <w:sz w:val="18"/>
        </w:rPr>
        <w:t xml:space="preserve"> </w:t>
      </w:r>
      <w:r>
        <w:rPr>
          <w:i/>
          <w:sz w:val="18"/>
        </w:rPr>
        <w:t>Human</w:t>
      </w:r>
      <w:r>
        <w:rPr>
          <w:i/>
          <w:spacing w:val="19"/>
          <w:sz w:val="18"/>
        </w:rPr>
        <w:t xml:space="preserve"> </w:t>
      </w:r>
      <w:r>
        <w:rPr>
          <w:i/>
          <w:sz w:val="18"/>
        </w:rPr>
        <w:t>Rights</w:t>
      </w:r>
      <w:r>
        <w:rPr>
          <w:i/>
          <w:spacing w:val="20"/>
          <w:sz w:val="18"/>
        </w:rPr>
        <w:t xml:space="preserve"> </w:t>
      </w:r>
      <w:r>
        <w:rPr>
          <w:i/>
          <w:sz w:val="18"/>
        </w:rPr>
        <w:t>Act</w:t>
      </w:r>
      <w:r>
        <w:rPr>
          <w:i/>
          <w:spacing w:val="23"/>
          <w:sz w:val="18"/>
        </w:rPr>
        <w:t xml:space="preserve"> </w:t>
      </w:r>
      <w:r>
        <w:rPr>
          <w:i/>
          <w:sz w:val="18"/>
        </w:rPr>
        <w:t>2004</w:t>
      </w:r>
      <w:r>
        <w:rPr>
          <w:i/>
          <w:spacing w:val="23"/>
          <w:sz w:val="18"/>
        </w:rPr>
        <w:t xml:space="preserve"> </w:t>
      </w:r>
      <w:r>
        <w:rPr>
          <w:spacing w:val="-2"/>
          <w:sz w:val="18"/>
        </w:rPr>
        <w:t>(ACT)</w:t>
      </w:r>
    </w:p>
    <w:p w14:paraId="7CB2600E" w14:textId="77777777" w:rsidR="008A4099" w:rsidRDefault="006A6EE2">
      <w:pPr>
        <w:ind w:left="160" w:right="762"/>
        <w:rPr>
          <w:sz w:val="18"/>
        </w:rPr>
      </w:pPr>
      <w:r>
        <w:rPr>
          <w:sz w:val="18"/>
        </w:rPr>
        <w:t>&lt;https://</w:t>
      </w:r>
      <w:hyperlink r:id="rId126">
        <w:r>
          <w:rPr>
            <w:sz w:val="18"/>
          </w:rPr>
          <w:t>www.hrc.act.gov.au/</w:t>
        </w:r>
      </w:hyperlink>
      <w:r>
        <w:rPr>
          <w:spacing w:val="80"/>
          <w:sz w:val="18"/>
          <w:u w:val="single"/>
        </w:rPr>
        <w:t xml:space="preserve"> </w:t>
      </w:r>
      <w:r>
        <w:rPr>
          <w:sz w:val="18"/>
        </w:rPr>
        <w:t xml:space="preserve">data/assets/pdf_file/0003/2306163/Audit-on-the-Conditions-of-Detention-of-Women-at-the- </w:t>
      </w:r>
      <w:r>
        <w:rPr>
          <w:spacing w:val="-2"/>
          <w:sz w:val="18"/>
        </w:rPr>
        <w:t>AMC-2014.pdf&gt;.</w:t>
      </w:r>
    </w:p>
    <w:p w14:paraId="7CB2600F" w14:textId="77777777" w:rsidR="008A4099" w:rsidRDefault="006A6EE2">
      <w:pPr>
        <w:spacing w:before="18"/>
        <w:ind w:left="160"/>
        <w:rPr>
          <w:sz w:val="18"/>
        </w:rPr>
      </w:pPr>
      <w:r>
        <w:rPr>
          <w:sz w:val="18"/>
          <w:vertAlign w:val="superscript"/>
        </w:rPr>
        <w:t>302</w:t>
      </w:r>
      <w:r>
        <w:rPr>
          <w:spacing w:val="2"/>
          <w:sz w:val="18"/>
        </w:rPr>
        <w:t xml:space="preserve"> </w:t>
      </w:r>
      <w:r>
        <w:rPr>
          <w:sz w:val="18"/>
        </w:rPr>
        <w:t>Ibid</w:t>
      </w:r>
      <w:r>
        <w:rPr>
          <w:spacing w:val="2"/>
          <w:sz w:val="18"/>
        </w:rPr>
        <w:t xml:space="preserve"> </w:t>
      </w:r>
      <w:r>
        <w:rPr>
          <w:sz w:val="18"/>
        </w:rPr>
        <w:t>at</w:t>
      </w:r>
      <w:r>
        <w:rPr>
          <w:spacing w:val="3"/>
          <w:sz w:val="18"/>
        </w:rPr>
        <w:t xml:space="preserve"> </w:t>
      </w:r>
      <w:r>
        <w:rPr>
          <w:sz w:val="18"/>
        </w:rPr>
        <w:t>[1.2.24]</w:t>
      </w:r>
      <w:r>
        <w:rPr>
          <w:spacing w:val="1"/>
          <w:sz w:val="18"/>
        </w:rPr>
        <w:t xml:space="preserve"> </w:t>
      </w:r>
      <w:r>
        <w:rPr>
          <w:spacing w:val="-5"/>
          <w:sz w:val="18"/>
        </w:rPr>
        <w:t>9.</w:t>
      </w:r>
    </w:p>
    <w:p w14:paraId="7CB26010" w14:textId="77777777" w:rsidR="008A4099" w:rsidRDefault="006A6EE2">
      <w:pPr>
        <w:spacing w:before="23"/>
        <w:ind w:left="160"/>
        <w:rPr>
          <w:sz w:val="18"/>
        </w:rPr>
      </w:pPr>
      <w:r>
        <w:rPr>
          <w:sz w:val="18"/>
          <w:vertAlign w:val="superscript"/>
        </w:rPr>
        <w:t>303</w:t>
      </w:r>
      <w:r>
        <w:rPr>
          <w:sz w:val="18"/>
        </w:rPr>
        <w:t xml:space="preserve"> These recommendations</w:t>
      </w:r>
      <w:r>
        <w:rPr>
          <w:spacing w:val="1"/>
          <w:sz w:val="18"/>
        </w:rPr>
        <w:t xml:space="preserve"> </w:t>
      </w:r>
      <w:r>
        <w:rPr>
          <w:sz w:val="18"/>
        </w:rPr>
        <w:t>are</w:t>
      </w:r>
      <w:r>
        <w:rPr>
          <w:spacing w:val="-1"/>
          <w:sz w:val="18"/>
        </w:rPr>
        <w:t xml:space="preserve"> </w:t>
      </w:r>
      <w:r>
        <w:rPr>
          <w:sz w:val="18"/>
        </w:rPr>
        <w:t>made at</w:t>
      </w:r>
      <w:r>
        <w:rPr>
          <w:spacing w:val="1"/>
          <w:sz w:val="18"/>
        </w:rPr>
        <w:t xml:space="preserve"> </w:t>
      </w:r>
      <w:r>
        <w:rPr>
          <w:sz w:val="18"/>
        </w:rPr>
        <w:t>various</w:t>
      </w:r>
      <w:r>
        <w:rPr>
          <w:spacing w:val="-3"/>
          <w:sz w:val="18"/>
        </w:rPr>
        <w:t xml:space="preserve"> </w:t>
      </w:r>
      <w:r>
        <w:rPr>
          <w:sz w:val="18"/>
        </w:rPr>
        <w:t>points</w:t>
      </w:r>
      <w:r>
        <w:rPr>
          <w:spacing w:val="-1"/>
          <w:sz w:val="18"/>
        </w:rPr>
        <w:t xml:space="preserve"> </w:t>
      </w:r>
      <w:r>
        <w:rPr>
          <w:sz w:val="18"/>
        </w:rPr>
        <w:t>throughout</w:t>
      </w:r>
      <w:r>
        <w:rPr>
          <w:spacing w:val="-2"/>
          <w:sz w:val="18"/>
        </w:rPr>
        <w:t xml:space="preserve"> </w:t>
      </w:r>
      <w:r>
        <w:rPr>
          <w:sz w:val="18"/>
        </w:rPr>
        <w:t>the</w:t>
      </w:r>
      <w:r>
        <w:rPr>
          <w:spacing w:val="-2"/>
          <w:sz w:val="18"/>
        </w:rPr>
        <w:t xml:space="preserve"> audit.</w:t>
      </w:r>
    </w:p>
    <w:p w14:paraId="7CB26011" w14:textId="77777777" w:rsidR="008A4099" w:rsidRDefault="006A6EE2">
      <w:pPr>
        <w:spacing w:before="23" w:line="244" w:lineRule="auto"/>
        <w:ind w:left="160"/>
        <w:rPr>
          <w:sz w:val="18"/>
        </w:rPr>
      </w:pPr>
      <w:r>
        <w:rPr>
          <w:sz w:val="18"/>
          <w:vertAlign w:val="superscript"/>
        </w:rPr>
        <w:t>304</w:t>
      </w:r>
      <w:r>
        <w:rPr>
          <w:spacing w:val="29"/>
          <w:sz w:val="18"/>
        </w:rPr>
        <w:t xml:space="preserve"> </w:t>
      </w:r>
      <w:r>
        <w:rPr>
          <w:sz w:val="18"/>
        </w:rPr>
        <w:t>Legislative</w:t>
      </w:r>
      <w:r>
        <w:rPr>
          <w:spacing w:val="28"/>
          <w:sz w:val="18"/>
        </w:rPr>
        <w:t xml:space="preserve"> </w:t>
      </w:r>
      <w:r>
        <w:rPr>
          <w:sz w:val="18"/>
        </w:rPr>
        <w:t>Assembly</w:t>
      </w:r>
      <w:r>
        <w:rPr>
          <w:spacing w:val="31"/>
          <w:sz w:val="18"/>
        </w:rPr>
        <w:t xml:space="preserve"> </w:t>
      </w:r>
      <w:r>
        <w:rPr>
          <w:sz w:val="18"/>
        </w:rPr>
        <w:t>for</w:t>
      </w:r>
      <w:r>
        <w:rPr>
          <w:spacing w:val="27"/>
          <w:sz w:val="18"/>
        </w:rPr>
        <w:t xml:space="preserve"> </w:t>
      </w:r>
      <w:r>
        <w:rPr>
          <w:sz w:val="18"/>
        </w:rPr>
        <w:t>the</w:t>
      </w:r>
      <w:r>
        <w:rPr>
          <w:spacing w:val="26"/>
          <w:sz w:val="18"/>
        </w:rPr>
        <w:t xml:space="preserve"> </w:t>
      </w:r>
      <w:r>
        <w:rPr>
          <w:sz w:val="18"/>
        </w:rPr>
        <w:t>Australian</w:t>
      </w:r>
      <w:r>
        <w:rPr>
          <w:spacing w:val="30"/>
          <w:sz w:val="18"/>
        </w:rPr>
        <w:t xml:space="preserve"> </w:t>
      </w:r>
      <w:r>
        <w:rPr>
          <w:sz w:val="18"/>
        </w:rPr>
        <w:t>Capital</w:t>
      </w:r>
      <w:r>
        <w:rPr>
          <w:spacing w:val="29"/>
          <w:sz w:val="18"/>
        </w:rPr>
        <w:t xml:space="preserve"> </w:t>
      </w:r>
      <w:r>
        <w:rPr>
          <w:sz w:val="18"/>
        </w:rPr>
        <w:t>Territory,</w:t>
      </w:r>
      <w:r>
        <w:rPr>
          <w:spacing w:val="33"/>
          <w:sz w:val="18"/>
        </w:rPr>
        <w:t xml:space="preserve"> </w:t>
      </w:r>
      <w:r>
        <w:rPr>
          <w:i/>
          <w:sz w:val="18"/>
        </w:rPr>
        <w:t>Government</w:t>
      </w:r>
      <w:r>
        <w:rPr>
          <w:i/>
          <w:spacing w:val="30"/>
          <w:sz w:val="18"/>
        </w:rPr>
        <w:t xml:space="preserve"> </w:t>
      </w:r>
      <w:r>
        <w:rPr>
          <w:i/>
          <w:sz w:val="18"/>
        </w:rPr>
        <w:t>Response</w:t>
      </w:r>
      <w:r>
        <w:rPr>
          <w:i/>
          <w:spacing w:val="28"/>
          <w:sz w:val="18"/>
        </w:rPr>
        <w:t xml:space="preserve"> </w:t>
      </w:r>
      <w:r>
        <w:rPr>
          <w:i/>
          <w:sz w:val="18"/>
        </w:rPr>
        <w:t>to</w:t>
      </w:r>
      <w:r>
        <w:rPr>
          <w:i/>
          <w:spacing w:val="28"/>
          <w:sz w:val="18"/>
        </w:rPr>
        <w:t xml:space="preserve"> </w:t>
      </w:r>
      <w:r>
        <w:rPr>
          <w:i/>
          <w:sz w:val="18"/>
        </w:rPr>
        <w:t>the</w:t>
      </w:r>
      <w:r>
        <w:rPr>
          <w:i/>
          <w:spacing w:val="28"/>
          <w:sz w:val="18"/>
        </w:rPr>
        <w:t xml:space="preserve"> </w:t>
      </w:r>
      <w:r>
        <w:rPr>
          <w:i/>
          <w:sz w:val="18"/>
        </w:rPr>
        <w:t>Human</w:t>
      </w:r>
      <w:r>
        <w:rPr>
          <w:i/>
          <w:spacing w:val="30"/>
          <w:sz w:val="18"/>
        </w:rPr>
        <w:t xml:space="preserve"> </w:t>
      </w:r>
      <w:r>
        <w:rPr>
          <w:i/>
          <w:sz w:val="18"/>
        </w:rPr>
        <w:t>Rights</w:t>
      </w:r>
      <w:r>
        <w:rPr>
          <w:i/>
          <w:spacing w:val="29"/>
          <w:sz w:val="18"/>
        </w:rPr>
        <w:t xml:space="preserve"> </w:t>
      </w:r>
      <w:r>
        <w:rPr>
          <w:i/>
          <w:sz w:val="18"/>
        </w:rPr>
        <w:t>Audit</w:t>
      </w:r>
      <w:r>
        <w:rPr>
          <w:i/>
          <w:spacing w:val="28"/>
          <w:sz w:val="18"/>
        </w:rPr>
        <w:t xml:space="preserve"> </w:t>
      </w:r>
      <w:r>
        <w:rPr>
          <w:i/>
          <w:sz w:val="18"/>
        </w:rPr>
        <w:t>on</w:t>
      </w:r>
      <w:r>
        <w:rPr>
          <w:i/>
          <w:spacing w:val="28"/>
          <w:sz w:val="18"/>
        </w:rPr>
        <w:t xml:space="preserve"> </w:t>
      </w:r>
      <w:r>
        <w:rPr>
          <w:i/>
          <w:sz w:val="18"/>
        </w:rPr>
        <w:t xml:space="preserve">the Conditions of Detention of Women at the Alexander Maconochie Centre </w:t>
      </w:r>
      <w:r>
        <w:rPr>
          <w:sz w:val="18"/>
        </w:rPr>
        <w:t>(tabled 15 May 2014)</w:t>
      </w:r>
    </w:p>
    <w:p w14:paraId="7CB26012" w14:textId="77777777" w:rsidR="008A4099" w:rsidRDefault="006A6EE2">
      <w:pPr>
        <w:spacing w:line="202" w:lineRule="exact"/>
        <w:ind w:left="160"/>
        <w:rPr>
          <w:sz w:val="18"/>
        </w:rPr>
      </w:pPr>
      <w:r>
        <w:rPr>
          <w:sz w:val="18"/>
        </w:rPr>
        <w:t>&lt;https://</w:t>
      </w:r>
      <w:hyperlink r:id="rId127">
        <w:r>
          <w:rPr>
            <w:sz w:val="18"/>
          </w:rPr>
          <w:t>www.justice.act.gov.au/</w:t>
        </w:r>
      </w:hyperlink>
      <w:r>
        <w:rPr>
          <w:spacing w:val="38"/>
          <w:sz w:val="18"/>
          <w:u w:val="single"/>
        </w:rPr>
        <w:t xml:space="preserve">  </w:t>
      </w:r>
      <w:r>
        <w:rPr>
          <w:sz w:val="18"/>
        </w:rPr>
        <w:t>data/assets/pdf_file/0003/2077806/Government-</w:t>
      </w:r>
      <w:r>
        <w:rPr>
          <w:spacing w:val="-2"/>
          <w:sz w:val="18"/>
        </w:rPr>
        <w:t>Response.pdf&gt;.</w:t>
      </w:r>
    </w:p>
    <w:p w14:paraId="7CB26013" w14:textId="77777777" w:rsidR="008A4099" w:rsidRDefault="006A6EE2">
      <w:pPr>
        <w:spacing w:before="19"/>
        <w:ind w:left="160"/>
        <w:rPr>
          <w:sz w:val="18"/>
        </w:rPr>
      </w:pPr>
      <w:r>
        <w:rPr>
          <w:sz w:val="18"/>
          <w:vertAlign w:val="superscript"/>
        </w:rPr>
        <w:t>305</w:t>
      </w:r>
      <w:r>
        <w:rPr>
          <w:spacing w:val="-8"/>
          <w:sz w:val="18"/>
        </w:rPr>
        <w:t xml:space="preserve"> </w:t>
      </w:r>
      <w:r>
        <w:rPr>
          <w:sz w:val="18"/>
        </w:rPr>
        <w:t>Watchirs</w:t>
      </w:r>
      <w:r>
        <w:rPr>
          <w:spacing w:val="-7"/>
          <w:sz w:val="18"/>
        </w:rPr>
        <w:t xml:space="preserve"> </w:t>
      </w:r>
      <w:r>
        <w:rPr>
          <w:sz w:val="18"/>
        </w:rPr>
        <w:t>et</w:t>
      </w:r>
      <w:r>
        <w:rPr>
          <w:spacing w:val="-8"/>
          <w:sz w:val="18"/>
        </w:rPr>
        <w:t xml:space="preserve"> </w:t>
      </w:r>
      <w:r>
        <w:rPr>
          <w:sz w:val="18"/>
        </w:rPr>
        <w:t>al,</w:t>
      </w:r>
      <w:r>
        <w:rPr>
          <w:spacing w:val="-6"/>
          <w:sz w:val="18"/>
        </w:rPr>
        <w:t xml:space="preserve"> </w:t>
      </w:r>
      <w:r>
        <w:rPr>
          <w:i/>
          <w:sz w:val="18"/>
        </w:rPr>
        <w:t>Human</w:t>
      </w:r>
      <w:r>
        <w:rPr>
          <w:i/>
          <w:spacing w:val="-6"/>
          <w:sz w:val="18"/>
        </w:rPr>
        <w:t xml:space="preserve"> </w:t>
      </w:r>
      <w:r>
        <w:rPr>
          <w:i/>
          <w:sz w:val="18"/>
        </w:rPr>
        <w:t>Rights</w:t>
      </w:r>
      <w:r>
        <w:rPr>
          <w:i/>
          <w:spacing w:val="-8"/>
          <w:sz w:val="18"/>
        </w:rPr>
        <w:t xml:space="preserve"> </w:t>
      </w:r>
      <w:r>
        <w:rPr>
          <w:i/>
          <w:sz w:val="18"/>
        </w:rPr>
        <w:t>Audit</w:t>
      </w:r>
      <w:r>
        <w:rPr>
          <w:i/>
          <w:spacing w:val="-7"/>
          <w:sz w:val="18"/>
        </w:rPr>
        <w:t xml:space="preserve"> </w:t>
      </w:r>
      <w:r>
        <w:rPr>
          <w:i/>
          <w:sz w:val="18"/>
        </w:rPr>
        <w:t>on</w:t>
      </w:r>
      <w:r>
        <w:rPr>
          <w:i/>
          <w:spacing w:val="-6"/>
          <w:sz w:val="18"/>
        </w:rPr>
        <w:t xml:space="preserve"> </w:t>
      </w:r>
      <w:r>
        <w:rPr>
          <w:i/>
          <w:sz w:val="18"/>
        </w:rPr>
        <w:t>the</w:t>
      </w:r>
      <w:r>
        <w:rPr>
          <w:i/>
          <w:spacing w:val="-9"/>
          <w:sz w:val="18"/>
        </w:rPr>
        <w:t xml:space="preserve"> </w:t>
      </w:r>
      <w:r>
        <w:rPr>
          <w:i/>
          <w:sz w:val="18"/>
        </w:rPr>
        <w:t>Conditions</w:t>
      </w:r>
      <w:r>
        <w:rPr>
          <w:i/>
          <w:spacing w:val="-10"/>
          <w:sz w:val="18"/>
        </w:rPr>
        <w:t xml:space="preserve"> </w:t>
      </w:r>
      <w:r>
        <w:rPr>
          <w:i/>
          <w:sz w:val="18"/>
        </w:rPr>
        <w:t>of</w:t>
      </w:r>
      <w:r>
        <w:rPr>
          <w:i/>
          <w:spacing w:val="-7"/>
          <w:sz w:val="18"/>
        </w:rPr>
        <w:t xml:space="preserve"> </w:t>
      </w:r>
      <w:r>
        <w:rPr>
          <w:i/>
          <w:sz w:val="18"/>
        </w:rPr>
        <w:t>Detention</w:t>
      </w:r>
      <w:r>
        <w:rPr>
          <w:i/>
          <w:spacing w:val="-9"/>
          <w:sz w:val="18"/>
        </w:rPr>
        <w:t xml:space="preserve"> </w:t>
      </w:r>
      <w:r>
        <w:rPr>
          <w:i/>
          <w:sz w:val="18"/>
        </w:rPr>
        <w:t>of</w:t>
      </w:r>
      <w:r>
        <w:rPr>
          <w:i/>
          <w:spacing w:val="-7"/>
          <w:sz w:val="18"/>
        </w:rPr>
        <w:t xml:space="preserve"> </w:t>
      </w:r>
      <w:r>
        <w:rPr>
          <w:i/>
          <w:sz w:val="18"/>
        </w:rPr>
        <w:t>Women</w:t>
      </w:r>
      <w:r>
        <w:rPr>
          <w:i/>
          <w:spacing w:val="-6"/>
          <w:sz w:val="18"/>
        </w:rPr>
        <w:t xml:space="preserve"> </w:t>
      </w:r>
      <w:r>
        <w:rPr>
          <w:i/>
          <w:sz w:val="18"/>
        </w:rPr>
        <w:t>at</w:t>
      </w:r>
      <w:r>
        <w:rPr>
          <w:i/>
          <w:spacing w:val="-10"/>
          <w:sz w:val="18"/>
        </w:rPr>
        <w:t xml:space="preserve"> </w:t>
      </w:r>
      <w:r>
        <w:rPr>
          <w:i/>
          <w:sz w:val="18"/>
        </w:rPr>
        <w:t>the</w:t>
      </w:r>
      <w:r>
        <w:rPr>
          <w:i/>
          <w:spacing w:val="-8"/>
          <w:sz w:val="18"/>
        </w:rPr>
        <w:t xml:space="preserve"> </w:t>
      </w:r>
      <w:r>
        <w:rPr>
          <w:i/>
          <w:sz w:val="18"/>
        </w:rPr>
        <w:t>Alexander</w:t>
      </w:r>
      <w:r>
        <w:rPr>
          <w:i/>
          <w:spacing w:val="-8"/>
          <w:sz w:val="18"/>
        </w:rPr>
        <w:t xml:space="preserve"> </w:t>
      </w:r>
      <w:r>
        <w:rPr>
          <w:i/>
          <w:sz w:val="18"/>
        </w:rPr>
        <w:t>Maconochie</w:t>
      </w:r>
      <w:r>
        <w:rPr>
          <w:i/>
          <w:spacing w:val="-8"/>
          <w:sz w:val="18"/>
        </w:rPr>
        <w:t xml:space="preserve"> </w:t>
      </w:r>
      <w:r>
        <w:rPr>
          <w:i/>
          <w:sz w:val="18"/>
        </w:rPr>
        <w:t>Centre</w:t>
      </w:r>
      <w:r>
        <w:rPr>
          <w:i/>
          <w:spacing w:val="-2"/>
          <w:sz w:val="18"/>
        </w:rPr>
        <w:t xml:space="preserve"> </w:t>
      </w:r>
      <w:r>
        <w:rPr>
          <w:spacing w:val="-2"/>
          <w:sz w:val="18"/>
        </w:rPr>
        <w:t>[6.220].</w:t>
      </w:r>
    </w:p>
    <w:p w14:paraId="7CB26014" w14:textId="77777777" w:rsidR="008A4099" w:rsidRDefault="006A6EE2">
      <w:pPr>
        <w:spacing w:before="23"/>
        <w:ind w:left="160"/>
        <w:rPr>
          <w:sz w:val="18"/>
        </w:rPr>
      </w:pPr>
      <w:r>
        <w:rPr>
          <w:w w:val="105"/>
          <w:sz w:val="18"/>
          <w:vertAlign w:val="superscript"/>
        </w:rPr>
        <w:t>306</w:t>
      </w:r>
      <w:r>
        <w:rPr>
          <w:spacing w:val="1"/>
          <w:w w:val="105"/>
          <w:sz w:val="18"/>
        </w:rPr>
        <w:t xml:space="preserve"> </w:t>
      </w:r>
      <w:r>
        <w:rPr>
          <w:spacing w:val="-2"/>
          <w:w w:val="105"/>
          <w:sz w:val="18"/>
        </w:rPr>
        <w:t>Ibid.</w:t>
      </w:r>
    </w:p>
    <w:p w14:paraId="7CB26015" w14:textId="77777777" w:rsidR="008A4099" w:rsidRDefault="008A4099">
      <w:pPr>
        <w:rPr>
          <w:sz w:val="18"/>
        </w:rPr>
        <w:sectPr w:rsidR="008A4099" w:rsidSect="00D43B2D">
          <w:pgSz w:w="11910" w:h="16840"/>
          <w:pgMar w:top="980" w:right="760" w:bottom="940" w:left="1280" w:header="718" w:footer="753" w:gutter="0"/>
          <w:cols w:space="720"/>
        </w:sectPr>
      </w:pPr>
    </w:p>
    <w:p w14:paraId="7CB26016" w14:textId="77777777" w:rsidR="008A4099" w:rsidRDefault="008A4099">
      <w:pPr>
        <w:pStyle w:val="BodyText"/>
        <w:spacing w:before="194"/>
      </w:pPr>
    </w:p>
    <w:p w14:paraId="7CB26017" w14:textId="77777777" w:rsidR="008A4099" w:rsidRDefault="006A6EE2">
      <w:pPr>
        <w:pStyle w:val="BodyText"/>
        <w:spacing w:line="242" w:lineRule="auto"/>
        <w:ind w:left="160" w:right="673"/>
        <w:jc w:val="both"/>
        <w:rPr>
          <w:sz w:val="13"/>
        </w:rPr>
      </w:pPr>
      <w:r>
        <w:t>except, in limited circumstances, and if the discrimination is reasonable and proportionate. From 14 December 2022, further restrictions to religious exceptions came</w:t>
      </w:r>
      <w:r>
        <w:rPr>
          <w:spacing w:val="-1"/>
        </w:rPr>
        <w:t xml:space="preserve"> </w:t>
      </w:r>
      <w:r>
        <w:t>into effect: when</w:t>
      </w:r>
      <w:r>
        <w:rPr>
          <w:spacing w:val="-1"/>
        </w:rPr>
        <w:t xml:space="preserve"> </w:t>
      </w:r>
      <w:r>
        <w:t>providing goods or services funded by the Victorian Government, religious bodies are only able to discriminate against people based on their religious belief; they are not able to discriminate based on other personal characteristics.</w:t>
      </w:r>
      <w:r>
        <w:rPr>
          <w:spacing w:val="-14"/>
        </w:rPr>
        <w:t xml:space="preserve"> </w:t>
      </w:r>
      <w:r>
        <w:t>These</w:t>
      </w:r>
      <w:r>
        <w:rPr>
          <w:spacing w:val="-6"/>
        </w:rPr>
        <w:t xml:space="preserve"> </w:t>
      </w:r>
      <w:r>
        <w:t>reforms</w:t>
      </w:r>
      <w:r>
        <w:rPr>
          <w:spacing w:val="-3"/>
        </w:rPr>
        <w:t xml:space="preserve"> </w:t>
      </w:r>
      <w:r>
        <w:t>were</w:t>
      </w:r>
      <w:r>
        <w:rPr>
          <w:spacing w:val="-7"/>
        </w:rPr>
        <w:t xml:space="preserve"> </w:t>
      </w:r>
      <w:r>
        <w:t>intended</w:t>
      </w:r>
      <w:r>
        <w:rPr>
          <w:spacing w:val="-7"/>
        </w:rPr>
        <w:t xml:space="preserve"> </w:t>
      </w:r>
      <w:r>
        <w:t>to</w:t>
      </w:r>
      <w:r>
        <w:rPr>
          <w:spacing w:val="-7"/>
        </w:rPr>
        <w:t xml:space="preserve"> </w:t>
      </w:r>
      <w:r>
        <w:t>narrow</w:t>
      </w:r>
      <w:r>
        <w:rPr>
          <w:spacing w:val="-14"/>
        </w:rPr>
        <w:t xml:space="preserve"> </w:t>
      </w:r>
      <w:r>
        <w:t>the</w:t>
      </w:r>
      <w:r>
        <w:rPr>
          <w:spacing w:val="-4"/>
        </w:rPr>
        <w:t xml:space="preserve"> </w:t>
      </w:r>
      <w:r>
        <w:t>broad</w:t>
      </w:r>
      <w:r>
        <w:rPr>
          <w:spacing w:val="-7"/>
        </w:rPr>
        <w:t xml:space="preserve"> </w:t>
      </w:r>
      <w:r>
        <w:t>religious</w:t>
      </w:r>
      <w:r>
        <w:rPr>
          <w:spacing w:val="-4"/>
        </w:rPr>
        <w:t xml:space="preserve"> </w:t>
      </w:r>
      <w:r>
        <w:t>freedom</w:t>
      </w:r>
      <w:r>
        <w:rPr>
          <w:spacing w:val="-4"/>
        </w:rPr>
        <w:t xml:space="preserve"> </w:t>
      </w:r>
      <w:r>
        <w:t>exceptions</w:t>
      </w:r>
      <w:r>
        <w:rPr>
          <w:spacing w:val="-4"/>
        </w:rPr>
        <w:t xml:space="preserve"> </w:t>
      </w:r>
      <w:r>
        <w:t>to</w:t>
      </w:r>
      <w:r>
        <w:rPr>
          <w:spacing w:val="-5"/>
        </w:rPr>
        <w:t xml:space="preserve"> </w:t>
      </w:r>
      <w:r>
        <w:t xml:space="preserve">equal opportunity obligations previously available under the </w:t>
      </w:r>
      <w:r>
        <w:rPr>
          <w:i/>
        </w:rPr>
        <w:t xml:space="preserve">Equal Opportunity Act 2010 </w:t>
      </w:r>
      <w:r>
        <w:t>(Vic).</w:t>
      </w:r>
      <w:r>
        <w:rPr>
          <w:vertAlign w:val="superscript"/>
        </w:rPr>
        <w:t>307</w:t>
      </w:r>
      <w:r>
        <w:t xml:space="preserve"> The statement</w:t>
      </w:r>
      <w:r>
        <w:rPr>
          <w:spacing w:val="-1"/>
        </w:rPr>
        <w:t xml:space="preserve"> </w:t>
      </w:r>
      <w:r>
        <w:t>of</w:t>
      </w:r>
      <w:r>
        <w:rPr>
          <w:spacing w:val="-2"/>
        </w:rPr>
        <w:t xml:space="preserve"> </w:t>
      </w:r>
      <w:r>
        <w:t>compatibility</w:t>
      </w:r>
      <w:r>
        <w:rPr>
          <w:spacing w:val="-5"/>
        </w:rPr>
        <w:t xml:space="preserve"> </w:t>
      </w:r>
      <w:r>
        <w:t>addressed</w:t>
      </w:r>
      <w:r>
        <w:rPr>
          <w:spacing w:val="-2"/>
        </w:rPr>
        <w:t xml:space="preserve"> </w:t>
      </w:r>
      <w:r>
        <w:t>the</w:t>
      </w:r>
      <w:r>
        <w:rPr>
          <w:spacing w:val="-2"/>
        </w:rPr>
        <w:t xml:space="preserve"> </w:t>
      </w:r>
      <w:r>
        <w:t>human</w:t>
      </w:r>
      <w:r>
        <w:rPr>
          <w:spacing w:val="-2"/>
        </w:rPr>
        <w:t xml:space="preserve"> </w:t>
      </w:r>
      <w:r>
        <w:t>rights</w:t>
      </w:r>
      <w:r>
        <w:rPr>
          <w:spacing w:val="-4"/>
        </w:rPr>
        <w:t xml:space="preserve"> </w:t>
      </w:r>
      <w:r>
        <w:t>issues</w:t>
      </w:r>
      <w:r>
        <w:rPr>
          <w:spacing w:val="-2"/>
        </w:rPr>
        <w:t xml:space="preserve"> </w:t>
      </w:r>
      <w:r>
        <w:t>raised</w:t>
      </w:r>
      <w:r>
        <w:rPr>
          <w:spacing w:val="-2"/>
        </w:rPr>
        <w:t xml:space="preserve"> </w:t>
      </w:r>
      <w:r>
        <w:t>by</w:t>
      </w:r>
      <w:r>
        <w:rPr>
          <w:spacing w:val="-2"/>
        </w:rPr>
        <w:t xml:space="preserve"> </w:t>
      </w:r>
      <w:r>
        <w:t>the</w:t>
      </w:r>
      <w:r>
        <w:rPr>
          <w:spacing w:val="-2"/>
        </w:rPr>
        <w:t xml:space="preserve"> </w:t>
      </w:r>
      <w:r>
        <w:t>reforms</w:t>
      </w:r>
      <w:r>
        <w:rPr>
          <w:spacing w:val="-2"/>
        </w:rPr>
        <w:t xml:space="preserve"> </w:t>
      </w:r>
      <w:r>
        <w:t>and</w:t>
      </w:r>
      <w:r>
        <w:rPr>
          <w:spacing w:val="-2"/>
        </w:rPr>
        <w:t xml:space="preserve"> </w:t>
      </w:r>
      <w:r>
        <w:t>the</w:t>
      </w:r>
      <w:r>
        <w:rPr>
          <w:spacing w:val="-2"/>
        </w:rPr>
        <w:t xml:space="preserve"> </w:t>
      </w:r>
      <w:r>
        <w:t>appropriate limitations to those rights based on the Charter. It ‘narrow[ed] the tests for discrimination on the basis of religious belief or activity, to ensure that this limitation does not extend further than is reasonably necessary to protect the right to freedom of religion’.</w:t>
      </w:r>
      <w:r>
        <w:rPr>
          <w:position w:val="7"/>
          <w:sz w:val="13"/>
        </w:rPr>
        <w:t>308</w:t>
      </w:r>
    </w:p>
    <w:p w14:paraId="7CB26018" w14:textId="77777777" w:rsidR="008A4099" w:rsidRDefault="006A6EE2">
      <w:pPr>
        <w:pStyle w:val="Heading4"/>
        <w:spacing w:before="235"/>
        <w:jc w:val="both"/>
      </w:pPr>
      <w:r>
        <w:t>Human</w:t>
      </w:r>
      <w:r>
        <w:rPr>
          <w:spacing w:val="-3"/>
        </w:rPr>
        <w:t xml:space="preserve"> </w:t>
      </w:r>
      <w:r>
        <w:t>rights</w:t>
      </w:r>
      <w:r>
        <w:rPr>
          <w:spacing w:val="-3"/>
        </w:rPr>
        <w:t xml:space="preserve"> </w:t>
      </w:r>
      <w:r>
        <w:t>enactment</w:t>
      </w:r>
      <w:r>
        <w:rPr>
          <w:spacing w:val="-4"/>
        </w:rPr>
        <w:t xml:space="preserve"> </w:t>
      </w:r>
      <w:r>
        <w:t>in</w:t>
      </w:r>
      <w:r>
        <w:rPr>
          <w:spacing w:val="-3"/>
        </w:rPr>
        <w:t xml:space="preserve"> </w:t>
      </w:r>
      <w:r>
        <w:t>judicial</w:t>
      </w:r>
      <w:r>
        <w:rPr>
          <w:spacing w:val="-2"/>
        </w:rPr>
        <w:t xml:space="preserve"> reasoning</w:t>
      </w:r>
    </w:p>
    <w:p w14:paraId="7CB26019" w14:textId="77777777" w:rsidR="008A4099" w:rsidRDefault="006A6EE2">
      <w:pPr>
        <w:pStyle w:val="ListParagraph"/>
        <w:numPr>
          <w:ilvl w:val="2"/>
          <w:numId w:val="6"/>
        </w:numPr>
        <w:tabs>
          <w:tab w:val="left" w:pos="879"/>
        </w:tabs>
        <w:spacing w:before="261"/>
        <w:ind w:right="677" w:firstLine="0"/>
        <w:jc w:val="both"/>
      </w:pPr>
      <w:r>
        <w:t>A further feature of jurisdictions with human rights enactments is the identifiable role that human rights considerations play in judicial reasoning. The clear nature of the legislative statement about applicable human rights principles in these jurisdictions provides a framework for human rights values to be brought to bear in a coherent and transparent manner.</w:t>
      </w:r>
    </w:p>
    <w:p w14:paraId="7CB2601A" w14:textId="77777777" w:rsidR="008A4099" w:rsidRDefault="006A6EE2">
      <w:pPr>
        <w:pStyle w:val="ListParagraph"/>
        <w:numPr>
          <w:ilvl w:val="2"/>
          <w:numId w:val="6"/>
        </w:numPr>
        <w:tabs>
          <w:tab w:val="left" w:pos="879"/>
        </w:tabs>
        <w:spacing w:before="216"/>
        <w:ind w:right="674" w:firstLine="0"/>
        <w:jc w:val="both"/>
      </w:pPr>
      <w:r>
        <w:t xml:space="preserve">For example, in </w:t>
      </w:r>
      <w:r>
        <w:rPr>
          <w:i/>
        </w:rPr>
        <w:t>Loielo v Gile</w:t>
      </w:r>
      <w:r>
        <w:t>s</w:t>
      </w:r>
      <w:r>
        <w:rPr>
          <w:position w:val="7"/>
          <w:sz w:val="13"/>
        </w:rPr>
        <w:t>309</w:t>
      </w:r>
      <w:r>
        <w:rPr>
          <w:spacing w:val="40"/>
          <w:position w:val="7"/>
          <w:sz w:val="13"/>
        </w:rPr>
        <w:t xml:space="preserve"> </w:t>
      </w:r>
      <w:r>
        <w:t>the Supreme Court of Victoria reviewed the legitimacy of public</w:t>
      </w:r>
      <w:r>
        <w:rPr>
          <w:spacing w:val="-7"/>
        </w:rPr>
        <w:t xml:space="preserve"> </w:t>
      </w:r>
      <w:r>
        <w:t>health</w:t>
      </w:r>
      <w:r>
        <w:rPr>
          <w:spacing w:val="-7"/>
        </w:rPr>
        <w:t xml:space="preserve"> </w:t>
      </w:r>
      <w:r>
        <w:t>directions</w:t>
      </w:r>
      <w:r>
        <w:rPr>
          <w:spacing w:val="-7"/>
        </w:rPr>
        <w:t xml:space="preserve"> </w:t>
      </w:r>
      <w:r>
        <w:t>imposing</w:t>
      </w:r>
      <w:r>
        <w:rPr>
          <w:spacing w:val="-7"/>
        </w:rPr>
        <w:t xml:space="preserve"> </w:t>
      </w:r>
      <w:r>
        <w:t>a</w:t>
      </w:r>
      <w:r>
        <w:rPr>
          <w:spacing w:val="-7"/>
        </w:rPr>
        <w:t xml:space="preserve"> </w:t>
      </w:r>
      <w:r>
        <w:t>9:00</w:t>
      </w:r>
      <w:r>
        <w:rPr>
          <w:spacing w:val="-2"/>
        </w:rPr>
        <w:t xml:space="preserve"> </w:t>
      </w:r>
      <w:r>
        <w:t>pm</w:t>
      </w:r>
      <w:r>
        <w:rPr>
          <w:spacing w:val="-6"/>
        </w:rPr>
        <w:t xml:space="preserve"> </w:t>
      </w:r>
      <w:r>
        <w:t>to</w:t>
      </w:r>
      <w:r>
        <w:rPr>
          <w:spacing w:val="-7"/>
        </w:rPr>
        <w:t xml:space="preserve"> </w:t>
      </w:r>
      <w:r>
        <w:t>5:00</w:t>
      </w:r>
      <w:r>
        <w:rPr>
          <w:spacing w:val="-7"/>
        </w:rPr>
        <w:t xml:space="preserve"> </w:t>
      </w:r>
      <w:r>
        <w:t>am</w:t>
      </w:r>
      <w:r>
        <w:rPr>
          <w:spacing w:val="-8"/>
        </w:rPr>
        <w:t xml:space="preserve"> </w:t>
      </w:r>
      <w:r>
        <w:t>curfew</w:t>
      </w:r>
      <w:r>
        <w:rPr>
          <w:spacing w:val="-5"/>
        </w:rPr>
        <w:t xml:space="preserve"> </w:t>
      </w:r>
      <w:r>
        <w:t>on</w:t>
      </w:r>
      <w:r>
        <w:rPr>
          <w:spacing w:val="-7"/>
        </w:rPr>
        <w:t xml:space="preserve"> </w:t>
      </w:r>
      <w:r>
        <w:t>all</w:t>
      </w:r>
      <w:r>
        <w:rPr>
          <w:spacing w:val="-6"/>
        </w:rPr>
        <w:t xml:space="preserve"> </w:t>
      </w:r>
      <w:r>
        <w:t>residents</w:t>
      </w:r>
      <w:r>
        <w:rPr>
          <w:spacing w:val="-6"/>
        </w:rPr>
        <w:t xml:space="preserve"> </w:t>
      </w:r>
      <w:r>
        <w:t>of</w:t>
      </w:r>
      <w:r>
        <w:rPr>
          <w:spacing w:val="-6"/>
        </w:rPr>
        <w:t xml:space="preserve"> </w:t>
      </w:r>
      <w:r>
        <w:t>greater</w:t>
      </w:r>
      <w:r>
        <w:rPr>
          <w:spacing w:val="-6"/>
        </w:rPr>
        <w:t xml:space="preserve"> </w:t>
      </w:r>
      <w:r>
        <w:t>Melbourne</w:t>
      </w:r>
      <w:r>
        <w:rPr>
          <w:spacing w:val="-4"/>
        </w:rPr>
        <w:t xml:space="preserve"> </w:t>
      </w:r>
      <w:r>
        <w:t>as part of the COVID-19 response for their compliance with Victorian Charter obligations. The Court identified</w:t>
      </w:r>
      <w:r>
        <w:rPr>
          <w:spacing w:val="-7"/>
        </w:rPr>
        <w:t xml:space="preserve"> </w:t>
      </w:r>
      <w:r>
        <w:t>the</w:t>
      </w:r>
      <w:r>
        <w:rPr>
          <w:spacing w:val="-7"/>
        </w:rPr>
        <w:t xml:space="preserve"> </w:t>
      </w:r>
      <w:r>
        <w:t>principles</w:t>
      </w:r>
      <w:r>
        <w:rPr>
          <w:spacing w:val="-6"/>
        </w:rPr>
        <w:t xml:space="preserve"> </w:t>
      </w:r>
      <w:r>
        <w:t>that</w:t>
      </w:r>
      <w:r>
        <w:rPr>
          <w:spacing w:val="-6"/>
        </w:rPr>
        <w:t xml:space="preserve"> </w:t>
      </w:r>
      <w:r>
        <w:t>decision-makers</w:t>
      </w:r>
      <w:r>
        <w:rPr>
          <w:spacing w:val="-6"/>
        </w:rPr>
        <w:t xml:space="preserve"> </w:t>
      </w:r>
      <w:r>
        <w:t>must</w:t>
      </w:r>
      <w:r>
        <w:rPr>
          <w:spacing w:val="-6"/>
        </w:rPr>
        <w:t xml:space="preserve"> </w:t>
      </w:r>
      <w:r>
        <w:t>apply</w:t>
      </w:r>
      <w:r>
        <w:rPr>
          <w:spacing w:val="-7"/>
        </w:rPr>
        <w:t xml:space="preserve"> </w:t>
      </w:r>
      <w:r>
        <w:t>in</w:t>
      </w:r>
      <w:r>
        <w:rPr>
          <w:spacing w:val="-10"/>
        </w:rPr>
        <w:t xml:space="preserve"> </w:t>
      </w:r>
      <w:r>
        <w:t>making</w:t>
      </w:r>
      <w:r>
        <w:rPr>
          <w:spacing w:val="-7"/>
        </w:rPr>
        <w:t xml:space="preserve"> </w:t>
      </w:r>
      <w:r>
        <w:t>such</w:t>
      </w:r>
      <w:r>
        <w:rPr>
          <w:spacing w:val="-7"/>
        </w:rPr>
        <w:t xml:space="preserve"> </w:t>
      </w:r>
      <w:r>
        <w:t>orders,</w:t>
      </w:r>
      <w:r>
        <w:rPr>
          <w:spacing w:val="-6"/>
        </w:rPr>
        <w:t xml:space="preserve"> </w:t>
      </w:r>
      <w:r>
        <w:t>holding</w:t>
      </w:r>
      <w:r>
        <w:rPr>
          <w:spacing w:val="-7"/>
        </w:rPr>
        <w:t xml:space="preserve"> </w:t>
      </w:r>
      <w:r>
        <w:t>that</w:t>
      </w:r>
      <w:r>
        <w:rPr>
          <w:spacing w:val="-6"/>
        </w:rPr>
        <w:t xml:space="preserve"> </w:t>
      </w:r>
      <w:r>
        <w:t>they</w:t>
      </w:r>
      <w:r>
        <w:rPr>
          <w:spacing w:val="-9"/>
        </w:rPr>
        <w:t xml:space="preserve"> </w:t>
      </w:r>
      <w:r>
        <w:t>must assess whether the restrictions are a proportionate response to COVID-19 risks, having regard to the human rights affected and the broader public interest, and that they must assess those risks for each individual decision made, even if it is simply to extend existing restrictions.</w:t>
      </w:r>
    </w:p>
    <w:p w14:paraId="7CB2601B" w14:textId="77777777" w:rsidR="008A4099" w:rsidRDefault="006A6EE2">
      <w:pPr>
        <w:pStyle w:val="BodyText"/>
        <w:spacing w:before="236" w:line="280" w:lineRule="auto"/>
        <w:ind w:left="868" w:right="1337"/>
        <w:jc w:val="both"/>
      </w:pPr>
      <w:r>
        <w:t>[T]he human right of freedom of movement was being limited significantly for the purpose of protecting public health … proportionality analysis [required consideration of] whether there was any less restrictive means reasonably available of achieving the public health objective. Thus, it would be insufficient if [the decision-maker] had decided to continue the Curfew merely because it was already in place.</w:t>
      </w:r>
      <w:r>
        <w:rPr>
          <w:vertAlign w:val="superscript"/>
        </w:rPr>
        <w:t>310</w:t>
      </w:r>
    </w:p>
    <w:p w14:paraId="7CB2601C" w14:textId="77777777" w:rsidR="008A4099" w:rsidRDefault="006A6EE2">
      <w:pPr>
        <w:pStyle w:val="ListParagraph"/>
        <w:numPr>
          <w:ilvl w:val="2"/>
          <w:numId w:val="6"/>
        </w:numPr>
        <w:tabs>
          <w:tab w:val="left" w:pos="879"/>
        </w:tabs>
        <w:spacing w:before="235" w:line="244" w:lineRule="auto"/>
        <w:ind w:right="677" w:firstLine="0"/>
        <w:jc w:val="both"/>
      </w:pPr>
      <w:r>
        <w:t>In this instance, Ginnane J was satisfied that the Acting Chief Health Officer (‘ACHO’) had given</w:t>
      </w:r>
      <w:r>
        <w:rPr>
          <w:spacing w:val="-9"/>
        </w:rPr>
        <w:t xml:space="preserve"> </w:t>
      </w:r>
      <w:r>
        <w:t>meaningful</w:t>
      </w:r>
      <w:r>
        <w:rPr>
          <w:spacing w:val="-6"/>
        </w:rPr>
        <w:t xml:space="preserve"> </w:t>
      </w:r>
      <w:r>
        <w:t>consideration</w:t>
      </w:r>
      <w:r>
        <w:rPr>
          <w:spacing w:val="-10"/>
        </w:rPr>
        <w:t xml:space="preserve"> </w:t>
      </w:r>
      <w:r>
        <w:t>to</w:t>
      </w:r>
      <w:r>
        <w:rPr>
          <w:spacing w:val="-7"/>
        </w:rPr>
        <w:t xml:space="preserve"> </w:t>
      </w:r>
      <w:r>
        <w:t>human</w:t>
      </w:r>
      <w:r>
        <w:rPr>
          <w:spacing w:val="-9"/>
        </w:rPr>
        <w:t xml:space="preserve"> </w:t>
      </w:r>
      <w:r>
        <w:t>rights</w:t>
      </w:r>
      <w:r>
        <w:rPr>
          <w:spacing w:val="-6"/>
        </w:rPr>
        <w:t xml:space="preserve"> </w:t>
      </w:r>
      <w:r>
        <w:t>principles</w:t>
      </w:r>
      <w:r>
        <w:rPr>
          <w:spacing w:val="-6"/>
        </w:rPr>
        <w:t xml:space="preserve"> </w:t>
      </w:r>
      <w:r>
        <w:t>by</w:t>
      </w:r>
      <w:r>
        <w:rPr>
          <w:spacing w:val="-7"/>
        </w:rPr>
        <w:t xml:space="preserve"> </w:t>
      </w:r>
      <w:r>
        <w:t>weighing</w:t>
      </w:r>
      <w:r>
        <w:rPr>
          <w:spacing w:val="-10"/>
        </w:rPr>
        <w:t xml:space="preserve"> </w:t>
      </w:r>
      <w:r>
        <w:t>the</w:t>
      </w:r>
      <w:r>
        <w:rPr>
          <w:spacing w:val="-7"/>
        </w:rPr>
        <w:t xml:space="preserve"> </w:t>
      </w:r>
      <w:r>
        <w:t>relevant</w:t>
      </w:r>
      <w:r>
        <w:rPr>
          <w:spacing w:val="-6"/>
        </w:rPr>
        <w:t xml:space="preserve"> </w:t>
      </w:r>
      <w:r>
        <w:t>considerations</w:t>
      </w:r>
      <w:r>
        <w:rPr>
          <w:spacing w:val="-6"/>
        </w:rPr>
        <w:t xml:space="preserve"> </w:t>
      </w:r>
      <w:r>
        <w:t>and making</w:t>
      </w:r>
      <w:r>
        <w:rPr>
          <w:spacing w:val="-10"/>
        </w:rPr>
        <w:t xml:space="preserve"> </w:t>
      </w:r>
      <w:r>
        <w:t>the</w:t>
      </w:r>
      <w:r>
        <w:rPr>
          <w:spacing w:val="-7"/>
        </w:rPr>
        <w:t xml:space="preserve"> </w:t>
      </w:r>
      <w:r>
        <w:t>curfew</w:t>
      </w:r>
      <w:r>
        <w:rPr>
          <w:spacing w:val="-8"/>
        </w:rPr>
        <w:t xml:space="preserve"> </w:t>
      </w:r>
      <w:r>
        <w:t>direction</w:t>
      </w:r>
      <w:r>
        <w:rPr>
          <w:spacing w:val="-7"/>
        </w:rPr>
        <w:t xml:space="preserve"> </w:t>
      </w:r>
      <w:r>
        <w:t>only</w:t>
      </w:r>
      <w:r>
        <w:rPr>
          <w:spacing w:val="-7"/>
        </w:rPr>
        <w:t xml:space="preserve"> </w:t>
      </w:r>
      <w:r>
        <w:t>after</w:t>
      </w:r>
      <w:r>
        <w:rPr>
          <w:spacing w:val="-8"/>
        </w:rPr>
        <w:t xml:space="preserve"> </w:t>
      </w:r>
      <w:r>
        <w:t>receiving</w:t>
      </w:r>
      <w:r>
        <w:rPr>
          <w:spacing w:val="-10"/>
        </w:rPr>
        <w:t xml:space="preserve"> </w:t>
      </w:r>
      <w:r>
        <w:t>‘legal</w:t>
      </w:r>
      <w:r>
        <w:rPr>
          <w:spacing w:val="-8"/>
        </w:rPr>
        <w:t xml:space="preserve"> </w:t>
      </w:r>
      <w:r>
        <w:t>advice</w:t>
      </w:r>
      <w:r>
        <w:rPr>
          <w:spacing w:val="-3"/>
        </w:rPr>
        <w:t xml:space="preserve"> </w:t>
      </w:r>
      <w:r>
        <w:t>from</w:t>
      </w:r>
      <w:r>
        <w:rPr>
          <w:spacing w:val="-6"/>
        </w:rPr>
        <w:t xml:space="preserve"> </w:t>
      </w:r>
      <w:r>
        <w:t>members</w:t>
      </w:r>
      <w:r>
        <w:rPr>
          <w:spacing w:val="-9"/>
        </w:rPr>
        <w:t xml:space="preserve"> </w:t>
      </w:r>
      <w:r>
        <w:t>of</w:t>
      </w:r>
      <w:r>
        <w:rPr>
          <w:spacing w:val="-9"/>
        </w:rPr>
        <w:t xml:space="preserve"> </w:t>
      </w:r>
      <w:r>
        <w:t>the</w:t>
      </w:r>
      <w:r>
        <w:rPr>
          <w:spacing w:val="-7"/>
        </w:rPr>
        <w:t xml:space="preserve"> </w:t>
      </w:r>
      <w:r>
        <w:t>Department’s</w:t>
      </w:r>
      <w:r>
        <w:rPr>
          <w:spacing w:val="-9"/>
        </w:rPr>
        <w:t xml:space="preserve"> </w:t>
      </w:r>
      <w:r>
        <w:t>legal team</w:t>
      </w:r>
      <w:r>
        <w:rPr>
          <w:spacing w:val="-6"/>
        </w:rPr>
        <w:t xml:space="preserve"> </w:t>
      </w:r>
      <w:r>
        <w:t>about</w:t>
      </w:r>
      <w:r>
        <w:rPr>
          <w:spacing w:val="-6"/>
        </w:rPr>
        <w:t xml:space="preserve"> </w:t>
      </w:r>
      <w:r>
        <w:t>the</w:t>
      </w:r>
      <w:r>
        <w:rPr>
          <w:spacing w:val="-9"/>
        </w:rPr>
        <w:t xml:space="preserve"> </w:t>
      </w:r>
      <w:r>
        <w:t>requirements</w:t>
      </w:r>
      <w:r>
        <w:rPr>
          <w:spacing w:val="-7"/>
        </w:rPr>
        <w:t xml:space="preserve"> </w:t>
      </w:r>
      <w:r>
        <w:t>of</w:t>
      </w:r>
      <w:r>
        <w:rPr>
          <w:spacing w:val="-6"/>
        </w:rPr>
        <w:t xml:space="preserve"> </w:t>
      </w:r>
      <w:r>
        <w:t>the</w:t>
      </w:r>
      <w:r>
        <w:rPr>
          <w:spacing w:val="-7"/>
        </w:rPr>
        <w:t xml:space="preserve"> </w:t>
      </w:r>
      <w:r>
        <w:t>Charter’</w:t>
      </w:r>
      <w:r>
        <w:rPr>
          <w:spacing w:val="-6"/>
        </w:rPr>
        <w:t xml:space="preserve"> </w:t>
      </w:r>
      <w:r>
        <w:t>and</w:t>
      </w:r>
      <w:r>
        <w:rPr>
          <w:spacing w:val="-7"/>
        </w:rPr>
        <w:t xml:space="preserve"> </w:t>
      </w:r>
      <w:r>
        <w:t>‘individual</w:t>
      </w:r>
      <w:r>
        <w:rPr>
          <w:spacing w:val="-6"/>
        </w:rPr>
        <w:t xml:space="preserve"> </w:t>
      </w:r>
      <w:r>
        <w:t>assessments</w:t>
      </w:r>
      <w:r>
        <w:rPr>
          <w:spacing w:val="-7"/>
        </w:rPr>
        <w:t xml:space="preserve"> </w:t>
      </w:r>
      <w:r>
        <w:t>by</w:t>
      </w:r>
      <w:r>
        <w:rPr>
          <w:spacing w:val="-7"/>
        </w:rPr>
        <w:t xml:space="preserve"> </w:t>
      </w:r>
      <w:r>
        <w:t>the</w:t>
      </w:r>
      <w:r>
        <w:rPr>
          <w:spacing w:val="-7"/>
        </w:rPr>
        <w:t xml:space="preserve"> </w:t>
      </w:r>
      <w:r>
        <w:t>Legal</w:t>
      </w:r>
      <w:r>
        <w:rPr>
          <w:spacing w:val="-6"/>
        </w:rPr>
        <w:t xml:space="preserve"> </w:t>
      </w:r>
      <w:r>
        <w:t>Services</w:t>
      </w:r>
      <w:r>
        <w:rPr>
          <w:spacing w:val="-7"/>
        </w:rPr>
        <w:t xml:space="preserve"> </w:t>
      </w:r>
      <w:r>
        <w:t>Branch’ that the proposed draft directions ‘were likely to be compatible with the Charter’.</w:t>
      </w:r>
      <w:r>
        <w:rPr>
          <w:vertAlign w:val="superscript"/>
        </w:rPr>
        <w:t>311</w:t>
      </w:r>
    </w:p>
    <w:p w14:paraId="7CB2601D" w14:textId="77777777" w:rsidR="008A4099" w:rsidRDefault="006A6EE2">
      <w:pPr>
        <w:pStyle w:val="ListParagraph"/>
        <w:numPr>
          <w:ilvl w:val="2"/>
          <w:numId w:val="6"/>
        </w:numPr>
        <w:tabs>
          <w:tab w:val="left" w:pos="879"/>
        </w:tabs>
        <w:spacing w:before="210" w:line="247" w:lineRule="auto"/>
        <w:ind w:right="674" w:firstLine="0"/>
        <w:jc w:val="both"/>
      </w:pPr>
      <w:r>
        <w:t xml:space="preserve">This approach is contrasted with the apparent limitations of relying on common law human rights principles in a similar context in New South Wales, where there is no human rights enactment. In </w:t>
      </w:r>
      <w:r>
        <w:rPr>
          <w:i/>
        </w:rPr>
        <w:t>Kassam v Hazard</w:t>
      </w:r>
      <w:r>
        <w:t>,</w:t>
      </w:r>
      <w:r>
        <w:rPr>
          <w:vertAlign w:val="superscript"/>
        </w:rPr>
        <w:t>312</w:t>
      </w:r>
      <w:r>
        <w:rPr>
          <w:spacing w:val="-17"/>
        </w:rPr>
        <w:t xml:space="preserve"> </w:t>
      </w:r>
      <w:r>
        <w:t>Beech-Jones J considered the lawfulness of mandatory vaccination orders and</w:t>
      </w:r>
    </w:p>
    <w:p w14:paraId="7CB2601E" w14:textId="77777777" w:rsidR="008A4099" w:rsidRDefault="006A6EE2">
      <w:pPr>
        <w:pStyle w:val="BodyText"/>
        <w:spacing w:before="132"/>
        <w:rPr>
          <w:sz w:val="20"/>
        </w:rPr>
      </w:pPr>
      <w:r>
        <w:rPr>
          <w:noProof/>
        </w:rPr>
        <mc:AlternateContent>
          <mc:Choice Requires="wps">
            <w:drawing>
              <wp:anchor distT="0" distB="0" distL="0" distR="0" simplePos="0" relativeHeight="487613440" behindDoc="1" locked="0" layoutInCell="1" allowOverlap="1" wp14:anchorId="7CB2663D" wp14:editId="7CB2663E">
                <wp:simplePos x="0" y="0"/>
                <wp:positionH relativeFrom="page">
                  <wp:posOffset>914704</wp:posOffset>
                </wp:positionH>
                <wp:positionV relativeFrom="paragraph">
                  <wp:posOffset>245577</wp:posOffset>
                </wp:positionV>
                <wp:extent cx="1829435" cy="762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C0AFFB" id="Graphic 92" o:spid="_x0000_s1026" style="position:absolute;margin-left:1in;margin-top:19.35pt;width:144.05pt;height:.6pt;z-index:-15703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" path="m1829054,l,,,7620r1829054,l1829054,xe" fillcolor="black" stroked="f">
                <v:path arrowok="t"/>
                <w10:wrap type="topAndBottom" anchorx="page"/>
              </v:shape>
            </w:pict>
          </mc:Fallback>
        </mc:AlternateContent>
      </w:r>
    </w:p>
    <w:p w14:paraId="7CB2601F" w14:textId="77777777" w:rsidR="008A4099" w:rsidRDefault="006A6EE2">
      <w:pPr>
        <w:spacing w:before="112" w:line="242" w:lineRule="auto"/>
        <w:ind w:left="160" w:right="675"/>
        <w:jc w:val="both"/>
        <w:rPr>
          <w:sz w:val="18"/>
        </w:rPr>
      </w:pPr>
      <w:r>
        <w:rPr>
          <w:sz w:val="18"/>
          <w:vertAlign w:val="superscript"/>
        </w:rPr>
        <w:t>307</w:t>
      </w:r>
      <w:r>
        <w:rPr>
          <w:spacing w:val="-3"/>
          <w:sz w:val="18"/>
        </w:rPr>
        <w:t xml:space="preserve"> </w:t>
      </w:r>
      <w:r>
        <w:rPr>
          <w:sz w:val="18"/>
        </w:rPr>
        <w:t>For</w:t>
      </w:r>
      <w:r>
        <w:rPr>
          <w:spacing w:val="-3"/>
          <w:sz w:val="18"/>
        </w:rPr>
        <w:t xml:space="preserve"> </w:t>
      </w:r>
      <w:r>
        <w:rPr>
          <w:sz w:val="18"/>
        </w:rPr>
        <w:t>a</w:t>
      </w:r>
      <w:r>
        <w:rPr>
          <w:spacing w:val="-4"/>
          <w:sz w:val="18"/>
        </w:rPr>
        <w:t xml:space="preserve"> </w:t>
      </w:r>
      <w:r>
        <w:rPr>
          <w:sz w:val="18"/>
        </w:rPr>
        <w:t>critique</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former</w:t>
      </w:r>
      <w:r>
        <w:rPr>
          <w:spacing w:val="-3"/>
          <w:sz w:val="18"/>
        </w:rPr>
        <w:t xml:space="preserve"> </w:t>
      </w:r>
      <w:r>
        <w:rPr>
          <w:sz w:val="18"/>
        </w:rPr>
        <w:t>provisions,</w:t>
      </w:r>
      <w:r>
        <w:rPr>
          <w:spacing w:val="-3"/>
          <w:sz w:val="18"/>
        </w:rPr>
        <w:t xml:space="preserve"> </w:t>
      </w:r>
      <w:r>
        <w:rPr>
          <w:sz w:val="18"/>
        </w:rPr>
        <w:t>which</w:t>
      </w:r>
      <w:r>
        <w:rPr>
          <w:spacing w:val="-3"/>
          <w:sz w:val="18"/>
        </w:rPr>
        <w:t xml:space="preserve"> </w:t>
      </w:r>
      <w:r>
        <w:rPr>
          <w:sz w:val="18"/>
        </w:rPr>
        <w:t>some</w:t>
      </w:r>
      <w:r>
        <w:rPr>
          <w:spacing w:val="-4"/>
          <w:sz w:val="18"/>
        </w:rPr>
        <w:t xml:space="preserve"> </w:t>
      </w:r>
      <w:r>
        <w:rPr>
          <w:sz w:val="18"/>
        </w:rPr>
        <w:t>described</w:t>
      </w:r>
      <w:r>
        <w:rPr>
          <w:spacing w:val="-2"/>
          <w:sz w:val="18"/>
        </w:rPr>
        <w:t xml:space="preserve"> </w:t>
      </w:r>
      <w:r>
        <w:rPr>
          <w:sz w:val="18"/>
        </w:rPr>
        <w:t>as</w:t>
      </w:r>
      <w:r>
        <w:rPr>
          <w:spacing w:val="-4"/>
          <w:sz w:val="18"/>
        </w:rPr>
        <w:t xml:space="preserve"> </w:t>
      </w:r>
      <w:r>
        <w:rPr>
          <w:sz w:val="18"/>
        </w:rPr>
        <w:t>‘too</w:t>
      </w:r>
      <w:r>
        <w:rPr>
          <w:spacing w:val="-5"/>
          <w:sz w:val="18"/>
        </w:rPr>
        <w:t xml:space="preserve"> </w:t>
      </w:r>
      <w:r>
        <w:rPr>
          <w:sz w:val="18"/>
        </w:rPr>
        <w:t>broad’,</w:t>
      </w:r>
      <w:r>
        <w:rPr>
          <w:spacing w:val="-3"/>
          <w:sz w:val="18"/>
        </w:rPr>
        <w:t xml:space="preserve"> </w:t>
      </w:r>
      <w:r>
        <w:rPr>
          <w:sz w:val="18"/>
        </w:rPr>
        <w:t>see</w:t>
      </w:r>
      <w:r>
        <w:rPr>
          <w:spacing w:val="-4"/>
          <w:sz w:val="18"/>
        </w:rPr>
        <w:t xml:space="preserve"> </w:t>
      </w:r>
      <w:r>
        <w:rPr>
          <w:sz w:val="18"/>
        </w:rPr>
        <w:t>Sarah</w:t>
      </w:r>
      <w:r>
        <w:rPr>
          <w:spacing w:val="-2"/>
          <w:sz w:val="18"/>
        </w:rPr>
        <w:t xml:space="preserve"> </w:t>
      </w:r>
      <w:r>
        <w:rPr>
          <w:sz w:val="18"/>
        </w:rPr>
        <w:t>Moulds,</w:t>
      </w:r>
      <w:r>
        <w:rPr>
          <w:spacing w:val="-3"/>
          <w:sz w:val="18"/>
        </w:rPr>
        <w:t xml:space="preserve"> </w:t>
      </w:r>
      <w:r>
        <w:rPr>
          <w:sz w:val="18"/>
        </w:rPr>
        <w:t>‘Drawing</w:t>
      </w:r>
      <w:r>
        <w:rPr>
          <w:spacing w:val="-2"/>
          <w:sz w:val="18"/>
        </w:rPr>
        <w:t xml:space="preserve"> </w:t>
      </w:r>
      <w:r>
        <w:rPr>
          <w:sz w:val="18"/>
        </w:rPr>
        <w:t>the</w:t>
      </w:r>
      <w:r>
        <w:rPr>
          <w:spacing w:val="-4"/>
          <w:sz w:val="18"/>
        </w:rPr>
        <w:t xml:space="preserve"> </w:t>
      </w:r>
      <w:r>
        <w:rPr>
          <w:sz w:val="18"/>
        </w:rPr>
        <w:t xml:space="preserve">Boundaries: The Scope of the Religious Bodies Exemptions in Australian Anti-Discrimination Law and Implications for Reform’ (2020) 47(112) </w:t>
      </w:r>
      <w:r>
        <w:rPr>
          <w:i/>
          <w:sz w:val="18"/>
        </w:rPr>
        <w:t xml:space="preserve">University of Western Australia Law Review </w:t>
      </w:r>
      <w:r>
        <w:rPr>
          <w:sz w:val="18"/>
        </w:rPr>
        <w:t>112, 132–133 and references cited therein.</w:t>
      </w:r>
    </w:p>
    <w:p w14:paraId="7CB26020" w14:textId="77777777" w:rsidR="008A4099" w:rsidRDefault="006A6EE2">
      <w:pPr>
        <w:spacing w:before="16" w:line="242" w:lineRule="auto"/>
        <w:ind w:left="160" w:right="673"/>
        <w:jc w:val="both"/>
        <w:rPr>
          <w:sz w:val="18"/>
        </w:rPr>
      </w:pPr>
      <w:r>
        <w:rPr>
          <w:sz w:val="18"/>
          <w:vertAlign w:val="superscript"/>
        </w:rPr>
        <w:t>308</w:t>
      </w:r>
      <w:r>
        <w:rPr>
          <w:sz w:val="18"/>
        </w:rPr>
        <w:t xml:space="preserve"> Natalie Hutchins, </w:t>
      </w:r>
      <w:r>
        <w:rPr>
          <w:i/>
          <w:sz w:val="18"/>
        </w:rPr>
        <w:t xml:space="preserve">Equal Opportunity (Religious Exemptions) Amendment Bill 2021 </w:t>
      </w:r>
      <w:r>
        <w:rPr>
          <w:sz w:val="18"/>
        </w:rPr>
        <w:t>(Vic), Statement of Compatibility, Legislative Assembly, 28 October 2021 &lt;https://</w:t>
      </w:r>
      <w:hyperlink r:id="rId128">
        <w:r>
          <w:rPr>
            <w:sz w:val="18"/>
          </w:rPr>
          <w:t>www.legislation.vic.gov.au/bills/equal-opportunity-religious-exceptions-</w:t>
        </w:r>
      </w:hyperlink>
      <w:r>
        <w:rPr>
          <w:sz w:val="18"/>
        </w:rPr>
        <w:t xml:space="preserve"> </w:t>
      </w:r>
      <w:r>
        <w:rPr>
          <w:spacing w:val="-2"/>
          <w:sz w:val="18"/>
        </w:rPr>
        <w:t>amendment-bill-2021&gt;.</w:t>
      </w:r>
    </w:p>
    <w:p w14:paraId="7CB26021" w14:textId="77777777" w:rsidR="008A4099" w:rsidRDefault="006A6EE2">
      <w:pPr>
        <w:spacing w:before="19"/>
        <w:ind w:left="160"/>
        <w:rPr>
          <w:sz w:val="18"/>
        </w:rPr>
      </w:pPr>
      <w:r>
        <w:rPr>
          <w:sz w:val="18"/>
          <w:vertAlign w:val="superscript"/>
        </w:rPr>
        <w:t>309</w:t>
      </w:r>
      <w:r>
        <w:rPr>
          <w:spacing w:val="1"/>
          <w:sz w:val="18"/>
        </w:rPr>
        <w:t xml:space="preserve"> </w:t>
      </w:r>
      <w:r>
        <w:rPr>
          <w:i/>
          <w:sz w:val="18"/>
        </w:rPr>
        <w:t>Loielo</w:t>
      </w:r>
      <w:r>
        <w:rPr>
          <w:i/>
          <w:spacing w:val="3"/>
          <w:sz w:val="18"/>
        </w:rPr>
        <w:t xml:space="preserve"> </w:t>
      </w:r>
      <w:r>
        <w:rPr>
          <w:i/>
          <w:sz w:val="18"/>
        </w:rPr>
        <w:t>v Gile</w:t>
      </w:r>
      <w:r>
        <w:rPr>
          <w:sz w:val="18"/>
        </w:rPr>
        <w:t>s</w:t>
      </w:r>
      <w:r>
        <w:rPr>
          <w:spacing w:val="2"/>
          <w:sz w:val="18"/>
        </w:rPr>
        <w:t xml:space="preserve"> </w:t>
      </w:r>
      <w:r>
        <w:rPr>
          <w:sz w:val="18"/>
        </w:rPr>
        <w:t>[2020]</w:t>
      </w:r>
      <w:r>
        <w:rPr>
          <w:spacing w:val="2"/>
          <w:sz w:val="18"/>
        </w:rPr>
        <w:t xml:space="preserve"> </w:t>
      </w:r>
      <w:r>
        <w:rPr>
          <w:sz w:val="18"/>
        </w:rPr>
        <w:t>VSC</w:t>
      </w:r>
      <w:r>
        <w:rPr>
          <w:spacing w:val="-1"/>
          <w:sz w:val="18"/>
        </w:rPr>
        <w:t xml:space="preserve"> </w:t>
      </w:r>
      <w:r>
        <w:rPr>
          <w:spacing w:val="-4"/>
          <w:sz w:val="18"/>
        </w:rPr>
        <w:t>722.</w:t>
      </w:r>
    </w:p>
    <w:p w14:paraId="7CB26022" w14:textId="77777777" w:rsidR="008A4099" w:rsidRDefault="006A6EE2">
      <w:pPr>
        <w:spacing w:before="21"/>
        <w:ind w:left="160"/>
        <w:rPr>
          <w:sz w:val="18"/>
        </w:rPr>
      </w:pPr>
      <w:r>
        <w:rPr>
          <w:sz w:val="18"/>
          <w:vertAlign w:val="superscript"/>
        </w:rPr>
        <w:t>310</w:t>
      </w:r>
      <w:r>
        <w:rPr>
          <w:spacing w:val="6"/>
          <w:sz w:val="18"/>
        </w:rPr>
        <w:t xml:space="preserve"> </w:t>
      </w:r>
      <w:r>
        <w:rPr>
          <w:sz w:val="18"/>
        </w:rPr>
        <w:t>Ibid</w:t>
      </w:r>
      <w:r>
        <w:rPr>
          <w:spacing w:val="6"/>
          <w:sz w:val="18"/>
        </w:rPr>
        <w:t xml:space="preserve"> </w:t>
      </w:r>
      <w:r>
        <w:rPr>
          <w:spacing w:val="-2"/>
          <w:sz w:val="18"/>
        </w:rPr>
        <w:t>[248].</w:t>
      </w:r>
    </w:p>
    <w:p w14:paraId="7CB26023" w14:textId="77777777" w:rsidR="008A4099" w:rsidRDefault="006A6EE2">
      <w:pPr>
        <w:spacing w:before="23"/>
        <w:ind w:left="160"/>
        <w:rPr>
          <w:sz w:val="18"/>
        </w:rPr>
      </w:pPr>
      <w:r>
        <w:rPr>
          <w:sz w:val="18"/>
          <w:vertAlign w:val="superscript"/>
        </w:rPr>
        <w:t>311</w:t>
      </w:r>
      <w:r>
        <w:rPr>
          <w:spacing w:val="6"/>
          <w:sz w:val="18"/>
        </w:rPr>
        <w:t xml:space="preserve"> </w:t>
      </w:r>
      <w:r>
        <w:rPr>
          <w:sz w:val="18"/>
        </w:rPr>
        <w:t>Ibid</w:t>
      </w:r>
      <w:r>
        <w:rPr>
          <w:spacing w:val="6"/>
          <w:sz w:val="18"/>
        </w:rPr>
        <w:t xml:space="preserve"> </w:t>
      </w:r>
      <w:r>
        <w:rPr>
          <w:spacing w:val="-2"/>
          <w:sz w:val="18"/>
        </w:rPr>
        <w:t>[69].</w:t>
      </w:r>
    </w:p>
    <w:p w14:paraId="7CB26024" w14:textId="77777777" w:rsidR="008A4099" w:rsidRDefault="006A6EE2">
      <w:pPr>
        <w:spacing w:before="24" w:line="242" w:lineRule="auto"/>
        <w:ind w:left="160" w:right="674"/>
        <w:jc w:val="both"/>
        <w:rPr>
          <w:sz w:val="18"/>
        </w:rPr>
      </w:pPr>
      <w:r>
        <w:rPr>
          <w:sz w:val="18"/>
          <w:vertAlign w:val="superscript"/>
        </w:rPr>
        <w:t>312</w:t>
      </w:r>
      <w:r>
        <w:rPr>
          <w:sz w:val="18"/>
        </w:rPr>
        <w:t xml:space="preserve"> </w:t>
      </w:r>
      <w:r>
        <w:rPr>
          <w:i/>
          <w:sz w:val="18"/>
        </w:rPr>
        <w:t xml:space="preserve">Kassam v Hazzard; Henry v Hazzard </w:t>
      </w:r>
      <w:r>
        <w:rPr>
          <w:sz w:val="18"/>
        </w:rPr>
        <w:t>[2021] NSWSC 1320. The contested orders were Public Health (COVID-19 Aged Care Facilities) Order 2021 (NSW) and Public Health (COVID-19 Vaccination of Education and</w:t>
      </w:r>
      <w:r>
        <w:rPr>
          <w:spacing w:val="-1"/>
          <w:sz w:val="18"/>
        </w:rPr>
        <w:t xml:space="preserve"> </w:t>
      </w:r>
      <w:r>
        <w:rPr>
          <w:sz w:val="18"/>
        </w:rPr>
        <w:t>Care Workers) Order 2021 (NSW).</w:t>
      </w:r>
      <w:r>
        <w:rPr>
          <w:spacing w:val="-2"/>
          <w:sz w:val="18"/>
        </w:rPr>
        <w:t xml:space="preserve"> </w:t>
      </w:r>
      <w:r>
        <w:rPr>
          <w:sz w:val="18"/>
        </w:rPr>
        <w:t>The</w:t>
      </w:r>
      <w:r>
        <w:rPr>
          <w:spacing w:val="-3"/>
          <w:sz w:val="18"/>
        </w:rPr>
        <w:t xml:space="preserve"> </w:t>
      </w:r>
      <w:r>
        <w:rPr>
          <w:sz w:val="18"/>
        </w:rPr>
        <w:t>applicants</w:t>
      </w:r>
      <w:r>
        <w:rPr>
          <w:spacing w:val="-2"/>
          <w:sz w:val="18"/>
        </w:rPr>
        <w:t xml:space="preserve"> </w:t>
      </w:r>
      <w:r>
        <w:rPr>
          <w:sz w:val="18"/>
        </w:rPr>
        <w:t>claimed</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orders</w:t>
      </w:r>
      <w:r>
        <w:rPr>
          <w:spacing w:val="-2"/>
          <w:sz w:val="18"/>
        </w:rPr>
        <w:t xml:space="preserve"> </w:t>
      </w:r>
      <w:r>
        <w:rPr>
          <w:sz w:val="18"/>
        </w:rPr>
        <w:t>were</w:t>
      </w:r>
      <w:r>
        <w:rPr>
          <w:spacing w:val="-3"/>
          <w:sz w:val="18"/>
        </w:rPr>
        <w:t xml:space="preserve"> </w:t>
      </w:r>
      <w:r>
        <w:rPr>
          <w:sz w:val="18"/>
        </w:rPr>
        <w:t>unreasonable</w:t>
      </w:r>
      <w:r>
        <w:rPr>
          <w:spacing w:val="-5"/>
          <w:sz w:val="18"/>
        </w:rPr>
        <w:t xml:space="preserve"> </w:t>
      </w:r>
      <w:r>
        <w:rPr>
          <w:sz w:val="18"/>
        </w:rPr>
        <w:t>and</w:t>
      </w:r>
      <w:r>
        <w:rPr>
          <w:spacing w:val="-3"/>
          <w:sz w:val="18"/>
        </w:rPr>
        <w:t xml:space="preserve"> </w:t>
      </w:r>
      <w:r>
        <w:rPr>
          <w:sz w:val="18"/>
        </w:rPr>
        <w:t>beyond</w:t>
      </w:r>
      <w:r>
        <w:rPr>
          <w:spacing w:val="-3"/>
          <w:sz w:val="18"/>
        </w:rPr>
        <w:t xml:space="preserve"> </w:t>
      </w:r>
      <w:r>
        <w:rPr>
          <w:sz w:val="18"/>
        </w:rPr>
        <w:t>power</w:t>
      </w:r>
      <w:r>
        <w:rPr>
          <w:spacing w:val="-2"/>
          <w:sz w:val="18"/>
        </w:rPr>
        <w:t xml:space="preserve"> </w:t>
      </w:r>
      <w:r>
        <w:rPr>
          <w:sz w:val="18"/>
        </w:rPr>
        <w:t>as</w:t>
      </w:r>
      <w:r>
        <w:rPr>
          <w:spacing w:val="-2"/>
          <w:sz w:val="18"/>
        </w:rPr>
        <w:t xml:space="preserve"> </w:t>
      </w:r>
      <w:r>
        <w:rPr>
          <w:sz w:val="18"/>
        </w:rPr>
        <w:t>the</w:t>
      </w:r>
      <w:r>
        <w:rPr>
          <w:spacing w:val="-3"/>
          <w:sz w:val="18"/>
        </w:rPr>
        <w:t xml:space="preserve"> </w:t>
      </w:r>
      <w:r>
        <w:rPr>
          <w:sz w:val="18"/>
        </w:rPr>
        <w:t>orders</w:t>
      </w:r>
      <w:r>
        <w:rPr>
          <w:spacing w:val="-2"/>
          <w:sz w:val="18"/>
        </w:rPr>
        <w:t xml:space="preserve"> </w:t>
      </w:r>
      <w:r>
        <w:rPr>
          <w:sz w:val="18"/>
        </w:rPr>
        <w:t>interfere</w:t>
      </w:r>
      <w:r>
        <w:rPr>
          <w:spacing w:val="-3"/>
          <w:sz w:val="18"/>
        </w:rPr>
        <w:t xml:space="preserve"> </w:t>
      </w:r>
      <w:r>
        <w:rPr>
          <w:sz w:val="18"/>
        </w:rPr>
        <w:t>with</w:t>
      </w:r>
      <w:r>
        <w:rPr>
          <w:spacing w:val="-3"/>
          <w:sz w:val="18"/>
        </w:rPr>
        <w:t xml:space="preserve"> </w:t>
      </w:r>
      <w:r>
        <w:rPr>
          <w:sz w:val="18"/>
        </w:rPr>
        <w:t>their</w:t>
      </w:r>
      <w:r>
        <w:rPr>
          <w:spacing w:val="-4"/>
          <w:sz w:val="18"/>
        </w:rPr>
        <w:t xml:space="preserve"> </w:t>
      </w:r>
      <w:r>
        <w:rPr>
          <w:sz w:val="18"/>
        </w:rPr>
        <w:t>right</w:t>
      </w:r>
      <w:r>
        <w:rPr>
          <w:spacing w:val="-2"/>
          <w:sz w:val="18"/>
        </w:rPr>
        <w:t xml:space="preserve"> </w:t>
      </w:r>
      <w:r>
        <w:rPr>
          <w:sz w:val="18"/>
        </w:rPr>
        <w:t>to bodily integrity and freedom of movement.</w:t>
      </w:r>
    </w:p>
    <w:p w14:paraId="7CB26025"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6026" w14:textId="77777777" w:rsidR="008A4099" w:rsidRDefault="008A4099">
      <w:pPr>
        <w:pStyle w:val="BodyText"/>
        <w:spacing w:before="216"/>
      </w:pPr>
    </w:p>
    <w:p w14:paraId="7CB26027" w14:textId="77777777" w:rsidR="008A4099" w:rsidRDefault="006A6EE2">
      <w:pPr>
        <w:pStyle w:val="BodyText"/>
        <w:spacing w:line="259" w:lineRule="auto"/>
        <w:ind w:left="160" w:right="680"/>
      </w:pPr>
      <w:r>
        <w:t>held</w:t>
      </w:r>
      <w:r>
        <w:rPr>
          <w:spacing w:val="36"/>
        </w:rPr>
        <w:t xml:space="preserve"> </w:t>
      </w:r>
      <w:r>
        <w:t>that</w:t>
      </w:r>
      <w:r>
        <w:rPr>
          <w:spacing w:val="38"/>
        </w:rPr>
        <w:t xml:space="preserve"> </w:t>
      </w:r>
      <w:r>
        <w:t>the</w:t>
      </w:r>
      <w:r>
        <w:rPr>
          <w:spacing w:val="36"/>
        </w:rPr>
        <w:t xml:space="preserve"> </w:t>
      </w:r>
      <w:r>
        <w:t>orders</w:t>
      </w:r>
      <w:r>
        <w:rPr>
          <w:spacing w:val="36"/>
        </w:rPr>
        <w:t xml:space="preserve"> </w:t>
      </w:r>
      <w:r>
        <w:t>implicated</w:t>
      </w:r>
      <w:r>
        <w:rPr>
          <w:spacing w:val="38"/>
        </w:rPr>
        <w:t xml:space="preserve"> </w:t>
      </w:r>
      <w:r>
        <w:t>freedom</w:t>
      </w:r>
      <w:r>
        <w:rPr>
          <w:spacing w:val="39"/>
        </w:rPr>
        <w:t xml:space="preserve"> </w:t>
      </w:r>
      <w:r>
        <w:t>of</w:t>
      </w:r>
      <w:r>
        <w:rPr>
          <w:spacing w:val="37"/>
        </w:rPr>
        <w:t xml:space="preserve"> </w:t>
      </w:r>
      <w:r>
        <w:t>movement,</w:t>
      </w:r>
      <w:r>
        <w:rPr>
          <w:vertAlign w:val="superscript"/>
        </w:rPr>
        <w:t>313</w:t>
      </w:r>
      <w:r>
        <w:rPr>
          <w:spacing w:val="39"/>
        </w:rPr>
        <w:t xml:space="preserve"> </w:t>
      </w:r>
      <w:r>
        <w:t>which</w:t>
      </w:r>
      <w:r>
        <w:rPr>
          <w:spacing w:val="39"/>
        </w:rPr>
        <w:t xml:space="preserve"> </w:t>
      </w:r>
      <w:r>
        <w:t>was</w:t>
      </w:r>
      <w:r>
        <w:rPr>
          <w:spacing w:val="37"/>
        </w:rPr>
        <w:t xml:space="preserve"> </w:t>
      </w:r>
      <w:r>
        <w:t>the</w:t>
      </w:r>
      <w:r>
        <w:rPr>
          <w:spacing w:val="36"/>
        </w:rPr>
        <w:t xml:space="preserve"> </w:t>
      </w:r>
      <w:r>
        <w:t>very</w:t>
      </w:r>
      <w:r>
        <w:rPr>
          <w:spacing w:val="36"/>
        </w:rPr>
        <w:t xml:space="preserve"> </w:t>
      </w:r>
      <w:r>
        <w:t>thing</w:t>
      </w:r>
      <w:r>
        <w:rPr>
          <w:spacing w:val="36"/>
        </w:rPr>
        <w:t xml:space="preserve"> </w:t>
      </w:r>
      <w:r>
        <w:t>authorised</w:t>
      </w:r>
      <w:r>
        <w:rPr>
          <w:spacing w:val="36"/>
        </w:rPr>
        <w:t xml:space="preserve"> </w:t>
      </w:r>
      <w:r>
        <w:t xml:space="preserve">by Section 7 of the </w:t>
      </w:r>
      <w:r>
        <w:rPr>
          <w:i/>
        </w:rPr>
        <w:t xml:space="preserve">Public Health Act 2010 </w:t>
      </w:r>
      <w:r>
        <w:t>(NSW).</w:t>
      </w:r>
      <w:r>
        <w:rPr>
          <w:vertAlign w:val="superscript"/>
        </w:rPr>
        <w:t>314</w:t>
      </w:r>
    </w:p>
    <w:p w14:paraId="7CB26028" w14:textId="77777777" w:rsidR="008A4099" w:rsidRDefault="006A6EE2">
      <w:pPr>
        <w:pStyle w:val="ListParagraph"/>
        <w:numPr>
          <w:ilvl w:val="2"/>
          <w:numId w:val="6"/>
        </w:numPr>
        <w:tabs>
          <w:tab w:val="left" w:pos="879"/>
        </w:tabs>
        <w:spacing w:before="198" w:line="242" w:lineRule="auto"/>
        <w:ind w:right="671" w:firstLine="0"/>
        <w:jc w:val="both"/>
      </w:pPr>
      <w:r>
        <w:t xml:space="preserve">In jurisdictions with human rights enactments, this legislation has also been relied upon as a basis to interpret legislation and policy raising the provision of healthcare services. In Queensland, complaints resolved by the Queensland Human Rights Commissioner since the commencement of the </w:t>
      </w:r>
      <w:r>
        <w:rPr>
          <w:i/>
        </w:rPr>
        <w:t>Human</w:t>
      </w:r>
      <w:r>
        <w:rPr>
          <w:i/>
          <w:spacing w:val="-2"/>
        </w:rPr>
        <w:t xml:space="preserve"> </w:t>
      </w:r>
      <w:r>
        <w:rPr>
          <w:i/>
        </w:rPr>
        <w:t>Rights</w:t>
      </w:r>
      <w:r>
        <w:rPr>
          <w:i/>
          <w:spacing w:val="-4"/>
        </w:rPr>
        <w:t xml:space="preserve"> </w:t>
      </w:r>
      <w:r>
        <w:rPr>
          <w:i/>
        </w:rPr>
        <w:t>Act</w:t>
      </w:r>
      <w:r>
        <w:rPr>
          <w:i/>
          <w:spacing w:val="-3"/>
        </w:rPr>
        <w:t xml:space="preserve"> </w:t>
      </w:r>
      <w:r>
        <w:rPr>
          <w:i/>
        </w:rPr>
        <w:t>2019</w:t>
      </w:r>
      <w:r>
        <w:rPr>
          <w:i/>
          <w:spacing w:val="-5"/>
        </w:rPr>
        <w:t xml:space="preserve"> </w:t>
      </w:r>
      <w:r>
        <w:t>(Qld)</w:t>
      </w:r>
      <w:r>
        <w:rPr>
          <w:spacing w:val="-1"/>
        </w:rPr>
        <w:t xml:space="preserve"> </w:t>
      </w:r>
      <w:r>
        <w:t>have</w:t>
      </w:r>
      <w:r>
        <w:rPr>
          <w:spacing w:val="-4"/>
        </w:rPr>
        <w:t xml:space="preserve"> </w:t>
      </w:r>
      <w:r>
        <w:t>considered</w:t>
      </w:r>
      <w:r>
        <w:rPr>
          <w:spacing w:val="-4"/>
        </w:rPr>
        <w:t xml:space="preserve"> </w:t>
      </w:r>
      <w:r>
        <w:t>whether</w:t>
      </w:r>
      <w:r>
        <w:rPr>
          <w:spacing w:val="-3"/>
        </w:rPr>
        <w:t xml:space="preserve"> </w:t>
      </w:r>
      <w:r>
        <w:t>complex</w:t>
      </w:r>
      <w:r>
        <w:rPr>
          <w:spacing w:val="-2"/>
        </w:rPr>
        <w:t xml:space="preserve"> </w:t>
      </w:r>
      <w:r>
        <w:t>health</w:t>
      </w:r>
      <w:r>
        <w:rPr>
          <w:spacing w:val="-5"/>
        </w:rPr>
        <w:t xml:space="preserve"> </w:t>
      </w:r>
      <w:r>
        <w:t>needs</w:t>
      </w:r>
      <w:r>
        <w:rPr>
          <w:spacing w:val="-4"/>
        </w:rPr>
        <w:t xml:space="preserve"> </w:t>
      </w:r>
      <w:r>
        <w:t>justified</w:t>
      </w:r>
      <w:r>
        <w:rPr>
          <w:spacing w:val="-7"/>
        </w:rPr>
        <w:t xml:space="preserve"> </w:t>
      </w:r>
      <w:r>
        <w:t>modification</w:t>
      </w:r>
      <w:r>
        <w:rPr>
          <w:spacing w:val="-5"/>
        </w:rPr>
        <w:t xml:space="preserve"> </w:t>
      </w:r>
      <w:r>
        <w:t>of quarantine requirements during COVID-19. These included allowing a family with a three-year-old daughter with autism spectrum disorder to quarantine at home to avoid the distress occasioned by the hotel</w:t>
      </w:r>
      <w:r>
        <w:rPr>
          <w:spacing w:val="-10"/>
        </w:rPr>
        <w:t xml:space="preserve"> </w:t>
      </w:r>
      <w:r>
        <w:t>environment</w:t>
      </w:r>
      <w:r>
        <w:rPr>
          <w:spacing w:val="-10"/>
        </w:rPr>
        <w:t xml:space="preserve"> </w:t>
      </w:r>
      <w:r>
        <w:t>and</w:t>
      </w:r>
      <w:r>
        <w:rPr>
          <w:spacing w:val="-11"/>
        </w:rPr>
        <w:t xml:space="preserve"> </w:t>
      </w:r>
      <w:r>
        <w:t>ensuring</w:t>
      </w:r>
      <w:r>
        <w:rPr>
          <w:spacing w:val="-13"/>
        </w:rPr>
        <w:t xml:space="preserve"> </w:t>
      </w:r>
      <w:r>
        <w:t>that</w:t>
      </w:r>
      <w:r>
        <w:rPr>
          <w:spacing w:val="-10"/>
        </w:rPr>
        <w:t xml:space="preserve"> </w:t>
      </w:r>
      <w:r>
        <w:t>a</w:t>
      </w:r>
      <w:r>
        <w:rPr>
          <w:spacing w:val="-11"/>
        </w:rPr>
        <w:t xml:space="preserve"> </w:t>
      </w:r>
      <w:r>
        <w:t>woman</w:t>
      </w:r>
      <w:r>
        <w:rPr>
          <w:spacing w:val="-11"/>
        </w:rPr>
        <w:t xml:space="preserve"> </w:t>
      </w:r>
      <w:r>
        <w:t>with</w:t>
      </w:r>
      <w:r>
        <w:rPr>
          <w:spacing w:val="-11"/>
        </w:rPr>
        <w:t xml:space="preserve"> </w:t>
      </w:r>
      <w:r>
        <w:t>an</w:t>
      </w:r>
      <w:r>
        <w:rPr>
          <w:spacing w:val="-11"/>
        </w:rPr>
        <w:t xml:space="preserve"> </w:t>
      </w:r>
      <w:r>
        <w:t>anxiety</w:t>
      </w:r>
      <w:r>
        <w:rPr>
          <w:spacing w:val="-11"/>
        </w:rPr>
        <w:t xml:space="preserve"> </w:t>
      </w:r>
      <w:r>
        <w:t>disorder</w:t>
      </w:r>
      <w:r>
        <w:rPr>
          <w:spacing w:val="-10"/>
        </w:rPr>
        <w:t xml:space="preserve"> </w:t>
      </w:r>
      <w:r>
        <w:t>exacerbated</w:t>
      </w:r>
      <w:r>
        <w:rPr>
          <w:spacing w:val="-13"/>
        </w:rPr>
        <w:t xml:space="preserve"> </w:t>
      </w:r>
      <w:r>
        <w:t>by</w:t>
      </w:r>
      <w:r>
        <w:rPr>
          <w:spacing w:val="-11"/>
        </w:rPr>
        <w:t xml:space="preserve"> </w:t>
      </w:r>
      <w:r>
        <w:t>confinement</w:t>
      </w:r>
      <w:r>
        <w:rPr>
          <w:spacing w:val="-10"/>
        </w:rPr>
        <w:t xml:space="preserve"> </w:t>
      </w:r>
      <w:r>
        <w:t>was transferred</w:t>
      </w:r>
      <w:r>
        <w:rPr>
          <w:spacing w:val="-11"/>
        </w:rPr>
        <w:t xml:space="preserve"> </w:t>
      </w:r>
      <w:r>
        <w:t>to</w:t>
      </w:r>
      <w:r>
        <w:rPr>
          <w:spacing w:val="-9"/>
        </w:rPr>
        <w:t xml:space="preserve"> </w:t>
      </w:r>
      <w:r>
        <w:t>a</w:t>
      </w:r>
      <w:r>
        <w:rPr>
          <w:spacing w:val="-11"/>
        </w:rPr>
        <w:t xml:space="preserve"> </w:t>
      </w:r>
      <w:r>
        <w:t>hotel</w:t>
      </w:r>
      <w:r>
        <w:rPr>
          <w:spacing w:val="-10"/>
        </w:rPr>
        <w:t xml:space="preserve"> </w:t>
      </w:r>
      <w:r>
        <w:t>room</w:t>
      </w:r>
      <w:r>
        <w:rPr>
          <w:spacing w:val="-10"/>
        </w:rPr>
        <w:t xml:space="preserve"> </w:t>
      </w:r>
      <w:r>
        <w:t>with</w:t>
      </w:r>
      <w:r>
        <w:rPr>
          <w:spacing w:val="-11"/>
        </w:rPr>
        <w:t xml:space="preserve"> </w:t>
      </w:r>
      <w:r>
        <w:t>a</w:t>
      </w:r>
      <w:r>
        <w:rPr>
          <w:spacing w:val="-8"/>
        </w:rPr>
        <w:t xml:space="preserve"> </w:t>
      </w:r>
      <w:r>
        <w:t>balcony.</w:t>
      </w:r>
      <w:r>
        <w:rPr>
          <w:spacing w:val="38"/>
        </w:rPr>
        <w:t xml:space="preserve"> </w:t>
      </w:r>
      <w:r>
        <w:t>In</w:t>
      </w:r>
      <w:r>
        <w:rPr>
          <w:spacing w:val="-9"/>
        </w:rPr>
        <w:t xml:space="preserve"> </w:t>
      </w:r>
      <w:r>
        <w:t>each</w:t>
      </w:r>
      <w:r>
        <w:rPr>
          <w:spacing w:val="-8"/>
        </w:rPr>
        <w:t xml:space="preserve"> </w:t>
      </w:r>
      <w:r>
        <w:t>case,</w:t>
      </w:r>
      <w:r>
        <w:rPr>
          <w:spacing w:val="-8"/>
        </w:rPr>
        <w:t xml:space="preserve"> </w:t>
      </w:r>
      <w:r>
        <w:t>the</w:t>
      </w:r>
      <w:r>
        <w:rPr>
          <w:spacing w:val="-8"/>
        </w:rPr>
        <w:t xml:space="preserve"> </w:t>
      </w:r>
      <w:r>
        <w:t>right</w:t>
      </w:r>
      <w:r>
        <w:rPr>
          <w:spacing w:val="-8"/>
        </w:rPr>
        <w:t xml:space="preserve"> </w:t>
      </w:r>
      <w:r>
        <w:t>to</w:t>
      </w:r>
      <w:r>
        <w:rPr>
          <w:spacing w:val="-9"/>
        </w:rPr>
        <w:t xml:space="preserve"> </w:t>
      </w:r>
      <w:r>
        <w:t>be</w:t>
      </w:r>
      <w:r>
        <w:rPr>
          <w:spacing w:val="-11"/>
        </w:rPr>
        <w:t xml:space="preserve"> </w:t>
      </w:r>
      <w:r>
        <w:t>treated</w:t>
      </w:r>
      <w:r>
        <w:rPr>
          <w:spacing w:val="-8"/>
        </w:rPr>
        <w:t xml:space="preserve"> </w:t>
      </w:r>
      <w:r>
        <w:t>with</w:t>
      </w:r>
      <w:r>
        <w:rPr>
          <w:spacing w:val="-9"/>
        </w:rPr>
        <w:t xml:space="preserve"> </w:t>
      </w:r>
      <w:r>
        <w:t>dignity</w:t>
      </w:r>
      <w:r>
        <w:rPr>
          <w:spacing w:val="-9"/>
        </w:rPr>
        <w:t xml:space="preserve"> </w:t>
      </w:r>
      <w:r>
        <w:t>and</w:t>
      </w:r>
      <w:r>
        <w:rPr>
          <w:spacing w:val="-11"/>
        </w:rPr>
        <w:t xml:space="preserve"> </w:t>
      </w:r>
      <w:r>
        <w:t>humane treatment was emphasised in ensuring that the complainants’ health needs were taken into account.</w:t>
      </w:r>
      <w:r>
        <w:rPr>
          <w:vertAlign w:val="superscript"/>
        </w:rPr>
        <w:t>315</w:t>
      </w:r>
    </w:p>
    <w:p w14:paraId="7CB26029" w14:textId="77777777" w:rsidR="008A4099" w:rsidRDefault="006A6EE2">
      <w:pPr>
        <w:pStyle w:val="ListParagraph"/>
        <w:numPr>
          <w:ilvl w:val="2"/>
          <w:numId w:val="6"/>
        </w:numPr>
        <w:tabs>
          <w:tab w:val="left" w:pos="879"/>
        </w:tabs>
        <w:spacing w:before="214"/>
        <w:ind w:right="674" w:firstLine="0"/>
        <w:jc w:val="both"/>
      </w:pPr>
      <w:r>
        <w:t xml:space="preserve">The Victorian Supreme Court has also held that the capacity test under the </w:t>
      </w:r>
      <w:r>
        <w:rPr>
          <w:i/>
        </w:rPr>
        <w:t>Mental Health Act 2014</w:t>
      </w:r>
      <w:r>
        <w:rPr>
          <w:i/>
          <w:spacing w:val="-7"/>
        </w:rPr>
        <w:t xml:space="preserve"> </w:t>
      </w:r>
      <w:r>
        <w:t>(Vic)</w:t>
      </w:r>
      <w:r>
        <w:rPr>
          <w:spacing w:val="-8"/>
        </w:rPr>
        <w:t xml:space="preserve"> </w:t>
      </w:r>
      <w:r>
        <w:t>must</w:t>
      </w:r>
      <w:r>
        <w:rPr>
          <w:spacing w:val="-6"/>
        </w:rPr>
        <w:t xml:space="preserve"> </w:t>
      </w:r>
      <w:r>
        <w:t>be</w:t>
      </w:r>
      <w:r>
        <w:rPr>
          <w:spacing w:val="-8"/>
        </w:rPr>
        <w:t xml:space="preserve"> </w:t>
      </w:r>
      <w:r>
        <w:t>interpreted</w:t>
      </w:r>
      <w:r>
        <w:rPr>
          <w:spacing w:val="-7"/>
        </w:rPr>
        <w:t xml:space="preserve"> </w:t>
      </w:r>
      <w:r>
        <w:t>and</w:t>
      </w:r>
      <w:r>
        <w:rPr>
          <w:spacing w:val="-7"/>
        </w:rPr>
        <w:t xml:space="preserve"> </w:t>
      </w:r>
      <w:r>
        <w:t>applied</w:t>
      </w:r>
      <w:r>
        <w:rPr>
          <w:spacing w:val="-7"/>
        </w:rPr>
        <w:t xml:space="preserve"> </w:t>
      </w:r>
      <w:r>
        <w:t>in</w:t>
      </w:r>
      <w:r>
        <w:rPr>
          <w:spacing w:val="-9"/>
        </w:rPr>
        <w:t xml:space="preserve"> </w:t>
      </w:r>
      <w:r>
        <w:t>a</w:t>
      </w:r>
      <w:r>
        <w:rPr>
          <w:spacing w:val="-7"/>
        </w:rPr>
        <w:t xml:space="preserve"> </w:t>
      </w:r>
      <w:r>
        <w:t>way</w:t>
      </w:r>
      <w:r>
        <w:rPr>
          <w:spacing w:val="-7"/>
        </w:rPr>
        <w:t xml:space="preserve"> </w:t>
      </w:r>
      <w:r>
        <w:t>that</w:t>
      </w:r>
      <w:r>
        <w:rPr>
          <w:spacing w:val="-6"/>
        </w:rPr>
        <w:t xml:space="preserve"> </w:t>
      </w:r>
      <w:r>
        <w:t>is</w:t>
      </w:r>
      <w:r>
        <w:rPr>
          <w:spacing w:val="-8"/>
        </w:rPr>
        <w:t xml:space="preserve"> </w:t>
      </w:r>
      <w:r>
        <w:t>compatible</w:t>
      </w:r>
      <w:r>
        <w:rPr>
          <w:spacing w:val="-7"/>
        </w:rPr>
        <w:t xml:space="preserve"> </w:t>
      </w:r>
      <w:r>
        <w:t>with</w:t>
      </w:r>
      <w:r>
        <w:rPr>
          <w:spacing w:val="-7"/>
        </w:rPr>
        <w:t xml:space="preserve"> </w:t>
      </w:r>
      <w:r>
        <w:t>human</w:t>
      </w:r>
      <w:r>
        <w:rPr>
          <w:spacing w:val="-7"/>
        </w:rPr>
        <w:t xml:space="preserve"> </w:t>
      </w:r>
      <w:r>
        <w:t>rights.</w:t>
      </w:r>
      <w:r>
        <w:rPr>
          <w:spacing w:val="-6"/>
        </w:rPr>
        <w:t xml:space="preserve"> </w:t>
      </w:r>
      <w:r>
        <w:t>The</w:t>
      </w:r>
      <w:r>
        <w:rPr>
          <w:spacing w:val="-7"/>
        </w:rPr>
        <w:t xml:space="preserve"> </w:t>
      </w:r>
      <w:r>
        <w:t xml:space="preserve">decision in </w:t>
      </w:r>
      <w:r>
        <w:rPr>
          <w:i/>
        </w:rPr>
        <w:t>PBU &amp; NJE v the Mental Health Tribunal</w:t>
      </w:r>
      <w:r>
        <w:rPr>
          <w:position w:val="7"/>
          <w:sz w:val="13"/>
        </w:rPr>
        <w:t>316</w:t>
      </w:r>
      <w:r>
        <w:rPr>
          <w:spacing w:val="37"/>
          <w:position w:val="7"/>
          <w:sz w:val="13"/>
        </w:rPr>
        <w:t xml:space="preserve"> </w:t>
      </w:r>
      <w:r>
        <w:t>recognised that people with mental health issues are highly vulnerable to interference with their human rights and should therefore be assured that any test that would deprive them of agency is interpreted in a manner that is compatible with the Vic Human Rights Charter.</w:t>
      </w:r>
      <w:r>
        <w:rPr>
          <w:vertAlign w:val="superscript"/>
        </w:rPr>
        <w:t>317</w:t>
      </w:r>
    </w:p>
    <w:p w14:paraId="7CB2602A" w14:textId="77777777" w:rsidR="008A4099" w:rsidRDefault="006A6EE2">
      <w:pPr>
        <w:pStyle w:val="ListParagraph"/>
        <w:numPr>
          <w:ilvl w:val="2"/>
          <w:numId w:val="6"/>
        </w:numPr>
        <w:tabs>
          <w:tab w:val="left" w:pos="879"/>
        </w:tabs>
        <w:spacing w:before="214" w:line="244" w:lineRule="auto"/>
        <w:ind w:right="676" w:firstLine="0"/>
        <w:jc w:val="both"/>
      </w:pPr>
      <w:r>
        <w:t>The extent to which reproductive healthcare is a human right has also been considered in Victoria.</w:t>
      </w:r>
      <w:r>
        <w:rPr>
          <w:spacing w:val="-13"/>
        </w:rPr>
        <w:t xml:space="preserve"> </w:t>
      </w:r>
      <w:r>
        <w:t>In</w:t>
      </w:r>
      <w:r>
        <w:rPr>
          <w:spacing w:val="-12"/>
        </w:rPr>
        <w:t xml:space="preserve"> </w:t>
      </w:r>
      <w:r>
        <w:rPr>
          <w:i/>
        </w:rPr>
        <w:t>Castles</w:t>
      </w:r>
      <w:r>
        <w:rPr>
          <w:i/>
          <w:spacing w:val="-12"/>
        </w:rPr>
        <w:t xml:space="preserve"> </w:t>
      </w:r>
      <w:r>
        <w:rPr>
          <w:i/>
        </w:rPr>
        <w:t>v</w:t>
      </w:r>
      <w:r>
        <w:rPr>
          <w:i/>
          <w:spacing w:val="-14"/>
        </w:rPr>
        <w:t xml:space="preserve"> </w:t>
      </w:r>
      <w:r>
        <w:rPr>
          <w:i/>
        </w:rPr>
        <w:t>Secretary</w:t>
      </w:r>
      <w:r>
        <w:rPr>
          <w:i/>
          <w:spacing w:val="-11"/>
        </w:rPr>
        <w:t xml:space="preserve"> </w:t>
      </w:r>
      <w:r>
        <w:rPr>
          <w:i/>
        </w:rPr>
        <w:t>of</w:t>
      </w:r>
      <w:r>
        <w:rPr>
          <w:i/>
          <w:spacing w:val="-13"/>
        </w:rPr>
        <w:t xml:space="preserve"> </w:t>
      </w:r>
      <w:r>
        <w:rPr>
          <w:i/>
        </w:rPr>
        <w:t>the</w:t>
      </w:r>
      <w:r>
        <w:rPr>
          <w:i/>
          <w:spacing w:val="-12"/>
        </w:rPr>
        <w:t xml:space="preserve"> </w:t>
      </w:r>
      <w:r>
        <w:rPr>
          <w:i/>
        </w:rPr>
        <w:t>Department</w:t>
      </w:r>
      <w:r>
        <w:rPr>
          <w:i/>
          <w:spacing w:val="-13"/>
        </w:rPr>
        <w:t xml:space="preserve"> </w:t>
      </w:r>
      <w:r>
        <w:rPr>
          <w:i/>
        </w:rPr>
        <w:t>of</w:t>
      </w:r>
      <w:r>
        <w:rPr>
          <w:i/>
          <w:spacing w:val="-13"/>
        </w:rPr>
        <w:t xml:space="preserve"> </w:t>
      </w:r>
      <w:r>
        <w:rPr>
          <w:i/>
        </w:rPr>
        <w:t>Justice</w:t>
      </w:r>
      <w:r>
        <w:rPr>
          <w:color w:val="333333"/>
          <w:vertAlign w:val="superscript"/>
        </w:rPr>
        <w:t>318</w:t>
      </w:r>
      <w:r>
        <w:rPr>
          <w:color w:val="333333"/>
          <w:spacing w:val="-12"/>
        </w:rPr>
        <w:t xml:space="preserve"> </w:t>
      </w:r>
      <w:r>
        <w:t>(‘Castles’),</w:t>
      </w:r>
      <w:r>
        <w:rPr>
          <w:spacing w:val="-14"/>
        </w:rPr>
        <w:t xml:space="preserve"> </w:t>
      </w:r>
      <w:r>
        <w:t>the</w:t>
      </w:r>
      <w:r>
        <w:rPr>
          <w:spacing w:val="-12"/>
        </w:rPr>
        <w:t xml:space="preserve"> </w:t>
      </w:r>
      <w:r>
        <w:t>Victorian</w:t>
      </w:r>
      <w:r>
        <w:rPr>
          <w:spacing w:val="-12"/>
        </w:rPr>
        <w:t xml:space="preserve"> </w:t>
      </w:r>
      <w:r>
        <w:t>Supreme</w:t>
      </w:r>
      <w:r>
        <w:rPr>
          <w:spacing w:val="-12"/>
        </w:rPr>
        <w:t xml:space="preserve"> </w:t>
      </w:r>
      <w:r>
        <w:t>Court considered whether refusing a request from a female prisoner to leave the low security prison to continue in-vitro fertilisation treatment was contrary to the right to dignity and the right to family life under</w:t>
      </w:r>
      <w:r>
        <w:rPr>
          <w:spacing w:val="-2"/>
        </w:rPr>
        <w:t xml:space="preserve"> </w:t>
      </w:r>
      <w:r>
        <w:t>the</w:t>
      </w:r>
      <w:r>
        <w:rPr>
          <w:spacing w:val="-3"/>
        </w:rPr>
        <w:t xml:space="preserve"> </w:t>
      </w:r>
      <w:r>
        <w:t>Vic</w:t>
      </w:r>
      <w:r>
        <w:rPr>
          <w:spacing w:val="-1"/>
        </w:rPr>
        <w:t xml:space="preserve"> </w:t>
      </w:r>
      <w:r>
        <w:t>Human</w:t>
      </w:r>
      <w:r>
        <w:rPr>
          <w:spacing w:val="-1"/>
        </w:rPr>
        <w:t xml:space="preserve"> </w:t>
      </w:r>
      <w:r>
        <w:t>Rights</w:t>
      </w:r>
      <w:r>
        <w:rPr>
          <w:spacing w:val="-1"/>
        </w:rPr>
        <w:t xml:space="preserve"> </w:t>
      </w:r>
      <w:r>
        <w:t xml:space="preserve">Charter. </w:t>
      </w:r>
      <w:r>
        <w:rPr>
          <w:color w:val="333333"/>
        </w:rPr>
        <w:t>Section</w:t>
      </w:r>
      <w:r>
        <w:rPr>
          <w:color w:val="333333"/>
          <w:spacing w:val="-1"/>
        </w:rPr>
        <w:t xml:space="preserve"> </w:t>
      </w:r>
      <w:r>
        <w:rPr>
          <w:color w:val="333333"/>
        </w:rPr>
        <w:t>47(1)(f)</w:t>
      </w:r>
      <w:r>
        <w:rPr>
          <w:color w:val="333333"/>
          <w:spacing w:val="-3"/>
        </w:rPr>
        <w:t xml:space="preserve"> </w:t>
      </w:r>
      <w:r>
        <w:rPr>
          <w:color w:val="333333"/>
        </w:rPr>
        <w:t xml:space="preserve">of the </w:t>
      </w:r>
      <w:r>
        <w:rPr>
          <w:i/>
          <w:color w:val="333333"/>
        </w:rPr>
        <w:t>Corrections</w:t>
      </w:r>
      <w:r>
        <w:rPr>
          <w:i/>
          <w:color w:val="333333"/>
          <w:spacing w:val="-1"/>
        </w:rPr>
        <w:t xml:space="preserve"> </w:t>
      </w:r>
      <w:r>
        <w:rPr>
          <w:i/>
          <w:color w:val="333333"/>
        </w:rPr>
        <w:t xml:space="preserve">Act 1986 </w:t>
      </w:r>
      <w:r>
        <w:rPr>
          <w:color w:val="333333"/>
        </w:rPr>
        <w:t>(Vic) provides</w:t>
      </w:r>
      <w:r>
        <w:rPr>
          <w:color w:val="333333"/>
          <w:spacing w:val="-3"/>
        </w:rPr>
        <w:t xml:space="preserve"> </w:t>
      </w:r>
      <w:r>
        <w:rPr>
          <w:color w:val="333333"/>
        </w:rPr>
        <w:t>that prisoners have ‘</w:t>
      </w:r>
      <w:r>
        <w:t>the right to have access to reasonable medical care and treatment necessary for the preservation of health’.</w:t>
      </w:r>
      <w:r>
        <w:rPr>
          <w:vertAlign w:val="superscript"/>
        </w:rPr>
        <w:t>319</w:t>
      </w:r>
      <w:r>
        <w:t xml:space="preserve"> The applicant argued that IVF treatments were necessary to address her infertility and that she was approaching an age that would make her ineligible for further procedures.</w:t>
      </w:r>
    </w:p>
    <w:p w14:paraId="7CB2602B" w14:textId="77777777" w:rsidR="008A4099" w:rsidRDefault="006A6EE2">
      <w:pPr>
        <w:pStyle w:val="ListParagraph"/>
        <w:numPr>
          <w:ilvl w:val="2"/>
          <w:numId w:val="6"/>
        </w:numPr>
        <w:tabs>
          <w:tab w:val="left" w:pos="879"/>
        </w:tabs>
        <w:spacing w:before="217" w:line="244" w:lineRule="auto"/>
        <w:ind w:right="674" w:firstLine="0"/>
        <w:jc w:val="both"/>
      </w:pPr>
      <w:r>
        <w:t>The VEOHRC</w:t>
      </w:r>
      <w:r>
        <w:rPr>
          <w:spacing w:val="-1"/>
        </w:rPr>
        <w:t xml:space="preserve"> </w:t>
      </w:r>
      <w:r>
        <w:t>intervened</w:t>
      </w:r>
      <w:r>
        <w:rPr>
          <w:spacing w:val="-2"/>
        </w:rPr>
        <w:t xml:space="preserve"> </w:t>
      </w:r>
      <w:r>
        <w:t>to argue</w:t>
      </w:r>
      <w:r>
        <w:rPr>
          <w:spacing w:val="-2"/>
        </w:rPr>
        <w:t xml:space="preserve"> </w:t>
      </w:r>
      <w:r>
        <w:t>that international agreements,</w:t>
      </w:r>
      <w:r>
        <w:rPr>
          <w:spacing w:val="-2"/>
        </w:rPr>
        <w:t xml:space="preserve"> </w:t>
      </w:r>
      <w:r>
        <w:t xml:space="preserve">including the </w:t>
      </w:r>
      <w:r>
        <w:rPr>
          <w:i/>
        </w:rPr>
        <w:t xml:space="preserve">Convention on the Elimination of All Forms of Discrimination Against Women </w:t>
      </w:r>
      <w:r>
        <w:t xml:space="preserve">and </w:t>
      </w:r>
      <w:r>
        <w:rPr>
          <w:i/>
        </w:rPr>
        <w:t>International Covenant on Economic, Social and Cultural Rights</w:t>
      </w:r>
      <w:r>
        <w:t>, recognise that decisions concerning the number and spacing of children and access to health services, including reproductive health, are components of human dignity.</w:t>
      </w:r>
      <w:r>
        <w:rPr>
          <w:vertAlign w:val="superscript"/>
        </w:rPr>
        <w:t>320</w:t>
      </w:r>
      <w:r>
        <w:t xml:space="preserve"> The Court accepted this argument</w:t>
      </w:r>
      <w:r>
        <w:rPr>
          <w:color w:val="333333"/>
          <w:vertAlign w:val="superscript"/>
        </w:rPr>
        <w:t>321</w:t>
      </w:r>
      <w:r>
        <w:rPr>
          <w:color w:val="333333"/>
        </w:rPr>
        <w:t xml:space="preserve"> </w:t>
      </w:r>
      <w:r>
        <w:t xml:space="preserve">and held that s 22(1) of the Vic Human Rights Charter places a burden on the State to preserve the human dignity of prisoners, notwithstanding their </w:t>
      </w:r>
      <w:r>
        <w:rPr>
          <w:spacing w:val="-2"/>
        </w:rPr>
        <w:t>imprisonment.</w:t>
      </w:r>
      <w:r>
        <w:rPr>
          <w:spacing w:val="-2"/>
          <w:vertAlign w:val="superscript"/>
        </w:rPr>
        <w:t>322</w:t>
      </w:r>
    </w:p>
    <w:p w14:paraId="7CB2602C" w14:textId="77777777" w:rsidR="008A4099" w:rsidRDefault="006A6EE2">
      <w:pPr>
        <w:pStyle w:val="ListParagraph"/>
        <w:numPr>
          <w:ilvl w:val="2"/>
          <w:numId w:val="6"/>
        </w:numPr>
        <w:tabs>
          <w:tab w:val="left" w:pos="879"/>
        </w:tabs>
        <w:spacing w:before="224" w:line="235" w:lineRule="auto"/>
        <w:ind w:right="677" w:firstLine="0"/>
        <w:jc w:val="both"/>
      </w:pPr>
      <w:r>
        <w:t>The</w:t>
      </w:r>
      <w:r>
        <w:rPr>
          <w:spacing w:val="-14"/>
        </w:rPr>
        <w:t xml:space="preserve"> </w:t>
      </w:r>
      <w:r>
        <w:t>decision</w:t>
      </w:r>
      <w:r>
        <w:rPr>
          <w:spacing w:val="-14"/>
        </w:rPr>
        <w:t xml:space="preserve"> </w:t>
      </w:r>
      <w:r>
        <w:t>in</w:t>
      </w:r>
      <w:r>
        <w:rPr>
          <w:spacing w:val="-14"/>
        </w:rPr>
        <w:t xml:space="preserve"> </w:t>
      </w:r>
      <w:r>
        <w:t>Castles</w:t>
      </w:r>
      <w:r>
        <w:rPr>
          <w:spacing w:val="-13"/>
        </w:rPr>
        <w:t xml:space="preserve"> </w:t>
      </w:r>
      <w:r>
        <w:t>shows</w:t>
      </w:r>
      <w:r>
        <w:rPr>
          <w:spacing w:val="-13"/>
        </w:rPr>
        <w:t xml:space="preserve"> </w:t>
      </w:r>
      <w:r>
        <w:t>the</w:t>
      </w:r>
      <w:r>
        <w:rPr>
          <w:spacing w:val="-14"/>
        </w:rPr>
        <w:t xml:space="preserve"> </w:t>
      </w:r>
      <w:r>
        <w:t>utility</w:t>
      </w:r>
      <w:r>
        <w:rPr>
          <w:spacing w:val="-13"/>
        </w:rPr>
        <w:t xml:space="preserve"> </w:t>
      </w:r>
      <w:r>
        <w:t>of</w:t>
      </w:r>
      <w:r>
        <w:rPr>
          <w:spacing w:val="-14"/>
        </w:rPr>
        <w:t xml:space="preserve"> </w:t>
      </w:r>
      <w:r>
        <w:t>an</w:t>
      </w:r>
      <w:r>
        <w:rPr>
          <w:spacing w:val="-14"/>
        </w:rPr>
        <w:t xml:space="preserve"> </w:t>
      </w:r>
      <w:r>
        <w:t>independent</w:t>
      </w:r>
      <w:r>
        <w:rPr>
          <w:spacing w:val="-12"/>
        </w:rPr>
        <w:t xml:space="preserve"> </w:t>
      </w:r>
      <w:r>
        <w:t>office</w:t>
      </w:r>
      <w:r>
        <w:rPr>
          <w:spacing w:val="-14"/>
        </w:rPr>
        <w:t xml:space="preserve"> </w:t>
      </w:r>
      <w:r>
        <w:t>of</w:t>
      </w:r>
      <w:r>
        <w:rPr>
          <w:spacing w:val="-14"/>
        </w:rPr>
        <w:t xml:space="preserve"> </w:t>
      </w:r>
      <w:r>
        <w:t>a</w:t>
      </w:r>
      <w:r>
        <w:rPr>
          <w:spacing w:val="-13"/>
        </w:rPr>
        <w:t xml:space="preserve"> </w:t>
      </w:r>
      <w:r>
        <w:t>human</w:t>
      </w:r>
      <w:r>
        <w:rPr>
          <w:spacing w:val="-14"/>
        </w:rPr>
        <w:t xml:space="preserve"> </w:t>
      </w:r>
      <w:r>
        <w:t>rights</w:t>
      </w:r>
      <w:r>
        <w:rPr>
          <w:spacing w:val="-14"/>
        </w:rPr>
        <w:t xml:space="preserve"> </w:t>
      </w:r>
      <w:r>
        <w:t>commission being</w:t>
      </w:r>
      <w:r>
        <w:rPr>
          <w:spacing w:val="-9"/>
        </w:rPr>
        <w:t xml:space="preserve"> </w:t>
      </w:r>
      <w:r>
        <w:t>able</w:t>
      </w:r>
      <w:r>
        <w:rPr>
          <w:spacing w:val="-6"/>
        </w:rPr>
        <w:t xml:space="preserve"> </w:t>
      </w:r>
      <w:r>
        <w:t>to</w:t>
      </w:r>
      <w:r>
        <w:rPr>
          <w:spacing w:val="-6"/>
        </w:rPr>
        <w:t xml:space="preserve"> </w:t>
      </w:r>
      <w:r>
        <w:t>join</w:t>
      </w:r>
      <w:r>
        <w:rPr>
          <w:spacing w:val="-9"/>
        </w:rPr>
        <w:t xml:space="preserve"> </w:t>
      </w:r>
      <w:r>
        <w:t>in</w:t>
      </w:r>
      <w:r>
        <w:rPr>
          <w:spacing w:val="-6"/>
        </w:rPr>
        <w:t xml:space="preserve"> </w:t>
      </w:r>
      <w:r>
        <w:t>any</w:t>
      </w:r>
      <w:r>
        <w:rPr>
          <w:spacing w:val="-6"/>
        </w:rPr>
        <w:t xml:space="preserve"> </w:t>
      </w:r>
      <w:r>
        <w:t>proceedings</w:t>
      </w:r>
      <w:r>
        <w:rPr>
          <w:spacing w:val="-8"/>
        </w:rPr>
        <w:t xml:space="preserve"> </w:t>
      </w:r>
      <w:r>
        <w:t>in</w:t>
      </w:r>
      <w:r>
        <w:rPr>
          <w:spacing w:val="-6"/>
        </w:rPr>
        <w:t xml:space="preserve"> </w:t>
      </w:r>
      <w:r>
        <w:t>which</w:t>
      </w:r>
      <w:r>
        <w:rPr>
          <w:spacing w:val="-6"/>
        </w:rPr>
        <w:t xml:space="preserve"> </w:t>
      </w:r>
      <w:r>
        <w:t>a</w:t>
      </w:r>
      <w:r>
        <w:rPr>
          <w:spacing w:val="-6"/>
        </w:rPr>
        <w:t xml:space="preserve"> </w:t>
      </w:r>
      <w:r>
        <w:t>question</w:t>
      </w:r>
      <w:r>
        <w:rPr>
          <w:spacing w:val="-6"/>
        </w:rPr>
        <w:t xml:space="preserve"> </w:t>
      </w:r>
      <w:r>
        <w:t>of</w:t>
      </w:r>
      <w:r>
        <w:rPr>
          <w:spacing w:val="-5"/>
        </w:rPr>
        <w:t xml:space="preserve"> </w:t>
      </w:r>
      <w:r>
        <w:t>law</w:t>
      </w:r>
      <w:r>
        <w:rPr>
          <w:spacing w:val="-7"/>
        </w:rPr>
        <w:t xml:space="preserve"> </w:t>
      </w:r>
      <w:r>
        <w:t>arises</w:t>
      </w:r>
      <w:r>
        <w:rPr>
          <w:spacing w:val="-5"/>
        </w:rPr>
        <w:t xml:space="preserve"> </w:t>
      </w:r>
      <w:r>
        <w:t>with</w:t>
      </w:r>
      <w:r>
        <w:rPr>
          <w:spacing w:val="-9"/>
        </w:rPr>
        <w:t xml:space="preserve"> </w:t>
      </w:r>
      <w:r>
        <w:t>respect</w:t>
      </w:r>
      <w:r>
        <w:rPr>
          <w:spacing w:val="-8"/>
        </w:rPr>
        <w:t xml:space="preserve"> </w:t>
      </w:r>
      <w:r>
        <w:t>to</w:t>
      </w:r>
      <w:r>
        <w:rPr>
          <w:spacing w:val="-6"/>
        </w:rPr>
        <w:t xml:space="preserve"> </w:t>
      </w:r>
      <w:r>
        <w:t>the</w:t>
      </w:r>
      <w:r>
        <w:rPr>
          <w:spacing w:val="-6"/>
        </w:rPr>
        <w:t xml:space="preserve"> </w:t>
      </w:r>
      <w:r>
        <w:t>interpretation</w:t>
      </w:r>
    </w:p>
    <w:p w14:paraId="7CB2602D" w14:textId="77777777" w:rsidR="008A4099" w:rsidRDefault="008A4099">
      <w:pPr>
        <w:pStyle w:val="BodyText"/>
        <w:rPr>
          <w:sz w:val="20"/>
        </w:rPr>
      </w:pPr>
    </w:p>
    <w:p w14:paraId="7CB2602E" w14:textId="77777777" w:rsidR="008A4099" w:rsidRDefault="008A4099">
      <w:pPr>
        <w:pStyle w:val="BodyText"/>
        <w:rPr>
          <w:sz w:val="20"/>
        </w:rPr>
      </w:pPr>
    </w:p>
    <w:p w14:paraId="7CB2602F" w14:textId="77777777" w:rsidR="008A4099" w:rsidRDefault="006A6EE2">
      <w:pPr>
        <w:pStyle w:val="BodyText"/>
        <w:spacing w:before="77"/>
        <w:rPr>
          <w:sz w:val="20"/>
        </w:rPr>
      </w:pPr>
      <w:r>
        <w:rPr>
          <w:noProof/>
        </w:rPr>
        <mc:AlternateContent>
          <mc:Choice Requires="wps">
            <w:drawing>
              <wp:anchor distT="0" distB="0" distL="0" distR="0" simplePos="0" relativeHeight="487613952" behindDoc="1" locked="0" layoutInCell="1" allowOverlap="1" wp14:anchorId="7CB2663F" wp14:editId="7CB26640">
                <wp:simplePos x="0" y="0"/>
                <wp:positionH relativeFrom="page">
                  <wp:posOffset>914704</wp:posOffset>
                </wp:positionH>
                <wp:positionV relativeFrom="paragraph">
                  <wp:posOffset>210496</wp:posOffset>
                </wp:positionV>
                <wp:extent cx="1829435" cy="762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106AF" id="Graphic 93" o:spid="_x0000_s1026" style="position:absolute;margin-left:1in;margin-top:16.55pt;width:144.05pt;height:.6pt;z-index:-157025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" path="m1829054,l,,,7620r1829054,l1829054,xe" fillcolor="black" stroked="f">
                <v:path arrowok="t"/>
                <w10:wrap type="topAndBottom" anchorx="page"/>
              </v:shape>
            </w:pict>
          </mc:Fallback>
        </mc:AlternateContent>
      </w:r>
    </w:p>
    <w:p w14:paraId="7CB26030" w14:textId="77777777" w:rsidR="008A4099" w:rsidRDefault="006A6EE2">
      <w:pPr>
        <w:spacing w:before="113"/>
        <w:ind w:left="160"/>
        <w:rPr>
          <w:sz w:val="18"/>
        </w:rPr>
      </w:pPr>
      <w:r>
        <w:rPr>
          <w:sz w:val="18"/>
          <w:vertAlign w:val="superscript"/>
        </w:rPr>
        <w:t>313</w:t>
      </w:r>
      <w:r>
        <w:rPr>
          <w:spacing w:val="-1"/>
          <w:sz w:val="18"/>
        </w:rPr>
        <w:t xml:space="preserve"> </w:t>
      </w:r>
      <w:r>
        <w:rPr>
          <w:i/>
          <w:sz w:val="18"/>
        </w:rPr>
        <w:t>Kassam v Hazzard; Henry</w:t>
      </w:r>
      <w:r>
        <w:rPr>
          <w:i/>
          <w:spacing w:val="-1"/>
          <w:sz w:val="18"/>
        </w:rPr>
        <w:t xml:space="preserve"> </w:t>
      </w:r>
      <w:r>
        <w:rPr>
          <w:i/>
          <w:sz w:val="18"/>
        </w:rPr>
        <w:t>v</w:t>
      </w:r>
      <w:r>
        <w:rPr>
          <w:i/>
          <w:spacing w:val="-1"/>
          <w:sz w:val="18"/>
        </w:rPr>
        <w:t xml:space="preserve"> </w:t>
      </w:r>
      <w:r>
        <w:rPr>
          <w:i/>
          <w:sz w:val="18"/>
        </w:rPr>
        <w:t>Hazzard</w:t>
      </w:r>
      <w:r>
        <w:rPr>
          <w:i/>
          <w:spacing w:val="3"/>
          <w:sz w:val="18"/>
        </w:rPr>
        <w:t xml:space="preserve"> </w:t>
      </w:r>
      <w:r>
        <w:rPr>
          <w:sz w:val="18"/>
        </w:rPr>
        <w:t>[2021] NSWSC 1320</w:t>
      </w:r>
      <w:r>
        <w:rPr>
          <w:spacing w:val="1"/>
          <w:sz w:val="18"/>
        </w:rPr>
        <w:t xml:space="preserve"> </w:t>
      </w:r>
      <w:r>
        <w:rPr>
          <w:spacing w:val="-4"/>
          <w:sz w:val="18"/>
        </w:rPr>
        <w:t>[9].</w:t>
      </w:r>
    </w:p>
    <w:p w14:paraId="7CB26031" w14:textId="77777777" w:rsidR="008A4099" w:rsidRDefault="006A6EE2">
      <w:pPr>
        <w:spacing w:before="23"/>
        <w:ind w:left="160"/>
        <w:rPr>
          <w:sz w:val="18"/>
        </w:rPr>
      </w:pPr>
      <w:r>
        <w:rPr>
          <w:sz w:val="18"/>
          <w:vertAlign w:val="superscript"/>
        </w:rPr>
        <w:t>314</w:t>
      </w:r>
      <w:r>
        <w:rPr>
          <w:spacing w:val="-1"/>
          <w:sz w:val="18"/>
        </w:rPr>
        <w:t xml:space="preserve"> </w:t>
      </w:r>
      <w:r>
        <w:rPr>
          <w:i/>
          <w:sz w:val="18"/>
        </w:rPr>
        <w:t>Kassam v Hazzard; Henry</w:t>
      </w:r>
      <w:r>
        <w:rPr>
          <w:i/>
          <w:spacing w:val="-2"/>
          <w:sz w:val="18"/>
        </w:rPr>
        <w:t xml:space="preserve"> </w:t>
      </w:r>
      <w:r>
        <w:rPr>
          <w:i/>
          <w:sz w:val="18"/>
        </w:rPr>
        <w:t>v</w:t>
      </w:r>
      <w:r>
        <w:rPr>
          <w:i/>
          <w:spacing w:val="-1"/>
          <w:sz w:val="18"/>
        </w:rPr>
        <w:t xml:space="preserve"> </w:t>
      </w:r>
      <w:r>
        <w:rPr>
          <w:i/>
          <w:sz w:val="18"/>
        </w:rPr>
        <w:t>Hazzard</w:t>
      </w:r>
      <w:r>
        <w:rPr>
          <w:i/>
          <w:spacing w:val="3"/>
          <w:sz w:val="18"/>
        </w:rPr>
        <w:t xml:space="preserve"> </w:t>
      </w:r>
      <w:r>
        <w:rPr>
          <w:sz w:val="18"/>
        </w:rPr>
        <w:t xml:space="preserve">[2021] NSWSC 1320 [9], </w:t>
      </w:r>
      <w:r>
        <w:rPr>
          <w:spacing w:val="-4"/>
          <w:sz w:val="18"/>
        </w:rPr>
        <w:t>[23].</w:t>
      </w:r>
    </w:p>
    <w:p w14:paraId="7CB26032" w14:textId="77777777" w:rsidR="008A4099" w:rsidRDefault="006A6EE2">
      <w:pPr>
        <w:spacing w:before="24"/>
        <w:ind w:left="160"/>
        <w:rPr>
          <w:sz w:val="18"/>
        </w:rPr>
      </w:pPr>
      <w:r>
        <w:rPr>
          <w:sz w:val="18"/>
          <w:vertAlign w:val="superscript"/>
        </w:rPr>
        <w:t>315</w:t>
      </w:r>
      <w:r>
        <w:rPr>
          <w:spacing w:val="1"/>
          <w:sz w:val="18"/>
        </w:rPr>
        <w:t xml:space="preserve"> </w:t>
      </w:r>
      <w:r>
        <w:rPr>
          <w:sz w:val="18"/>
        </w:rPr>
        <w:t>See QHRC,</w:t>
      </w:r>
      <w:r>
        <w:rPr>
          <w:spacing w:val="2"/>
          <w:sz w:val="18"/>
        </w:rPr>
        <w:t xml:space="preserve"> </w:t>
      </w:r>
      <w:r>
        <w:rPr>
          <w:i/>
          <w:sz w:val="18"/>
        </w:rPr>
        <w:t>Annual</w:t>
      </w:r>
      <w:r>
        <w:rPr>
          <w:i/>
          <w:spacing w:val="1"/>
          <w:sz w:val="18"/>
        </w:rPr>
        <w:t xml:space="preserve"> </w:t>
      </w:r>
      <w:r>
        <w:rPr>
          <w:i/>
          <w:sz w:val="18"/>
        </w:rPr>
        <w:t>Report</w:t>
      </w:r>
      <w:r>
        <w:rPr>
          <w:i/>
          <w:spacing w:val="1"/>
          <w:sz w:val="18"/>
        </w:rPr>
        <w:t xml:space="preserve"> </w:t>
      </w:r>
      <w:r>
        <w:rPr>
          <w:i/>
          <w:sz w:val="18"/>
        </w:rPr>
        <w:t xml:space="preserve">2020-21 </w:t>
      </w:r>
      <w:r>
        <w:rPr>
          <w:spacing w:val="-2"/>
          <w:sz w:val="18"/>
        </w:rPr>
        <w:t>55–65.</w:t>
      </w:r>
    </w:p>
    <w:p w14:paraId="7CB26033" w14:textId="77777777" w:rsidR="008A4099" w:rsidRDefault="006A6EE2">
      <w:pPr>
        <w:spacing w:before="23"/>
        <w:ind w:left="160"/>
        <w:rPr>
          <w:sz w:val="18"/>
        </w:rPr>
      </w:pPr>
      <w:r>
        <w:rPr>
          <w:sz w:val="18"/>
          <w:vertAlign w:val="superscript"/>
        </w:rPr>
        <w:t>316</w:t>
      </w:r>
      <w:r>
        <w:rPr>
          <w:sz w:val="18"/>
        </w:rPr>
        <w:t xml:space="preserve"> </w:t>
      </w:r>
      <w:r>
        <w:rPr>
          <w:i/>
          <w:sz w:val="18"/>
        </w:rPr>
        <w:t>PBU &amp; NJE v the</w:t>
      </w:r>
      <w:r>
        <w:rPr>
          <w:i/>
          <w:spacing w:val="-3"/>
          <w:sz w:val="18"/>
        </w:rPr>
        <w:t xml:space="preserve"> </w:t>
      </w:r>
      <w:r>
        <w:rPr>
          <w:i/>
          <w:sz w:val="18"/>
        </w:rPr>
        <w:t>Mental Health Tribunal</w:t>
      </w:r>
      <w:r>
        <w:rPr>
          <w:i/>
          <w:spacing w:val="4"/>
          <w:sz w:val="18"/>
        </w:rPr>
        <w:t xml:space="preserve"> </w:t>
      </w:r>
      <w:r>
        <w:rPr>
          <w:sz w:val="18"/>
        </w:rPr>
        <w:t>[2018]</w:t>
      </w:r>
      <w:r>
        <w:rPr>
          <w:spacing w:val="1"/>
          <w:sz w:val="18"/>
        </w:rPr>
        <w:t xml:space="preserve"> </w:t>
      </w:r>
      <w:r>
        <w:rPr>
          <w:sz w:val="18"/>
        </w:rPr>
        <w:t>VSC</w:t>
      </w:r>
      <w:r>
        <w:rPr>
          <w:spacing w:val="-2"/>
          <w:sz w:val="18"/>
        </w:rPr>
        <w:t xml:space="preserve"> </w:t>
      </w:r>
      <w:r>
        <w:rPr>
          <w:spacing w:val="-4"/>
          <w:sz w:val="18"/>
        </w:rPr>
        <w:t>564.</w:t>
      </w:r>
    </w:p>
    <w:p w14:paraId="7CB26034" w14:textId="77777777" w:rsidR="008A4099" w:rsidRDefault="006A6EE2">
      <w:pPr>
        <w:spacing w:before="24"/>
        <w:ind w:left="160"/>
        <w:rPr>
          <w:sz w:val="18"/>
        </w:rPr>
      </w:pPr>
      <w:r>
        <w:rPr>
          <w:sz w:val="18"/>
          <w:vertAlign w:val="superscript"/>
        </w:rPr>
        <w:t>317</w:t>
      </w:r>
      <w:r>
        <w:rPr>
          <w:spacing w:val="6"/>
          <w:sz w:val="18"/>
        </w:rPr>
        <w:t xml:space="preserve"> </w:t>
      </w:r>
      <w:r>
        <w:rPr>
          <w:sz w:val="18"/>
        </w:rPr>
        <w:t>Ibid</w:t>
      </w:r>
      <w:r>
        <w:rPr>
          <w:spacing w:val="6"/>
          <w:sz w:val="18"/>
        </w:rPr>
        <w:t xml:space="preserve"> </w:t>
      </w:r>
      <w:r>
        <w:rPr>
          <w:spacing w:val="-2"/>
          <w:sz w:val="18"/>
        </w:rPr>
        <w:t>[206].</w:t>
      </w:r>
    </w:p>
    <w:p w14:paraId="7CB26035" w14:textId="77777777" w:rsidR="008A4099" w:rsidRDefault="006A6EE2">
      <w:pPr>
        <w:spacing w:before="23"/>
        <w:ind w:left="160"/>
        <w:rPr>
          <w:sz w:val="18"/>
        </w:rPr>
      </w:pPr>
      <w:r>
        <w:rPr>
          <w:sz w:val="18"/>
          <w:vertAlign w:val="superscript"/>
        </w:rPr>
        <w:t>318</w:t>
      </w:r>
      <w:r>
        <w:rPr>
          <w:sz w:val="18"/>
        </w:rPr>
        <w:t xml:space="preserve"> </w:t>
      </w:r>
      <w:r>
        <w:rPr>
          <w:i/>
          <w:sz w:val="18"/>
        </w:rPr>
        <w:t>Castles v</w:t>
      </w:r>
      <w:r>
        <w:rPr>
          <w:i/>
          <w:spacing w:val="1"/>
          <w:sz w:val="18"/>
        </w:rPr>
        <w:t xml:space="preserve"> </w:t>
      </w:r>
      <w:r>
        <w:rPr>
          <w:i/>
          <w:sz w:val="18"/>
        </w:rPr>
        <w:t>Secretary</w:t>
      </w:r>
      <w:r>
        <w:rPr>
          <w:i/>
          <w:spacing w:val="-1"/>
          <w:sz w:val="18"/>
        </w:rPr>
        <w:t xml:space="preserve"> </w:t>
      </w:r>
      <w:r>
        <w:rPr>
          <w:i/>
          <w:sz w:val="18"/>
        </w:rPr>
        <w:t>of</w:t>
      </w:r>
      <w:r>
        <w:rPr>
          <w:i/>
          <w:spacing w:val="-1"/>
          <w:sz w:val="18"/>
        </w:rPr>
        <w:t xml:space="preserve"> </w:t>
      </w:r>
      <w:r>
        <w:rPr>
          <w:i/>
          <w:sz w:val="18"/>
        </w:rPr>
        <w:t>the Department of</w:t>
      </w:r>
      <w:r>
        <w:rPr>
          <w:i/>
          <w:spacing w:val="1"/>
          <w:sz w:val="18"/>
        </w:rPr>
        <w:t xml:space="preserve"> </w:t>
      </w:r>
      <w:r>
        <w:rPr>
          <w:i/>
          <w:sz w:val="18"/>
        </w:rPr>
        <w:t>Justice</w:t>
      </w:r>
      <w:r>
        <w:rPr>
          <w:i/>
          <w:spacing w:val="3"/>
          <w:sz w:val="18"/>
        </w:rPr>
        <w:t xml:space="preserve"> </w:t>
      </w:r>
      <w:hyperlink r:id="rId129">
        <w:r>
          <w:rPr>
            <w:sz w:val="18"/>
          </w:rPr>
          <w:t>[2010]</w:t>
        </w:r>
        <w:r>
          <w:rPr>
            <w:spacing w:val="-2"/>
            <w:sz w:val="18"/>
          </w:rPr>
          <w:t xml:space="preserve"> </w:t>
        </w:r>
        <w:r>
          <w:rPr>
            <w:sz w:val="18"/>
          </w:rPr>
          <w:t>VSC</w:t>
        </w:r>
        <w:r>
          <w:rPr>
            <w:spacing w:val="1"/>
            <w:sz w:val="18"/>
          </w:rPr>
          <w:t xml:space="preserve"> </w:t>
        </w:r>
        <w:r>
          <w:rPr>
            <w:spacing w:val="-4"/>
            <w:sz w:val="18"/>
          </w:rPr>
          <w:t>310.</w:t>
        </w:r>
      </w:hyperlink>
    </w:p>
    <w:p w14:paraId="7CB26036" w14:textId="77777777" w:rsidR="008A4099" w:rsidRDefault="006A6EE2">
      <w:pPr>
        <w:spacing w:before="21" w:line="242" w:lineRule="auto"/>
        <w:ind w:left="160" w:right="673"/>
        <w:jc w:val="both"/>
        <w:rPr>
          <w:sz w:val="18"/>
        </w:rPr>
      </w:pPr>
      <w:r>
        <w:rPr>
          <w:sz w:val="18"/>
          <w:vertAlign w:val="superscript"/>
        </w:rPr>
        <w:t>319</w:t>
      </w:r>
      <w:r>
        <w:rPr>
          <w:sz w:val="18"/>
        </w:rPr>
        <w:t xml:space="preserve"> The Standard Guidelines for Corrections in Australia, adopted by the Victorian Department of Justice, also state that prisoners</w:t>
      </w:r>
      <w:r>
        <w:rPr>
          <w:spacing w:val="-5"/>
          <w:sz w:val="18"/>
        </w:rPr>
        <w:t xml:space="preserve"> </w:t>
      </w:r>
      <w:r>
        <w:rPr>
          <w:sz w:val="18"/>
        </w:rPr>
        <w:t>should</w:t>
      </w:r>
      <w:r>
        <w:rPr>
          <w:spacing w:val="-3"/>
          <w:sz w:val="18"/>
        </w:rPr>
        <w:t xml:space="preserve"> </w:t>
      </w:r>
      <w:r>
        <w:rPr>
          <w:sz w:val="18"/>
        </w:rPr>
        <w:t>be</w:t>
      </w:r>
      <w:r>
        <w:rPr>
          <w:spacing w:val="-5"/>
          <w:sz w:val="18"/>
        </w:rPr>
        <w:t xml:space="preserve"> </w:t>
      </w:r>
      <w:r>
        <w:rPr>
          <w:sz w:val="18"/>
        </w:rPr>
        <w:t>able</w:t>
      </w:r>
      <w:r>
        <w:rPr>
          <w:spacing w:val="-5"/>
          <w:sz w:val="18"/>
        </w:rPr>
        <w:t xml:space="preserve"> </w:t>
      </w:r>
      <w:r>
        <w:rPr>
          <w:sz w:val="18"/>
        </w:rPr>
        <w:t>to</w:t>
      </w:r>
      <w:r>
        <w:rPr>
          <w:spacing w:val="-3"/>
          <w:sz w:val="18"/>
        </w:rPr>
        <w:t xml:space="preserve"> </w:t>
      </w:r>
      <w:r>
        <w:rPr>
          <w:sz w:val="18"/>
        </w:rPr>
        <w:t>access</w:t>
      </w:r>
      <w:r>
        <w:rPr>
          <w:spacing w:val="-3"/>
          <w:sz w:val="18"/>
        </w:rPr>
        <w:t xml:space="preserve"> </w:t>
      </w:r>
      <w:r>
        <w:rPr>
          <w:sz w:val="18"/>
        </w:rPr>
        <w:t>to</w:t>
      </w:r>
      <w:r>
        <w:rPr>
          <w:spacing w:val="-3"/>
          <w:sz w:val="18"/>
        </w:rPr>
        <w:t xml:space="preserve"> </w:t>
      </w:r>
      <w:r>
        <w:rPr>
          <w:sz w:val="18"/>
        </w:rPr>
        <w:t>appropriate</w:t>
      </w:r>
      <w:r>
        <w:rPr>
          <w:spacing w:val="-5"/>
          <w:sz w:val="18"/>
        </w:rPr>
        <w:t xml:space="preserve"> </w:t>
      </w:r>
      <w:r>
        <w:rPr>
          <w:sz w:val="18"/>
        </w:rPr>
        <w:t>health</w:t>
      </w:r>
      <w:r>
        <w:rPr>
          <w:spacing w:val="-3"/>
          <w:sz w:val="18"/>
        </w:rPr>
        <w:t xml:space="preserve"> </w:t>
      </w:r>
      <w:r>
        <w:rPr>
          <w:sz w:val="18"/>
        </w:rPr>
        <w:t>services</w:t>
      </w:r>
      <w:r>
        <w:rPr>
          <w:spacing w:val="-5"/>
          <w:sz w:val="18"/>
        </w:rPr>
        <w:t xml:space="preserve"> </w:t>
      </w:r>
      <w:r>
        <w:rPr>
          <w:sz w:val="18"/>
        </w:rPr>
        <w:t>(including</w:t>
      </w:r>
      <w:r>
        <w:rPr>
          <w:spacing w:val="-3"/>
          <w:sz w:val="18"/>
        </w:rPr>
        <w:t xml:space="preserve"> </w:t>
      </w:r>
      <w:r>
        <w:rPr>
          <w:sz w:val="18"/>
        </w:rPr>
        <w:t>private</w:t>
      </w:r>
      <w:r>
        <w:rPr>
          <w:spacing w:val="-5"/>
          <w:sz w:val="18"/>
        </w:rPr>
        <w:t xml:space="preserve"> </w:t>
      </w:r>
      <w:r>
        <w:rPr>
          <w:sz w:val="18"/>
        </w:rPr>
        <w:t>health</w:t>
      </w:r>
      <w:r>
        <w:rPr>
          <w:spacing w:val="-3"/>
          <w:sz w:val="18"/>
        </w:rPr>
        <w:t xml:space="preserve"> </w:t>
      </w:r>
      <w:r>
        <w:rPr>
          <w:sz w:val="18"/>
        </w:rPr>
        <w:t>services,</w:t>
      </w:r>
      <w:r>
        <w:rPr>
          <w:spacing w:val="-4"/>
          <w:sz w:val="18"/>
        </w:rPr>
        <w:t xml:space="preserve"> </w:t>
      </w:r>
      <w:r>
        <w:rPr>
          <w:sz w:val="18"/>
        </w:rPr>
        <w:t>if</w:t>
      </w:r>
      <w:r>
        <w:rPr>
          <w:spacing w:val="-6"/>
          <w:sz w:val="18"/>
        </w:rPr>
        <w:t xml:space="preserve"> </w:t>
      </w:r>
      <w:r>
        <w:rPr>
          <w:sz w:val="18"/>
        </w:rPr>
        <w:t>they</w:t>
      </w:r>
      <w:r>
        <w:rPr>
          <w:spacing w:val="-3"/>
          <w:sz w:val="18"/>
        </w:rPr>
        <w:t xml:space="preserve"> </w:t>
      </w:r>
      <w:r>
        <w:rPr>
          <w:sz w:val="18"/>
        </w:rPr>
        <w:t>can</w:t>
      </w:r>
      <w:r>
        <w:rPr>
          <w:spacing w:val="-3"/>
          <w:sz w:val="18"/>
        </w:rPr>
        <w:t xml:space="preserve"> </w:t>
      </w:r>
      <w:r>
        <w:rPr>
          <w:sz w:val="18"/>
        </w:rPr>
        <w:t>cover</w:t>
      </w:r>
      <w:r>
        <w:rPr>
          <w:spacing w:val="-4"/>
          <w:sz w:val="18"/>
        </w:rPr>
        <w:t xml:space="preserve"> </w:t>
      </w:r>
      <w:r>
        <w:rPr>
          <w:sz w:val="18"/>
        </w:rPr>
        <w:t>the</w:t>
      </w:r>
      <w:r>
        <w:rPr>
          <w:spacing w:val="-5"/>
          <w:sz w:val="18"/>
        </w:rPr>
        <w:t xml:space="preserve"> </w:t>
      </w:r>
      <w:r>
        <w:rPr>
          <w:sz w:val="18"/>
        </w:rPr>
        <w:t>costs) and</w:t>
      </w:r>
      <w:r>
        <w:rPr>
          <w:spacing w:val="-12"/>
          <w:sz w:val="18"/>
        </w:rPr>
        <w:t xml:space="preserve"> </w:t>
      </w:r>
      <w:r>
        <w:rPr>
          <w:sz w:val="18"/>
        </w:rPr>
        <w:t>maintain</w:t>
      </w:r>
      <w:r>
        <w:rPr>
          <w:spacing w:val="-11"/>
          <w:sz w:val="18"/>
        </w:rPr>
        <w:t xml:space="preserve"> </w:t>
      </w:r>
      <w:r>
        <w:rPr>
          <w:sz w:val="18"/>
        </w:rPr>
        <w:t>medical</w:t>
      </w:r>
      <w:r>
        <w:rPr>
          <w:spacing w:val="-11"/>
          <w:sz w:val="18"/>
        </w:rPr>
        <w:t xml:space="preserve"> </w:t>
      </w:r>
      <w:r>
        <w:rPr>
          <w:sz w:val="18"/>
        </w:rPr>
        <w:t>treatment</w:t>
      </w:r>
      <w:r>
        <w:rPr>
          <w:spacing w:val="-11"/>
          <w:sz w:val="18"/>
        </w:rPr>
        <w:t xml:space="preserve"> </w:t>
      </w:r>
      <w:r>
        <w:rPr>
          <w:sz w:val="18"/>
        </w:rPr>
        <w:t>they</w:t>
      </w:r>
      <w:r>
        <w:rPr>
          <w:spacing w:val="-12"/>
          <w:sz w:val="18"/>
        </w:rPr>
        <w:t xml:space="preserve"> </w:t>
      </w:r>
      <w:r>
        <w:rPr>
          <w:sz w:val="18"/>
        </w:rPr>
        <w:t>received</w:t>
      </w:r>
      <w:r>
        <w:rPr>
          <w:spacing w:val="-11"/>
          <w:sz w:val="18"/>
        </w:rPr>
        <w:t xml:space="preserve"> </w:t>
      </w:r>
      <w:r>
        <w:rPr>
          <w:sz w:val="18"/>
        </w:rPr>
        <w:t>before</w:t>
      </w:r>
      <w:r>
        <w:rPr>
          <w:spacing w:val="-11"/>
          <w:sz w:val="18"/>
        </w:rPr>
        <w:t xml:space="preserve"> </w:t>
      </w:r>
      <w:r>
        <w:rPr>
          <w:sz w:val="18"/>
        </w:rPr>
        <w:t>imprisonment:</w:t>
      </w:r>
      <w:r>
        <w:rPr>
          <w:spacing w:val="-11"/>
          <w:sz w:val="18"/>
        </w:rPr>
        <w:t xml:space="preserve"> </w:t>
      </w:r>
      <w:r>
        <w:rPr>
          <w:sz w:val="18"/>
        </w:rPr>
        <w:t>see</w:t>
      </w:r>
      <w:r>
        <w:rPr>
          <w:spacing w:val="-12"/>
          <w:sz w:val="18"/>
        </w:rPr>
        <w:t xml:space="preserve"> </w:t>
      </w:r>
      <w:r>
        <w:rPr>
          <w:sz w:val="18"/>
        </w:rPr>
        <w:t>Corrections,</w:t>
      </w:r>
      <w:r>
        <w:rPr>
          <w:spacing w:val="-11"/>
          <w:sz w:val="18"/>
        </w:rPr>
        <w:t xml:space="preserve"> </w:t>
      </w:r>
      <w:r>
        <w:rPr>
          <w:sz w:val="18"/>
        </w:rPr>
        <w:t>Prisons</w:t>
      </w:r>
      <w:r>
        <w:rPr>
          <w:spacing w:val="-11"/>
          <w:sz w:val="18"/>
        </w:rPr>
        <w:t xml:space="preserve"> </w:t>
      </w:r>
      <w:r>
        <w:rPr>
          <w:sz w:val="18"/>
        </w:rPr>
        <w:t>&amp;</w:t>
      </w:r>
      <w:r>
        <w:rPr>
          <w:spacing w:val="-11"/>
          <w:sz w:val="18"/>
        </w:rPr>
        <w:t xml:space="preserve"> </w:t>
      </w:r>
      <w:r>
        <w:rPr>
          <w:sz w:val="18"/>
        </w:rPr>
        <w:t>Parole,</w:t>
      </w:r>
      <w:r>
        <w:rPr>
          <w:spacing w:val="-12"/>
          <w:sz w:val="18"/>
        </w:rPr>
        <w:t xml:space="preserve"> </w:t>
      </w:r>
      <w:r>
        <w:rPr>
          <w:i/>
          <w:sz w:val="18"/>
        </w:rPr>
        <w:t>Standards</w:t>
      </w:r>
      <w:r>
        <w:rPr>
          <w:i/>
          <w:spacing w:val="-11"/>
          <w:sz w:val="18"/>
        </w:rPr>
        <w:t xml:space="preserve"> </w:t>
      </w:r>
      <w:r>
        <w:rPr>
          <w:i/>
          <w:sz w:val="18"/>
        </w:rPr>
        <w:t>for</w:t>
      </w:r>
      <w:r>
        <w:rPr>
          <w:i/>
          <w:spacing w:val="-11"/>
          <w:sz w:val="18"/>
        </w:rPr>
        <w:t xml:space="preserve"> </w:t>
      </w:r>
      <w:r>
        <w:rPr>
          <w:i/>
          <w:sz w:val="18"/>
        </w:rPr>
        <w:t xml:space="preserve">Prisoners and Offenders </w:t>
      </w:r>
      <w:r>
        <w:rPr>
          <w:sz w:val="18"/>
        </w:rPr>
        <w:t>(State of Victoria, 2023) &lt;https:/</w:t>
      </w:r>
      <w:hyperlink r:id="rId130">
        <w:r>
          <w:rPr>
            <w:sz w:val="18"/>
          </w:rPr>
          <w:t>/www.corrections.vic.gov.au/standards-for-prisoners-and-offenders&gt;</w:t>
        </w:r>
      </w:hyperlink>
      <w:r>
        <w:rPr>
          <w:sz w:val="18"/>
        </w:rPr>
        <w:t>.</w:t>
      </w:r>
    </w:p>
    <w:p w14:paraId="7CB26037" w14:textId="77777777" w:rsidR="008A4099" w:rsidRDefault="006A6EE2">
      <w:pPr>
        <w:spacing w:before="16"/>
        <w:ind w:left="160"/>
        <w:rPr>
          <w:sz w:val="18"/>
        </w:rPr>
      </w:pPr>
      <w:r>
        <w:rPr>
          <w:sz w:val="18"/>
          <w:vertAlign w:val="superscript"/>
        </w:rPr>
        <w:t>320</w:t>
      </w:r>
      <w:r>
        <w:rPr>
          <w:sz w:val="18"/>
        </w:rPr>
        <w:t xml:space="preserve"> </w:t>
      </w:r>
      <w:r>
        <w:rPr>
          <w:i/>
          <w:sz w:val="18"/>
        </w:rPr>
        <w:t>Castles v</w:t>
      </w:r>
      <w:r>
        <w:rPr>
          <w:i/>
          <w:spacing w:val="-1"/>
          <w:sz w:val="18"/>
        </w:rPr>
        <w:t xml:space="preserve"> </w:t>
      </w:r>
      <w:r>
        <w:rPr>
          <w:i/>
          <w:sz w:val="18"/>
        </w:rPr>
        <w:t>Secretary of</w:t>
      </w:r>
      <w:r>
        <w:rPr>
          <w:i/>
          <w:spacing w:val="-2"/>
          <w:sz w:val="18"/>
        </w:rPr>
        <w:t xml:space="preserve"> </w:t>
      </w:r>
      <w:r>
        <w:rPr>
          <w:i/>
          <w:sz w:val="18"/>
        </w:rPr>
        <w:t>the Department of</w:t>
      </w:r>
      <w:r>
        <w:rPr>
          <w:i/>
          <w:spacing w:val="1"/>
          <w:sz w:val="18"/>
        </w:rPr>
        <w:t xml:space="preserve"> </w:t>
      </w:r>
      <w:r>
        <w:rPr>
          <w:i/>
          <w:sz w:val="18"/>
        </w:rPr>
        <w:t>Justice</w:t>
      </w:r>
      <w:r>
        <w:rPr>
          <w:i/>
          <w:spacing w:val="2"/>
          <w:sz w:val="18"/>
        </w:rPr>
        <w:t xml:space="preserve"> </w:t>
      </w:r>
      <w:r>
        <w:rPr>
          <w:sz w:val="18"/>
        </w:rPr>
        <w:t>[2010]</w:t>
      </w:r>
      <w:r>
        <w:rPr>
          <w:spacing w:val="-1"/>
          <w:sz w:val="18"/>
        </w:rPr>
        <w:t xml:space="preserve"> </w:t>
      </w:r>
      <w:r>
        <w:rPr>
          <w:sz w:val="18"/>
        </w:rPr>
        <w:t>VSC</w:t>
      </w:r>
      <w:r>
        <w:rPr>
          <w:spacing w:val="1"/>
          <w:sz w:val="18"/>
        </w:rPr>
        <w:t xml:space="preserve"> </w:t>
      </w:r>
      <w:r>
        <w:rPr>
          <w:sz w:val="18"/>
        </w:rPr>
        <w:t xml:space="preserve">310 </w:t>
      </w:r>
      <w:r>
        <w:rPr>
          <w:spacing w:val="-2"/>
          <w:sz w:val="18"/>
        </w:rPr>
        <w:t>[105].</w:t>
      </w:r>
    </w:p>
    <w:p w14:paraId="7CB26038" w14:textId="77777777" w:rsidR="008A4099" w:rsidRDefault="006A6EE2">
      <w:pPr>
        <w:spacing w:before="23" w:line="244" w:lineRule="auto"/>
        <w:ind w:left="160" w:right="680"/>
        <w:rPr>
          <w:sz w:val="18"/>
        </w:rPr>
      </w:pPr>
      <w:r>
        <w:rPr>
          <w:sz w:val="18"/>
          <w:vertAlign w:val="superscript"/>
        </w:rPr>
        <w:t>321</w:t>
      </w:r>
      <w:r>
        <w:rPr>
          <w:sz w:val="18"/>
        </w:rPr>
        <w:t xml:space="preserve"> Ibid [108]. The Court also</w:t>
      </w:r>
      <w:r>
        <w:rPr>
          <w:spacing w:val="-1"/>
          <w:sz w:val="18"/>
        </w:rPr>
        <w:t xml:space="preserve"> </w:t>
      </w:r>
      <w:r>
        <w:rPr>
          <w:sz w:val="18"/>
        </w:rPr>
        <w:t>noted</w:t>
      </w:r>
      <w:r>
        <w:rPr>
          <w:spacing w:val="-1"/>
          <w:sz w:val="18"/>
        </w:rPr>
        <w:t xml:space="preserve"> </w:t>
      </w:r>
      <w:r>
        <w:rPr>
          <w:sz w:val="18"/>
        </w:rPr>
        <w:t>that s</w:t>
      </w:r>
      <w:r>
        <w:rPr>
          <w:spacing w:val="-2"/>
          <w:sz w:val="18"/>
        </w:rPr>
        <w:t xml:space="preserve"> </w:t>
      </w:r>
      <w:r>
        <w:rPr>
          <w:sz w:val="18"/>
        </w:rPr>
        <w:t>47(1)(f) and the National Guidelines would</w:t>
      </w:r>
      <w:r>
        <w:rPr>
          <w:spacing w:val="-1"/>
          <w:sz w:val="18"/>
        </w:rPr>
        <w:t xml:space="preserve"> </w:t>
      </w:r>
      <w:r>
        <w:rPr>
          <w:sz w:val="18"/>
        </w:rPr>
        <w:t>have</w:t>
      </w:r>
      <w:r>
        <w:rPr>
          <w:spacing w:val="-3"/>
          <w:sz w:val="18"/>
        </w:rPr>
        <w:t xml:space="preserve"> </w:t>
      </w:r>
      <w:r>
        <w:rPr>
          <w:sz w:val="18"/>
        </w:rPr>
        <w:t>protected</w:t>
      </w:r>
      <w:r>
        <w:rPr>
          <w:spacing w:val="-1"/>
          <w:sz w:val="18"/>
        </w:rPr>
        <w:t xml:space="preserve"> </w:t>
      </w:r>
      <w:r>
        <w:rPr>
          <w:sz w:val="18"/>
        </w:rPr>
        <w:t>this right, even without the Charter, but that the Charter confirmed a broad interpretation of the right.</w:t>
      </w:r>
    </w:p>
    <w:p w14:paraId="7CB26039" w14:textId="77777777" w:rsidR="008A4099" w:rsidRDefault="006A6EE2">
      <w:pPr>
        <w:spacing w:before="15"/>
        <w:ind w:left="160"/>
        <w:rPr>
          <w:sz w:val="18"/>
        </w:rPr>
      </w:pPr>
      <w:r>
        <w:rPr>
          <w:sz w:val="18"/>
          <w:vertAlign w:val="superscript"/>
        </w:rPr>
        <w:t>322</w:t>
      </w:r>
      <w:r>
        <w:rPr>
          <w:spacing w:val="6"/>
          <w:sz w:val="18"/>
        </w:rPr>
        <w:t xml:space="preserve"> </w:t>
      </w:r>
      <w:r>
        <w:rPr>
          <w:sz w:val="18"/>
        </w:rPr>
        <w:t>Ibid</w:t>
      </w:r>
      <w:r>
        <w:rPr>
          <w:spacing w:val="6"/>
          <w:sz w:val="18"/>
        </w:rPr>
        <w:t xml:space="preserve"> </w:t>
      </w:r>
      <w:r>
        <w:rPr>
          <w:spacing w:val="-2"/>
          <w:sz w:val="18"/>
        </w:rPr>
        <w:t>[147].</w:t>
      </w:r>
    </w:p>
    <w:p w14:paraId="7CB2603A" w14:textId="77777777" w:rsidR="008A4099" w:rsidRDefault="008A4099">
      <w:pPr>
        <w:rPr>
          <w:sz w:val="18"/>
        </w:rPr>
        <w:sectPr w:rsidR="008A4099" w:rsidSect="00D43B2D">
          <w:pgSz w:w="11910" w:h="16840"/>
          <w:pgMar w:top="980" w:right="760" w:bottom="940" w:left="1280" w:header="718" w:footer="753" w:gutter="0"/>
          <w:cols w:space="720"/>
        </w:sectPr>
      </w:pPr>
    </w:p>
    <w:p w14:paraId="7CB2603B" w14:textId="77777777" w:rsidR="008A4099" w:rsidRDefault="008A4099">
      <w:pPr>
        <w:pStyle w:val="BodyText"/>
        <w:spacing w:before="194"/>
      </w:pPr>
    </w:p>
    <w:p w14:paraId="7CB2603C" w14:textId="77777777" w:rsidR="008A4099" w:rsidRDefault="006A6EE2">
      <w:pPr>
        <w:pStyle w:val="BodyText"/>
        <w:ind w:left="160" w:right="679"/>
      </w:pPr>
      <w:r>
        <w:t>of human rights enactment. It also highlights the role to be played by courts in the interpretation and articulation of the rights set out in the human rights legislation.</w:t>
      </w:r>
    </w:p>
    <w:p w14:paraId="7CB2603D" w14:textId="77777777" w:rsidR="008A4099" w:rsidRDefault="006A6EE2">
      <w:pPr>
        <w:pStyle w:val="ListParagraph"/>
        <w:numPr>
          <w:ilvl w:val="2"/>
          <w:numId w:val="6"/>
        </w:numPr>
        <w:tabs>
          <w:tab w:val="left" w:pos="879"/>
        </w:tabs>
        <w:spacing w:line="244" w:lineRule="auto"/>
        <w:ind w:right="673" w:firstLine="0"/>
        <w:jc w:val="both"/>
      </w:pPr>
      <w:r>
        <w:t xml:space="preserve">There has been judicial consideration of the rights of prisoners under the human rights enactment in Queensland. In one of the first cases to invoke the </w:t>
      </w:r>
      <w:r>
        <w:rPr>
          <w:i/>
        </w:rPr>
        <w:t xml:space="preserve">Human Rights Act 2019 </w:t>
      </w:r>
      <w:r>
        <w:t>(Qld), the Queensland Supreme Court considered the rights of a violent prisoner, while also taking account of staff safety and prison resourcing needs.</w:t>
      </w:r>
      <w:r>
        <w:rPr>
          <w:vertAlign w:val="superscript"/>
        </w:rPr>
        <w:t>323</w:t>
      </w:r>
      <w:r>
        <w:t xml:space="preserve"> While the Court dismissed all the grounds for judicial review,</w:t>
      </w:r>
      <w:r>
        <w:rPr>
          <w:spacing w:val="-9"/>
        </w:rPr>
        <w:t xml:space="preserve"> </w:t>
      </w:r>
      <w:r>
        <w:t>it</w:t>
      </w:r>
      <w:r>
        <w:rPr>
          <w:spacing w:val="-8"/>
        </w:rPr>
        <w:t xml:space="preserve"> </w:t>
      </w:r>
      <w:r>
        <w:t>accepted</w:t>
      </w:r>
      <w:r>
        <w:rPr>
          <w:spacing w:val="-9"/>
        </w:rPr>
        <w:t xml:space="preserve"> </w:t>
      </w:r>
      <w:r>
        <w:t>that</w:t>
      </w:r>
      <w:r>
        <w:rPr>
          <w:spacing w:val="-11"/>
        </w:rPr>
        <w:t xml:space="preserve"> </w:t>
      </w:r>
      <w:r>
        <w:t>there</w:t>
      </w:r>
      <w:r>
        <w:rPr>
          <w:spacing w:val="-9"/>
        </w:rPr>
        <w:t xml:space="preserve"> </w:t>
      </w:r>
      <w:r>
        <w:t>had</w:t>
      </w:r>
      <w:r>
        <w:rPr>
          <w:spacing w:val="-9"/>
        </w:rPr>
        <w:t xml:space="preserve"> </w:t>
      </w:r>
      <w:r>
        <w:t>been</w:t>
      </w:r>
      <w:r>
        <w:rPr>
          <w:spacing w:val="-10"/>
        </w:rPr>
        <w:t xml:space="preserve"> </w:t>
      </w:r>
      <w:r>
        <w:t>a</w:t>
      </w:r>
      <w:r>
        <w:rPr>
          <w:spacing w:val="-9"/>
        </w:rPr>
        <w:t xml:space="preserve"> </w:t>
      </w:r>
      <w:r>
        <w:t>failure</w:t>
      </w:r>
      <w:r>
        <w:rPr>
          <w:spacing w:val="-12"/>
        </w:rPr>
        <w:t xml:space="preserve"> </w:t>
      </w:r>
      <w:r>
        <w:t>to</w:t>
      </w:r>
      <w:r>
        <w:rPr>
          <w:spacing w:val="-10"/>
        </w:rPr>
        <w:t xml:space="preserve"> </w:t>
      </w:r>
      <w:r>
        <w:t>take</w:t>
      </w:r>
      <w:r>
        <w:rPr>
          <w:spacing w:val="-11"/>
        </w:rPr>
        <w:t xml:space="preserve"> </w:t>
      </w:r>
      <w:r>
        <w:t>account</w:t>
      </w:r>
      <w:r>
        <w:rPr>
          <w:spacing w:val="-9"/>
        </w:rPr>
        <w:t xml:space="preserve"> </w:t>
      </w:r>
      <w:r>
        <w:t>of</w:t>
      </w:r>
      <w:r>
        <w:rPr>
          <w:spacing w:val="-11"/>
        </w:rPr>
        <w:t xml:space="preserve"> </w:t>
      </w:r>
      <w:r>
        <w:t>relevant</w:t>
      </w:r>
      <w:r>
        <w:rPr>
          <w:spacing w:val="-9"/>
        </w:rPr>
        <w:t xml:space="preserve"> </w:t>
      </w:r>
      <w:r>
        <w:t>considerations</w:t>
      </w:r>
      <w:r>
        <w:rPr>
          <w:spacing w:val="-9"/>
        </w:rPr>
        <w:t xml:space="preserve"> </w:t>
      </w:r>
      <w:r>
        <w:t>under</w:t>
      </w:r>
      <w:r>
        <w:rPr>
          <w:spacing w:val="-9"/>
        </w:rPr>
        <w:t xml:space="preserve"> </w:t>
      </w:r>
      <w:r>
        <w:t>the</w:t>
      </w:r>
      <w:r>
        <w:rPr>
          <w:spacing w:val="-2"/>
        </w:rPr>
        <w:t xml:space="preserve"> </w:t>
      </w:r>
      <w:r>
        <w:t>Qld Human</w:t>
      </w:r>
      <w:r>
        <w:rPr>
          <w:spacing w:val="-5"/>
        </w:rPr>
        <w:t xml:space="preserve"> </w:t>
      </w:r>
      <w:r>
        <w:t>Rights</w:t>
      </w:r>
      <w:r>
        <w:rPr>
          <w:spacing w:val="-5"/>
        </w:rPr>
        <w:t xml:space="preserve"> </w:t>
      </w:r>
      <w:r>
        <w:t>Act</w:t>
      </w:r>
      <w:r>
        <w:rPr>
          <w:spacing w:val="-6"/>
        </w:rPr>
        <w:t xml:space="preserve"> </w:t>
      </w:r>
      <w:r>
        <w:t>2019.</w:t>
      </w:r>
      <w:r>
        <w:rPr>
          <w:vertAlign w:val="superscript"/>
        </w:rPr>
        <w:t>324</w:t>
      </w:r>
      <w:r>
        <w:rPr>
          <w:spacing w:val="-5"/>
        </w:rPr>
        <w:t xml:space="preserve"> </w:t>
      </w:r>
      <w:r>
        <w:t>The</w:t>
      </w:r>
      <w:r>
        <w:rPr>
          <w:spacing w:val="-5"/>
        </w:rPr>
        <w:t xml:space="preserve"> </w:t>
      </w:r>
      <w:r>
        <w:t>Court</w:t>
      </w:r>
      <w:r>
        <w:rPr>
          <w:spacing w:val="-6"/>
        </w:rPr>
        <w:t xml:space="preserve"> </w:t>
      </w:r>
      <w:r>
        <w:t>emphasised</w:t>
      </w:r>
      <w:r>
        <w:rPr>
          <w:spacing w:val="-7"/>
        </w:rPr>
        <w:t xml:space="preserve"> </w:t>
      </w:r>
      <w:r>
        <w:t>that</w:t>
      </w:r>
      <w:r>
        <w:rPr>
          <w:spacing w:val="-6"/>
        </w:rPr>
        <w:t xml:space="preserve"> </w:t>
      </w:r>
      <w:r>
        <w:t>the</w:t>
      </w:r>
      <w:r>
        <w:rPr>
          <w:spacing w:val="-5"/>
        </w:rPr>
        <w:t xml:space="preserve"> </w:t>
      </w:r>
      <w:r>
        <w:t>rights</w:t>
      </w:r>
      <w:r>
        <w:rPr>
          <w:spacing w:val="-5"/>
        </w:rPr>
        <w:t xml:space="preserve"> </w:t>
      </w:r>
      <w:r>
        <w:t>under</w:t>
      </w:r>
      <w:r>
        <w:rPr>
          <w:spacing w:val="-5"/>
        </w:rPr>
        <w:t xml:space="preserve"> </w:t>
      </w:r>
      <w:r>
        <w:t>that</w:t>
      </w:r>
      <w:r>
        <w:rPr>
          <w:spacing w:val="-6"/>
        </w:rPr>
        <w:t xml:space="preserve"> </w:t>
      </w:r>
      <w:r>
        <w:t>Act</w:t>
      </w:r>
      <w:r>
        <w:rPr>
          <w:spacing w:val="-6"/>
        </w:rPr>
        <w:t xml:space="preserve"> </w:t>
      </w:r>
      <w:r>
        <w:t>should</w:t>
      </w:r>
      <w:r>
        <w:rPr>
          <w:spacing w:val="-5"/>
        </w:rPr>
        <w:t xml:space="preserve"> </w:t>
      </w:r>
      <w:r>
        <w:t>be</w:t>
      </w:r>
      <w:r>
        <w:rPr>
          <w:spacing w:val="-5"/>
        </w:rPr>
        <w:t xml:space="preserve"> </w:t>
      </w:r>
      <w:r>
        <w:t>construed</w:t>
      </w:r>
      <w:r>
        <w:rPr>
          <w:spacing w:val="-5"/>
        </w:rPr>
        <w:t xml:space="preserve"> </w:t>
      </w:r>
      <w:r>
        <w:t>as widely as possible and that the requirement to consider human rights and balance the competing justifications for limiting human rights imposes a ‘high standard of review’ and one that is ‘more intensive’ and</w:t>
      </w:r>
      <w:r>
        <w:rPr>
          <w:spacing w:val="40"/>
        </w:rPr>
        <w:t xml:space="preserve"> </w:t>
      </w:r>
      <w:r>
        <w:t>‘draws the court more deeply into the facts … than traditional judicial review’.</w:t>
      </w:r>
      <w:r>
        <w:rPr>
          <w:vertAlign w:val="superscript"/>
        </w:rPr>
        <w:t>325</w:t>
      </w:r>
      <w:r>
        <w:t xml:space="preserve"> This judgment</w:t>
      </w:r>
      <w:r>
        <w:rPr>
          <w:spacing w:val="-6"/>
        </w:rPr>
        <w:t xml:space="preserve"> </w:t>
      </w:r>
      <w:r>
        <w:t>emphasises</w:t>
      </w:r>
      <w:r>
        <w:rPr>
          <w:spacing w:val="-9"/>
        </w:rPr>
        <w:t xml:space="preserve"> </w:t>
      </w:r>
      <w:r>
        <w:t>the</w:t>
      </w:r>
      <w:r>
        <w:rPr>
          <w:spacing w:val="-7"/>
        </w:rPr>
        <w:t xml:space="preserve"> </w:t>
      </w:r>
      <w:r>
        <w:t>need</w:t>
      </w:r>
      <w:r>
        <w:rPr>
          <w:spacing w:val="-7"/>
        </w:rPr>
        <w:t xml:space="preserve"> </w:t>
      </w:r>
      <w:r>
        <w:t>for</w:t>
      </w:r>
      <w:r>
        <w:rPr>
          <w:spacing w:val="-6"/>
        </w:rPr>
        <w:t xml:space="preserve"> </w:t>
      </w:r>
      <w:r>
        <w:t>decision-makers</w:t>
      </w:r>
      <w:r>
        <w:rPr>
          <w:spacing w:val="-9"/>
        </w:rPr>
        <w:t xml:space="preserve"> </w:t>
      </w:r>
      <w:r>
        <w:t>to</w:t>
      </w:r>
      <w:r>
        <w:rPr>
          <w:spacing w:val="-10"/>
        </w:rPr>
        <w:t xml:space="preserve"> </w:t>
      </w:r>
      <w:r>
        <w:t>give</w:t>
      </w:r>
      <w:r>
        <w:rPr>
          <w:spacing w:val="-7"/>
        </w:rPr>
        <w:t xml:space="preserve"> </w:t>
      </w:r>
      <w:r>
        <w:t>explicit</w:t>
      </w:r>
      <w:r>
        <w:rPr>
          <w:spacing w:val="-6"/>
        </w:rPr>
        <w:t xml:space="preserve"> </w:t>
      </w:r>
      <w:r>
        <w:t>and</w:t>
      </w:r>
      <w:r>
        <w:rPr>
          <w:spacing w:val="-7"/>
        </w:rPr>
        <w:t xml:space="preserve"> </w:t>
      </w:r>
      <w:r>
        <w:t>meaningful</w:t>
      </w:r>
      <w:r>
        <w:rPr>
          <w:spacing w:val="-6"/>
        </w:rPr>
        <w:t xml:space="preserve"> </w:t>
      </w:r>
      <w:r>
        <w:t>consideration</w:t>
      </w:r>
      <w:r>
        <w:rPr>
          <w:spacing w:val="-7"/>
        </w:rPr>
        <w:t xml:space="preserve"> </w:t>
      </w:r>
      <w:r>
        <w:t>to</w:t>
      </w:r>
      <w:r>
        <w:rPr>
          <w:spacing w:val="-10"/>
        </w:rPr>
        <w:t xml:space="preserve"> </w:t>
      </w:r>
      <w:r>
        <w:t>the impact</w:t>
      </w:r>
      <w:r>
        <w:rPr>
          <w:spacing w:val="-4"/>
        </w:rPr>
        <w:t xml:space="preserve"> </w:t>
      </w:r>
      <w:r>
        <w:t>of</w:t>
      </w:r>
      <w:r>
        <w:rPr>
          <w:spacing w:val="-4"/>
        </w:rPr>
        <w:t xml:space="preserve"> </w:t>
      </w:r>
      <w:r>
        <w:t>decisions</w:t>
      </w:r>
      <w:r>
        <w:rPr>
          <w:spacing w:val="-4"/>
        </w:rPr>
        <w:t xml:space="preserve"> </w:t>
      </w:r>
      <w:r>
        <w:t>on</w:t>
      </w:r>
      <w:r>
        <w:rPr>
          <w:spacing w:val="-7"/>
        </w:rPr>
        <w:t xml:space="preserve"> </w:t>
      </w:r>
      <w:r>
        <w:t>all</w:t>
      </w:r>
      <w:r>
        <w:rPr>
          <w:spacing w:val="-4"/>
        </w:rPr>
        <w:t xml:space="preserve"> </w:t>
      </w:r>
      <w:r>
        <w:t>potentially</w:t>
      </w:r>
      <w:r>
        <w:rPr>
          <w:spacing w:val="-5"/>
        </w:rPr>
        <w:t xml:space="preserve"> </w:t>
      </w:r>
      <w:r>
        <w:t>affected</w:t>
      </w:r>
      <w:r>
        <w:rPr>
          <w:spacing w:val="-5"/>
        </w:rPr>
        <w:t xml:space="preserve"> </w:t>
      </w:r>
      <w:r>
        <w:t>rights,</w:t>
      </w:r>
      <w:r>
        <w:rPr>
          <w:spacing w:val="-5"/>
        </w:rPr>
        <w:t xml:space="preserve"> </w:t>
      </w:r>
      <w:r>
        <w:t>in</w:t>
      </w:r>
      <w:r>
        <w:rPr>
          <w:spacing w:val="-7"/>
        </w:rPr>
        <w:t xml:space="preserve"> </w:t>
      </w:r>
      <w:r>
        <w:t>order</w:t>
      </w:r>
      <w:r>
        <w:rPr>
          <w:spacing w:val="-4"/>
        </w:rPr>
        <w:t xml:space="preserve"> </w:t>
      </w:r>
      <w:r>
        <w:t>to</w:t>
      </w:r>
      <w:r>
        <w:rPr>
          <w:spacing w:val="-5"/>
        </w:rPr>
        <w:t xml:space="preserve"> </w:t>
      </w:r>
      <w:r>
        <w:t>discharge</w:t>
      </w:r>
      <w:r>
        <w:rPr>
          <w:spacing w:val="-4"/>
        </w:rPr>
        <w:t xml:space="preserve"> </w:t>
      </w:r>
      <w:r>
        <w:t>the</w:t>
      </w:r>
      <w:r>
        <w:rPr>
          <w:spacing w:val="-4"/>
        </w:rPr>
        <w:t xml:space="preserve"> </w:t>
      </w:r>
      <w:r>
        <w:t>obligation</w:t>
      </w:r>
      <w:r>
        <w:rPr>
          <w:spacing w:val="-5"/>
        </w:rPr>
        <w:t xml:space="preserve"> </w:t>
      </w:r>
      <w:r>
        <w:t>to</w:t>
      </w:r>
      <w:r>
        <w:rPr>
          <w:spacing w:val="-5"/>
        </w:rPr>
        <w:t xml:space="preserve"> </w:t>
      </w:r>
      <w:r>
        <w:t>give</w:t>
      </w:r>
      <w:r>
        <w:rPr>
          <w:spacing w:val="-4"/>
        </w:rPr>
        <w:t xml:space="preserve"> </w:t>
      </w:r>
      <w:r>
        <w:t>proper consideration to human rights.</w:t>
      </w:r>
    </w:p>
    <w:p w14:paraId="7CB2603E" w14:textId="77777777" w:rsidR="008A4099" w:rsidRDefault="006A6EE2">
      <w:pPr>
        <w:pStyle w:val="ListParagraph"/>
        <w:numPr>
          <w:ilvl w:val="2"/>
          <w:numId w:val="6"/>
        </w:numPr>
        <w:tabs>
          <w:tab w:val="left" w:pos="879"/>
        </w:tabs>
        <w:spacing w:before="217" w:line="247" w:lineRule="auto"/>
        <w:ind w:right="674" w:firstLine="0"/>
        <w:jc w:val="both"/>
      </w:pPr>
      <w:r>
        <w:t xml:space="preserve">Judicial consideration of the treatment of prisoners within the framework of a human rights enactment was also undertaken in the ACT. In </w:t>
      </w:r>
      <w:r>
        <w:rPr>
          <w:i/>
        </w:rPr>
        <w:t>Davidson v Director-General, Justice and Community Safety Directorate</w:t>
      </w:r>
      <w:r>
        <w:t>,</w:t>
      </w:r>
      <w:r>
        <w:rPr>
          <w:vertAlign w:val="superscript"/>
        </w:rPr>
        <w:t>326</w:t>
      </w:r>
      <w:r>
        <w:t xml:space="preserve"> the ACT Supreme Court considered whether the human right of a prisoner in solitary confinement to be treated with dignity and humanity were breached when his access to ‘open air and exercise’ was limited to a small, enclosed internal courtyard.</w:t>
      </w:r>
      <w:r>
        <w:rPr>
          <w:vertAlign w:val="superscript"/>
        </w:rPr>
        <w:t>327</w:t>
      </w:r>
      <w:r>
        <w:t xml:space="preserve"> Loukas-Karlsson J stated that the prison had an obligation to provide access to a space that was suitable for exercise and was not satisfied that the courtyard met this requirement. Her Honour held that Mr Davidson’s human rights had been breached.</w:t>
      </w:r>
      <w:r>
        <w:rPr>
          <w:vertAlign w:val="superscript"/>
        </w:rPr>
        <w:t>328</w:t>
      </w:r>
    </w:p>
    <w:p w14:paraId="7CB2603F" w14:textId="77777777" w:rsidR="008A4099" w:rsidRDefault="006A6EE2">
      <w:pPr>
        <w:pStyle w:val="ListParagraph"/>
        <w:numPr>
          <w:ilvl w:val="2"/>
          <w:numId w:val="6"/>
        </w:numPr>
        <w:tabs>
          <w:tab w:val="left" w:pos="879"/>
        </w:tabs>
        <w:spacing w:before="215" w:line="244" w:lineRule="auto"/>
        <w:ind w:right="678" w:firstLine="0"/>
        <w:jc w:val="both"/>
      </w:pPr>
      <w:r>
        <w:t>In Victoria, the human rights enactment has similarly been relied upon as a basis to evaluate the treatment of prisoners</w:t>
      </w:r>
      <w:r>
        <w:rPr>
          <w:i/>
        </w:rPr>
        <w:t>.</w:t>
      </w:r>
      <w:r>
        <w:rPr>
          <w:vertAlign w:val="superscript"/>
        </w:rPr>
        <w:t>329</w:t>
      </w:r>
      <w:r>
        <w:t xml:space="preserve"> In </w:t>
      </w:r>
      <w:r>
        <w:rPr>
          <w:i/>
        </w:rPr>
        <w:t>Minogue v Thompson</w:t>
      </w:r>
      <w:r>
        <w:t>,</w:t>
      </w:r>
      <w:r>
        <w:rPr>
          <w:vertAlign w:val="superscript"/>
        </w:rPr>
        <w:t>330</w:t>
      </w:r>
      <w:r>
        <w:t xml:space="preserve"> the Victorian Supreme Court held that subjecting a prisoner to random drug and alcohol testing and a strip search before providing a urine sample violated his rights under the Vic Human Rights Charter.</w:t>
      </w:r>
    </w:p>
    <w:p w14:paraId="7CB26040" w14:textId="77777777" w:rsidR="008A4099" w:rsidRDefault="006A6EE2">
      <w:pPr>
        <w:pStyle w:val="ListParagraph"/>
        <w:numPr>
          <w:ilvl w:val="2"/>
          <w:numId w:val="6"/>
        </w:numPr>
        <w:tabs>
          <w:tab w:val="left" w:pos="879"/>
        </w:tabs>
        <w:spacing w:before="214" w:line="247" w:lineRule="auto"/>
        <w:ind w:right="674" w:firstLine="0"/>
        <w:jc w:val="both"/>
      </w:pPr>
      <w:r>
        <w:t>The</w:t>
      </w:r>
      <w:r>
        <w:rPr>
          <w:spacing w:val="-5"/>
        </w:rPr>
        <w:t xml:space="preserve"> </w:t>
      </w:r>
      <w:r>
        <w:t>Victorian</w:t>
      </w:r>
      <w:r>
        <w:rPr>
          <w:spacing w:val="-4"/>
        </w:rPr>
        <w:t xml:space="preserve"> </w:t>
      </w:r>
      <w:r>
        <w:t>Civil</w:t>
      </w:r>
      <w:r>
        <w:rPr>
          <w:spacing w:val="-6"/>
        </w:rPr>
        <w:t xml:space="preserve"> </w:t>
      </w:r>
      <w:r>
        <w:t>and</w:t>
      </w:r>
      <w:r>
        <w:rPr>
          <w:spacing w:val="-7"/>
        </w:rPr>
        <w:t xml:space="preserve"> </w:t>
      </w:r>
      <w:r>
        <w:t>Administrative</w:t>
      </w:r>
      <w:r>
        <w:rPr>
          <w:spacing w:val="-7"/>
        </w:rPr>
        <w:t xml:space="preserve"> </w:t>
      </w:r>
      <w:r>
        <w:t>Tribunal</w:t>
      </w:r>
      <w:r>
        <w:rPr>
          <w:spacing w:val="-6"/>
        </w:rPr>
        <w:t xml:space="preserve"> </w:t>
      </w:r>
      <w:r>
        <w:t>(‘VCAT’) has</w:t>
      </w:r>
      <w:r>
        <w:rPr>
          <w:spacing w:val="-6"/>
        </w:rPr>
        <w:t xml:space="preserve"> </w:t>
      </w:r>
      <w:r>
        <w:t>also</w:t>
      </w:r>
      <w:r>
        <w:rPr>
          <w:spacing w:val="-7"/>
        </w:rPr>
        <w:t xml:space="preserve"> </w:t>
      </w:r>
      <w:r>
        <w:t>relied</w:t>
      </w:r>
      <w:r>
        <w:rPr>
          <w:spacing w:val="-7"/>
        </w:rPr>
        <w:t xml:space="preserve"> </w:t>
      </w:r>
      <w:r>
        <w:t>on</w:t>
      </w:r>
      <w:r>
        <w:rPr>
          <w:spacing w:val="-7"/>
        </w:rPr>
        <w:t xml:space="preserve"> </w:t>
      </w:r>
      <w:r>
        <w:t>the</w:t>
      </w:r>
      <w:r>
        <w:rPr>
          <w:spacing w:val="-9"/>
        </w:rPr>
        <w:t xml:space="preserve"> </w:t>
      </w:r>
      <w:r>
        <w:t>human</w:t>
      </w:r>
      <w:r>
        <w:rPr>
          <w:spacing w:val="-9"/>
        </w:rPr>
        <w:t xml:space="preserve"> </w:t>
      </w:r>
      <w:r>
        <w:t xml:space="preserve">rights charter in its decision-making process in relation to housing. In </w:t>
      </w:r>
      <w:r>
        <w:rPr>
          <w:i/>
        </w:rPr>
        <w:t>Director of Housing v Sudi</w:t>
      </w:r>
      <w:r>
        <w:t>,</w:t>
      </w:r>
      <w:r>
        <w:rPr>
          <w:vertAlign w:val="superscript"/>
        </w:rPr>
        <w:t>331</w:t>
      </w:r>
      <w:r>
        <w:t xml:space="preserve"> VCAT held</w:t>
      </w:r>
      <w:r>
        <w:rPr>
          <w:spacing w:val="-4"/>
        </w:rPr>
        <w:t xml:space="preserve"> </w:t>
      </w:r>
      <w:r>
        <w:t>that</w:t>
      </w:r>
      <w:r>
        <w:rPr>
          <w:spacing w:val="-3"/>
        </w:rPr>
        <w:t xml:space="preserve"> </w:t>
      </w:r>
      <w:r>
        <w:t>the</w:t>
      </w:r>
      <w:r>
        <w:rPr>
          <w:spacing w:val="-3"/>
        </w:rPr>
        <w:t xml:space="preserve"> </w:t>
      </w:r>
      <w:r>
        <w:t>Director</w:t>
      </w:r>
      <w:r>
        <w:rPr>
          <w:spacing w:val="-3"/>
        </w:rPr>
        <w:t xml:space="preserve"> </w:t>
      </w:r>
      <w:r>
        <w:t>of</w:t>
      </w:r>
      <w:r>
        <w:rPr>
          <w:spacing w:val="-3"/>
        </w:rPr>
        <w:t xml:space="preserve"> </w:t>
      </w:r>
      <w:r>
        <w:t>Housing</w:t>
      </w:r>
      <w:r>
        <w:rPr>
          <w:spacing w:val="-4"/>
        </w:rPr>
        <w:t xml:space="preserve"> </w:t>
      </w:r>
      <w:r>
        <w:t>had</w:t>
      </w:r>
      <w:r>
        <w:rPr>
          <w:spacing w:val="-3"/>
        </w:rPr>
        <w:t xml:space="preserve"> </w:t>
      </w:r>
      <w:r>
        <w:t>breached</w:t>
      </w:r>
      <w:r>
        <w:rPr>
          <w:spacing w:val="-3"/>
        </w:rPr>
        <w:t xml:space="preserve"> </w:t>
      </w:r>
      <w:r>
        <w:t>the</w:t>
      </w:r>
      <w:r>
        <w:rPr>
          <w:spacing w:val="-3"/>
        </w:rPr>
        <w:t xml:space="preserve"> </w:t>
      </w:r>
      <w:r>
        <w:t>applicants’</w:t>
      </w:r>
      <w:r>
        <w:rPr>
          <w:spacing w:val="-1"/>
        </w:rPr>
        <w:t xml:space="preserve"> </w:t>
      </w:r>
      <w:r>
        <w:t>rights</w:t>
      </w:r>
      <w:r>
        <w:rPr>
          <w:spacing w:val="-3"/>
        </w:rPr>
        <w:t xml:space="preserve"> </w:t>
      </w:r>
      <w:r>
        <w:t>to</w:t>
      </w:r>
      <w:r>
        <w:rPr>
          <w:spacing w:val="-4"/>
        </w:rPr>
        <w:t xml:space="preserve"> </w:t>
      </w:r>
      <w:r>
        <w:t>family</w:t>
      </w:r>
      <w:r>
        <w:rPr>
          <w:spacing w:val="-4"/>
        </w:rPr>
        <w:t xml:space="preserve"> </w:t>
      </w:r>
      <w:r>
        <w:t>and</w:t>
      </w:r>
      <w:r>
        <w:rPr>
          <w:spacing w:val="-3"/>
        </w:rPr>
        <w:t xml:space="preserve"> </w:t>
      </w:r>
      <w:r>
        <w:t>home</w:t>
      </w:r>
      <w:r>
        <w:rPr>
          <w:spacing w:val="-3"/>
        </w:rPr>
        <w:t xml:space="preserve"> </w:t>
      </w:r>
      <w:r>
        <w:t>by</w:t>
      </w:r>
      <w:r>
        <w:rPr>
          <w:spacing w:val="-4"/>
        </w:rPr>
        <w:t xml:space="preserve"> </w:t>
      </w:r>
      <w:r>
        <w:t>seeking</w:t>
      </w:r>
      <w:r>
        <w:rPr>
          <w:spacing w:val="-4"/>
        </w:rPr>
        <w:t xml:space="preserve"> </w:t>
      </w:r>
      <w:r>
        <w:t>to evict</w:t>
      </w:r>
      <w:r>
        <w:rPr>
          <w:spacing w:val="-5"/>
        </w:rPr>
        <w:t xml:space="preserve"> </w:t>
      </w:r>
      <w:r>
        <w:t>them</w:t>
      </w:r>
      <w:r>
        <w:rPr>
          <w:spacing w:val="-5"/>
        </w:rPr>
        <w:t xml:space="preserve"> </w:t>
      </w:r>
      <w:r>
        <w:t>from</w:t>
      </w:r>
      <w:r>
        <w:rPr>
          <w:spacing w:val="-5"/>
        </w:rPr>
        <w:t xml:space="preserve"> </w:t>
      </w:r>
      <w:r>
        <w:t>public</w:t>
      </w:r>
      <w:r>
        <w:rPr>
          <w:spacing w:val="-5"/>
        </w:rPr>
        <w:t xml:space="preserve"> </w:t>
      </w:r>
      <w:r>
        <w:t>housing</w:t>
      </w:r>
      <w:r>
        <w:rPr>
          <w:spacing w:val="-6"/>
        </w:rPr>
        <w:t xml:space="preserve"> </w:t>
      </w:r>
      <w:r>
        <w:t>without</w:t>
      </w:r>
      <w:r>
        <w:rPr>
          <w:spacing w:val="-7"/>
        </w:rPr>
        <w:t xml:space="preserve"> </w:t>
      </w:r>
      <w:r>
        <w:t>justification.</w:t>
      </w:r>
      <w:r>
        <w:rPr>
          <w:spacing w:val="-6"/>
        </w:rPr>
        <w:t xml:space="preserve"> </w:t>
      </w:r>
      <w:r>
        <w:t>Bell</w:t>
      </w:r>
      <w:r>
        <w:rPr>
          <w:spacing w:val="-3"/>
        </w:rPr>
        <w:t xml:space="preserve"> </w:t>
      </w:r>
      <w:r>
        <w:t>J</w:t>
      </w:r>
      <w:r>
        <w:rPr>
          <w:spacing w:val="-5"/>
        </w:rPr>
        <w:t xml:space="preserve"> </w:t>
      </w:r>
      <w:r>
        <w:t>recognised</w:t>
      </w:r>
      <w:r>
        <w:rPr>
          <w:spacing w:val="-6"/>
        </w:rPr>
        <w:t xml:space="preserve"> </w:t>
      </w:r>
      <w:r>
        <w:t>the</w:t>
      </w:r>
      <w:r>
        <w:rPr>
          <w:spacing w:val="-5"/>
        </w:rPr>
        <w:t xml:space="preserve"> </w:t>
      </w:r>
      <w:r>
        <w:t>‘fundamental</w:t>
      </w:r>
      <w:r>
        <w:rPr>
          <w:spacing w:val="-5"/>
        </w:rPr>
        <w:t xml:space="preserve"> </w:t>
      </w:r>
      <w:r>
        <w:t>importance</w:t>
      </w:r>
      <w:r>
        <w:rPr>
          <w:spacing w:val="-5"/>
        </w:rPr>
        <w:t xml:space="preserve"> </w:t>
      </w:r>
      <w:r>
        <w:t>of housing to human dignity, to personal and family wellbeing and to democratic society’.</w:t>
      </w:r>
      <w:r>
        <w:rPr>
          <w:vertAlign w:val="superscript"/>
        </w:rPr>
        <w:t>332</w:t>
      </w:r>
      <w:r>
        <w:t xml:space="preserve"> In Victoria, a responsibility for public housing providers to avoid putting tenants at risk of homelessness has also been</w:t>
      </w:r>
      <w:r>
        <w:rPr>
          <w:spacing w:val="-14"/>
        </w:rPr>
        <w:t xml:space="preserve"> </w:t>
      </w:r>
      <w:r>
        <w:t>recognised</w:t>
      </w:r>
      <w:r>
        <w:rPr>
          <w:spacing w:val="-14"/>
        </w:rPr>
        <w:t xml:space="preserve"> </w:t>
      </w:r>
      <w:r>
        <w:t>based</w:t>
      </w:r>
      <w:r>
        <w:rPr>
          <w:spacing w:val="-14"/>
        </w:rPr>
        <w:t xml:space="preserve"> </w:t>
      </w:r>
      <w:r>
        <w:t>on</w:t>
      </w:r>
      <w:r>
        <w:rPr>
          <w:spacing w:val="-13"/>
        </w:rPr>
        <w:t xml:space="preserve"> </w:t>
      </w:r>
      <w:r>
        <w:t>human</w:t>
      </w:r>
      <w:r>
        <w:rPr>
          <w:spacing w:val="-14"/>
        </w:rPr>
        <w:t xml:space="preserve"> </w:t>
      </w:r>
      <w:r>
        <w:t>rights.</w:t>
      </w:r>
      <w:r>
        <w:rPr>
          <w:spacing w:val="-14"/>
        </w:rPr>
        <w:t xml:space="preserve"> </w:t>
      </w:r>
      <w:r>
        <w:t>For</w:t>
      </w:r>
      <w:r>
        <w:rPr>
          <w:spacing w:val="-14"/>
        </w:rPr>
        <w:t xml:space="preserve"> </w:t>
      </w:r>
      <w:r>
        <w:t>example,</w:t>
      </w:r>
      <w:r>
        <w:rPr>
          <w:spacing w:val="-13"/>
        </w:rPr>
        <w:t xml:space="preserve"> </w:t>
      </w:r>
      <w:r>
        <w:t>in</w:t>
      </w:r>
      <w:r>
        <w:rPr>
          <w:spacing w:val="-14"/>
        </w:rPr>
        <w:t xml:space="preserve"> </w:t>
      </w:r>
      <w:r>
        <w:rPr>
          <w:i/>
        </w:rPr>
        <w:t>Homeground</w:t>
      </w:r>
      <w:r>
        <w:rPr>
          <w:i/>
          <w:spacing w:val="-10"/>
        </w:rPr>
        <w:t xml:space="preserve"> </w:t>
      </w:r>
      <w:r>
        <w:rPr>
          <w:i/>
        </w:rPr>
        <w:t>Services</w:t>
      </w:r>
      <w:r>
        <w:rPr>
          <w:i/>
          <w:spacing w:val="-14"/>
        </w:rPr>
        <w:t xml:space="preserve"> </w:t>
      </w:r>
      <w:r>
        <w:rPr>
          <w:i/>
        </w:rPr>
        <w:t>v</w:t>
      </w:r>
      <w:r>
        <w:rPr>
          <w:i/>
          <w:spacing w:val="-14"/>
        </w:rPr>
        <w:t xml:space="preserve"> </w:t>
      </w:r>
      <w:r>
        <w:rPr>
          <w:i/>
        </w:rPr>
        <w:t>Mohamed</w:t>
      </w:r>
      <w:r>
        <w:rPr>
          <w:i/>
          <w:spacing w:val="-13"/>
        </w:rPr>
        <w:t xml:space="preserve"> </w:t>
      </w:r>
      <w:r>
        <w:rPr>
          <w:i/>
        </w:rPr>
        <w:t>(Residential Tenancies)</w:t>
      </w:r>
      <w:r>
        <w:t>,</w:t>
      </w:r>
      <w:r>
        <w:rPr>
          <w:vertAlign w:val="superscript"/>
        </w:rPr>
        <w:t>333</w:t>
      </w:r>
      <w:r>
        <w:t xml:space="preserve"> VCAT considered a State-funded social housing provider’s policy mandating a maximum</w:t>
      </w:r>
      <w:r>
        <w:rPr>
          <w:spacing w:val="-7"/>
        </w:rPr>
        <w:t xml:space="preserve"> </w:t>
      </w:r>
      <w:r>
        <w:t>tenancy</w:t>
      </w:r>
      <w:r>
        <w:rPr>
          <w:spacing w:val="-5"/>
        </w:rPr>
        <w:t xml:space="preserve"> </w:t>
      </w:r>
      <w:r>
        <w:t>of</w:t>
      </w:r>
      <w:r>
        <w:rPr>
          <w:spacing w:val="-5"/>
        </w:rPr>
        <w:t xml:space="preserve"> </w:t>
      </w:r>
      <w:r>
        <w:t>18</w:t>
      </w:r>
      <w:r>
        <w:rPr>
          <w:spacing w:val="-6"/>
        </w:rPr>
        <w:t xml:space="preserve"> </w:t>
      </w:r>
      <w:r>
        <w:t>months</w:t>
      </w:r>
      <w:r>
        <w:rPr>
          <w:spacing w:val="-5"/>
        </w:rPr>
        <w:t xml:space="preserve"> </w:t>
      </w:r>
      <w:r>
        <w:t>for</w:t>
      </w:r>
      <w:r>
        <w:rPr>
          <w:spacing w:val="-5"/>
        </w:rPr>
        <w:t xml:space="preserve"> </w:t>
      </w:r>
      <w:r>
        <w:t>transitional</w:t>
      </w:r>
      <w:r>
        <w:rPr>
          <w:spacing w:val="-5"/>
        </w:rPr>
        <w:t xml:space="preserve"> </w:t>
      </w:r>
      <w:r>
        <w:t>housing</w:t>
      </w:r>
      <w:r>
        <w:rPr>
          <w:spacing w:val="-6"/>
        </w:rPr>
        <w:t xml:space="preserve"> </w:t>
      </w:r>
      <w:r>
        <w:t>provided</w:t>
      </w:r>
      <w:r>
        <w:rPr>
          <w:spacing w:val="-5"/>
        </w:rPr>
        <w:t xml:space="preserve"> </w:t>
      </w:r>
      <w:r>
        <w:t>to</w:t>
      </w:r>
      <w:r>
        <w:rPr>
          <w:spacing w:val="-6"/>
        </w:rPr>
        <w:t xml:space="preserve"> </w:t>
      </w:r>
      <w:r>
        <w:t>disadvantage</w:t>
      </w:r>
      <w:r>
        <w:rPr>
          <w:spacing w:val="-5"/>
        </w:rPr>
        <w:t xml:space="preserve"> </w:t>
      </w:r>
      <w:r>
        <w:t>youth.</w:t>
      </w:r>
      <w:r>
        <w:rPr>
          <w:spacing w:val="-6"/>
        </w:rPr>
        <w:t xml:space="preserve"> </w:t>
      </w:r>
      <w:r>
        <w:t>The</w:t>
      </w:r>
      <w:r>
        <w:rPr>
          <w:spacing w:val="-5"/>
        </w:rPr>
        <w:t xml:space="preserve"> </w:t>
      </w:r>
      <w:r>
        <w:rPr>
          <w:spacing w:val="-2"/>
        </w:rPr>
        <w:t>Tribunal</w:t>
      </w:r>
    </w:p>
    <w:p w14:paraId="7CB26041" w14:textId="77777777" w:rsidR="008A4099" w:rsidRDefault="006A6EE2">
      <w:pPr>
        <w:pStyle w:val="BodyText"/>
        <w:spacing w:before="217"/>
        <w:rPr>
          <w:sz w:val="20"/>
        </w:rPr>
      </w:pPr>
      <w:r>
        <w:rPr>
          <w:noProof/>
        </w:rPr>
        <mc:AlternateContent>
          <mc:Choice Requires="wps">
            <w:drawing>
              <wp:anchor distT="0" distB="0" distL="0" distR="0" simplePos="0" relativeHeight="487614464" behindDoc="1" locked="0" layoutInCell="1" allowOverlap="1" wp14:anchorId="7CB26641" wp14:editId="7CB26642">
                <wp:simplePos x="0" y="0"/>
                <wp:positionH relativeFrom="page">
                  <wp:posOffset>914704</wp:posOffset>
                </wp:positionH>
                <wp:positionV relativeFrom="paragraph">
                  <wp:posOffset>299407</wp:posOffset>
                </wp:positionV>
                <wp:extent cx="1829435" cy="762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11135" id="Graphic 94" o:spid="_x0000_s1026" style="position:absolute;margin-left:1in;margin-top:23.6pt;width:144.05pt;height:.6pt;z-index:-15702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" path="m1829054,l,,,7620r1829054,l1829054,xe" fillcolor="black" stroked="f">
                <v:path arrowok="t"/>
                <w10:wrap type="topAndBottom" anchorx="page"/>
              </v:shape>
            </w:pict>
          </mc:Fallback>
        </mc:AlternateContent>
      </w:r>
    </w:p>
    <w:p w14:paraId="7CB26042" w14:textId="77777777" w:rsidR="008A4099" w:rsidRDefault="006A6EE2">
      <w:pPr>
        <w:spacing w:before="115"/>
        <w:ind w:left="160"/>
        <w:rPr>
          <w:sz w:val="18"/>
        </w:rPr>
      </w:pPr>
      <w:r>
        <w:rPr>
          <w:sz w:val="18"/>
          <w:vertAlign w:val="superscript"/>
        </w:rPr>
        <w:t>323</w:t>
      </w:r>
      <w:r>
        <w:rPr>
          <w:spacing w:val="-1"/>
          <w:sz w:val="18"/>
        </w:rPr>
        <w:t xml:space="preserve"> </w:t>
      </w:r>
      <w:r>
        <w:rPr>
          <w:i/>
          <w:sz w:val="18"/>
        </w:rPr>
        <w:t>Owen-D’Arcy</w:t>
      </w:r>
      <w:r>
        <w:rPr>
          <w:i/>
          <w:spacing w:val="-2"/>
          <w:sz w:val="18"/>
        </w:rPr>
        <w:t xml:space="preserve"> </w:t>
      </w:r>
      <w:r>
        <w:rPr>
          <w:i/>
          <w:sz w:val="18"/>
        </w:rPr>
        <w:t>v</w:t>
      </w:r>
      <w:r>
        <w:rPr>
          <w:i/>
          <w:spacing w:val="-1"/>
          <w:sz w:val="18"/>
        </w:rPr>
        <w:t xml:space="preserve"> </w:t>
      </w:r>
      <w:r>
        <w:rPr>
          <w:i/>
          <w:sz w:val="18"/>
        </w:rPr>
        <w:t>Chief</w:t>
      </w:r>
      <w:r>
        <w:rPr>
          <w:i/>
          <w:spacing w:val="-1"/>
          <w:sz w:val="18"/>
        </w:rPr>
        <w:t xml:space="preserve"> </w:t>
      </w:r>
      <w:r>
        <w:rPr>
          <w:i/>
          <w:sz w:val="18"/>
        </w:rPr>
        <w:t>Executive,</w:t>
      </w:r>
      <w:r>
        <w:rPr>
          <w:i/>
          <w:spacing w:val="-2"/>
          <w:sz w:val="18"/>
        </w:rPr>
        <w:t xml:space="preserve"> </w:t>
      </w:r>
      <w:r>
        <w:rPr>
          <w:i/>
          <w:sz w:val="18"/>
        </w:rPr>
        <w:t>Queensland Corrective</w:t>
      </w:r>
      <w:r>
        <w:rPr>
          <w:i/>
          <w:spacing w:val="-1"/>
          <w:sz w:val="18"/>
        </w:rPr>
        <w:t xml:space="preserve"> </w:t>
      </w:r>
      <w:r>
        <w:rPr>
          <w:i/>
          <w:sz w:val="18"/>
        </w:rPr>
        <w:t>Services</w:t>
      </w:r>
      <w:r>
        <w:rPr>
          <w:i/>
          <w:spacing w:val="3"/>
          <w:sz w:val="18"/>
        </w:rPr>
        <w:t xml:space="preserve"> </w:t>
      </w:r>
      <w:r>
        <w:rPr>
          <w:sz w:val="18"/>
        </w:rPr>
        <w:t>[2021] QSC</w:t>
      </w:r>
      <w:r>
        <w:rPr>
          <w:spacing w:val="-3"/>
          <w:sz w:val="18"/>
        </w:rPr>
        <w:t xml:space="preserve"> </w:t>
      </w:r>
      <w:r>
        <w:rPr>
          <w:spacing w:val="-4"/>
          <w:sz w:val="18"/>
        </w:rPr>
        <w:t>273.</w:t>
      </w:r>
    </w:p>
    <w:p w14:paraId="7CB26043" w14:textId="77777777" w:rsidR="008A4099" w:rsidRDefault="006A6EE2">
      <w:pPr>
        <w:spacing w:before="21"/>
        <w:ind w:left="160"/>
        <w:rPr>
          <w:sz w:val="18"/>
        </w:rPr>
      </w:pPr>
      <w:r>
        <w:rPr>
          <w:sz w:val="18"/>
          <w:vertAlign w:val="superscript"/>
        </w:rPr>
        <w:t>324</w:t>
      </w:r>
      <w:r>
        <w:rPr>
          <w:spacing w:val="6"/>
          <w:sz w:val="18"/>
        </w:rPr>
        <w:t xml:space="preserve"> </w:t>
      </w:r>
      <w:r>
        <w:rPr>
          <w:sz w:val="18"/>
        </w:rPr>
        <w:t>Ibid</w:t>
      </w:r>
      <w:r>
        <w:rPr>
          <w:spacing w:val="6"/>
          <w:sz w:val="18"/>
        </w:rPr>
        <w:t xml:space="preserve"> </w:t>
      </w:r>
      <w:r>
        <w:rPr>
          <w:spacing w:val="-2"/>
          <w:sz w:val="18"/>
        </w:rPr>
        <w:t>[80]–[81].</w:t>
      </w:r>
    </w:p>
    <w:p w14:paraId="7CB26044" w14:textId="77777777" w:rsidR="008A4099" w:rsidRDefault="006A6EE2">
      <w:pPr>
        <w:spacing w:before="24"/>
        <w:ind w:left="160"/>
        <w:rPr>
          <w:sz w:val="18"/>
        </w:rPr>
      </w:pPr>
      <w:r>
        <w:rPr>
          <w:sz w:val="18"/>
          <w:vertAlign w:val="superscript"/>
        </w:rPr>
        <w:t>325</w:t>
      </w:r>
      <w:r>
        <w:rPr>
          <w:spacing w:val="6"/>
          <w:sz w:val="18"/>
        </w:rPr>
        <w:t xml:space="preserve"> </w:t>
      </w:r>
      <w:r>
        <w:rPr>
          <w:sz w:val="18"/>
        </w:rPr>
        <w:t>Ibid</w:t>
      </w:r>
      <w:r>
        <w:rPr>
          <w:spacing w:val="6"/>
          <w:sz w:val="18"/>
        </w:rPr>
        <w:t xml:space="preserve"> </w:t>
      </w:r>
      <w:r>
        <w:rPr>
          <w:spacing w:val="-2"/>
          <w:sz w:val="18"/>
        </w:rPr>
        <w:t>[148]–[149].</w:t>
      </w:r>
    </w:p>
    <w:p w14:paraId="7CB26045" w14:textId="77777777" w:rsidR="008A4099" w:rsidRDefault="006A6EE2">
      <w:pPr>
        <w:spacing w:before="23"/>
        <w:ind w:left="160"/>
        <w:rPr>
          <w:sz w:val="18"/>
        </w:rPr>
      </w:pPr>
      <w:r>
        <w:rPr>
          <w:sz w:val="18"/>
          <w:vertAlign w:val="superscript"/>
        </w:rPr>
        <w:t>326</w:t>
      </w:r>
      <w:r>
        <w:rPr>
          <w:spacing w:val="-1"/>
          <w:sz w:val="18"/>
        </w:rPr>
        <w:t xml:space="preserve"> </w:t>
      </w:r>
      <w:r>
        <w:rPr>
          <w:i/>
          <w:sz w:val="18"/>
        </w:rPr>
        <w:t>Davidson</w:t>
      </w:r>
      <w:r>
        <w:rPr>
          <w:i/>
          <w:spacing w:val="1"/>
          <w:sz w:val="18"/>
        </w:rPr>
        <w:t xml:space="preserve"> </w:t>
      </w:r>
      <w:r>
        <w:rPr>
          <w:i/>
          <w:sz w:val="18"/>
        </w:rPr>
        <w:t>v</w:t>
      </w:r>
      <w:r>
        <w:rPr>
          <w:i/>
          <w:spacing w:val="-2"/>
          <w:sz w:val="18"/>
        </w:rPr>
        <w:t xml:space="preserve"> </w:t>
      </w:r>
      <w:r>
        <w:rPr>
          <w:i/>
          <w:sz w:val="18"/>
        </w:rPr>
        <w:t>Director-General,</w:t>
      </w:r>
      <w:r>
        <w:rPr>
          <w:i/>
          <w:spacing w:val="1"/>
          <w:sz w:val="18"/>
        </w:rPr>
        <w:t xml:space="preserve"> </w:t>
      </w:r>
      <w:r>
        <w:rPr>
          <w:i/>
          <w:sz w:val="18"/>
        </w:rPr>
        <w:t>Justice</w:t>
      </w:r>
      <w:r>
        <w:rPr>
          <w:i/>
          <w:spacing w:val="-1"/>
          <w:sz w:val="18"/>
        </w:rPr>
        <w:t xml:space="preserve"> </w:t>
      </w:r>
      <w:r>
        <w:rPr>
          <w:i/>
          <w:sz w:val="18"/>
        </w:rPr>
        <w:t>and</w:t>
      </w:r>
      <w:r>
        <w:rPr>
          <w:i/>
          <w:spacing w:val="-2"/>
          <w:sz w:val="18"/>
        </w:rPr>
        <w:t xml:space="preserve"> </w:t>
      </w:r>
      <w:r>
        <w:rPr>
          <w:i/>
          <w:sz w:val="18"/>
        </w:rPr>
        <w:t>Community</w:t>
      </w:r>
      <w:r>
        <w:rPr>
          <w:i/>
          <w:spacing w:val="-1"/>
          <w:sz w:val="18"/>
        </w:rPr>
        <w:t xml:space="preserve"> </w:t>
      </w:r>
      <w:r>
        <w:rPr>
          <w:i/>
          <w:sz w:val="18"/>
        </w:rPr>
        <w:t>Safety</w:t>
      </w:r>
      <w:r>
        <w:rPr>
          <w:i/>
          <w:spacing w:val="-2"/>
          <w:sz w:val="18"/>
        </w:rPr>
        <w:t xml:space="preserve"> </w:t>
      </w:r>
      <w:r>
        <w:rPr>
          <w:i/>
          <w:sz w:val="18"/>
        </w:rPr>
        <w:t>Directorate</w:t>
      </w:r>
      <w:r>
        <w:rPr>
          <w:i/>
          <w:spacing w:val="4"/>
          <w:sz w:val="18"/>
        </w:rPr>
        <w:t xml:space="preserve"> </w:t>
      </w:r>
      <w:r>
        <w:rPr>
          <w:sz w:val="18"/>
        </w:rPr>
        <w:t>[2022]</w:t>
      </w:r>
      <w:r>
        <w:rPr>
          <w:spacing w:val="-1"/>
          <w:sz w:val="18"/>
        </w:rPr>
        <w:t xml:space="preserve"> </w:t>
      </w:r>
      <w:r>
        <w:rPr>
          <w:sz w:val="18"/>
        </w:rPr>
        <w:t>ACTSC</w:t>
      </w:r>
      <w:r>
        <w:rPr>
          <w:spacing w:val="-3"/>
          <w:sz w:val="18"/>
        </w:rPr>
        <w:t xml:space="preserve"> </w:t>
      </w:r>
      <w:r>
        <w:rPr>
          <w:spacing w:val="-5"/>
          <w:sz w:val="18"/>
        </w:rPr>
        <w:t>83.</w:t>
      </w:r>
    </w:p>
    <w:p w14:paraId="7CB26046" w14:textId="77777777" w:rsidR="008A4099" w:rsidRDefault="006A6EE2">
      <w:pPr>
        <w:spacing w:before="24"/>
        <w:ind w:left="160" w:right="675"/>
        <w:jc w:val="both"/>
        <w:rPr>
          <w:sz w:val="18"/>
        </w:rPr>
      </w:pPr>
      <w:r>
        <w:rPr>
          <w:sz w:val="18"/>
          <w:vertAlign w:val="superscript"/>
        </w:rPr>
        <w:t>327</w:t>
      </w:r>
      <w:r>
        <w:rPr>
          <w:sz w:val="18"/>
        </w:rPr>
        <w:t xml:space="preserve"> Section 45 of the </w:t>
      </w:r>
      <w:r>
        <w:rPr>
          <w:i/>
          <w:sz w:val="18"/>
        </w:rPr>
        <w:t xml:space="preserve">Corrections Management Act 2007 </w:t>
      </w:r>
      <w:r>
        <w:rPr>
          <w:sz w:val="18"/>
        </w:rPr>
        <w:t>(ACT) requires that the Director-General must ensure, as far as practicable, that people have access to the open air for at least one hour each day and can exercise for at least one hour each day.</w:t>
      </w:r>
      <w:r>
        <w:rPr>
          <w:spacing w:val="-12"/>
          <w:sz w:val="18"/>
        </w:rPr>
        <w:t xml:space="preserve"> </w:t>
      </w:r>
      <w:r>
        <w:rPr>
          <w:sz w:val="18"/>
        </w:rPr>
        <w:t>Section</w:t>
      </w:r>
      <w:r>
        <w:rPr>
          <w:spacing w:val="-11"/>
          <w:sz w:val="18"/>
        </w:rPr>
        <w:t xml:space="preserve"> </w:t>
      </w:r>
      <w:r>
        <w:rPr>
          <w:sz w:val="18"/>
        </w:rPr>
        <w:t>19(1)</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i/>
          <w:sz w:val="18"/>
        </w:rPr>
        <w:t>Human</w:t>
      </w:r>
      <w:r>
        <w:rPr>
          <w:i/>
          <w:spacing w:val="-11"/>
          <w:sz w:val="18"/>
        </w:rPr>
        <w:t xml:space="preserve"> </w:t>
      </w:r>
      <w:r>
        <w:rPr>
          <w:i/>
          <w:sz w:val="18"/>
        </w:rPr>
        <w:t>Rights</w:t>
      </w:r>
      <w:r>
        <w:rPr>
          <w:i/>
          <w:spacing w:val="-11"/>
          <w:sz w:val="18"/>
        </w:rPr>
        <w:t xml:space="preserve"> </w:t>
      </w:r>
      <w:r>
        <w:rPr>
          <w:i/>
          <w:sz w:val="18"/>
        </w:rPr>
        <w:t>Act</w:t>
      </w:r>
      <w:r>
        <w:rPr>
          <w:i/>
          <w:spacing w:val="-11"/>
          <w:sz w:val="18"/>
        </w:rPr>
        <w:t xml:space="preserve"> </w:t>
      </w:r>
      <w:r>
        <w:rPr>
          <w:i/>
          <w:sz w:val="18"/>
        </w:rPr>
        <w:t>2004</w:t>
      </w:r>
      <w:r>
        <w:rPr>
          <w:i/>
          <w:spacing w:val="-12"/>
          <w:sz w:val="18"/>
        </w:rPr>
        <w:t xml:space="preserve"> </w:t>
      </w:r>
      <w:r>
        <w:rPr>
          <w:sz w:val="18"/>
        </w:rPr>
        <w:t>(ACT)</w:t>
      </w:r>
      <w:r>
        <w:rPr>
          <w:spacing w:val="-11"/>
          <w:sz w:val="18"/>
        </w:rPr>
        <w:t xml:space="preserve"> </w:t>
      </w:r>
      <w:r>
        <w:rPr>
          <w:sz w:val="18"/>
        </w:rPr>
        <w:t>provides</w:t>
      </w:r>
      <w:r>
        <w:rPr>
          <w:spacing w:val="-11"/>
          <w:sz w:val="18"/>
        </w:rPr>
        <w:t xml:space="preserve"> </w:t>
      </w:r>
      <w:r>
        <w:rPr>
          <w:sz w:val="18"/>
        </w:rPr>
        <w:t>that</w:t>
      </w:r>
      <w:r>
        <w:rPr>
          <w:spacing w:val="-11"/>
          <w:sz w:val="18"/>
        </w:rPr>
        <w:t xml:space="preserve"> </w:t>
      </w:r>
      <w:r>
        <w:rPr>
          <w:sz w:val="18"/>
        </w:rPr>
        <w:t>anyone</w:t>
      </w:r>
      <w:r>
        <w:rPr>
          <w:spacing w:val="-12"/>
          <w:sz w:val="18"/>
        </w:rPr>
        <w:t xml:space="preserve"> </w:t>
      </w:r>
      <w:r>
        <w:rPr>
          <w:sz w:val="18"/>
        </w:rPr>
        <w:t>deprived</w:t>
      </w:r>
      <w:r>
        <w:rPr>
          <w:spacing w:val="-11"/>
          <w:sz w:val="18"/>
        </w:rPr>
        <w:t xml:space="preserve"> </w:t>
      </w:r>
      <w:r>
        <w:rPr>
          <w:sz w:val="18"/>
        </w:rPr>
        <w:t>of</w:t>
      </w:r>
      <w:r>
        <w:rPr>
          <w:spacing w:val="-11"/>
          <w:sz w:val="18"/>
        </w:rPr>
        <w:t xml:space="preserve"> </w:t>
      </w:r>
      <w:r>
        <w:rPr>
          <w:sz w:val="18"/>
        </w:rPr>
        <w:t>liberty</w:t>
      </w:r>
      <w:r>
        <w:rPr>
          <w:spacing w:val="-11"/>
          <w:sz w:val="18"/>
        </w:rPr>
        <w:t xml:space="preserve"> </w:t>
      </w:r>
      <w:r>
        <w:rPr>
          <w:sz w:val="18"/>
        </w:rPr>
        <w:t>must</w:t>
      </w:r>
      <w:r>
        <w:rPr>
          <w:spacing w:val="-12"/>
          <w:sz w:val="18"/>
        </w:rPr>
        <w:t xml:space="preserve"> </w:t>
      </w:r>
      <w:r>
        <w:rPr>
          <w:sz w:val="18"/>
        </w:rPr>
        <w:t>be</w:t>
      </w:r>
      <w:r>
        <w:rPr>
          <w:spacing w:val="-11"/>
          <w:sz w:val="18"/>
        </w:rPr>
        <w:t xml:space="preserve"> </w:t>
      </w:r>
      <w:r>
        <w:rPr>
          <w:sz w:val="18"/>
        </w:rPr>
        <w:t>treated</w:t>
      </w:r>
      <w:r>
        <w:rPr>
          <w:spacing w:val="-11"/>
          <w:sz w:val="18"/>
        </w:rPr>
        <w:t xml:space="preserve"> </w:t>
      </w:r>
      <w:r>
        <w:rPr>
          <w:sz w:val="18"/>
        </w:rPr>
        <w:t>with</w:t>
      </w:r>
      <w:r>
        <w:rPr>
          <w:spacing w:val="-11"/>
          <w:sz w:val="18"/>
        </w:rPr>
        <w:t xml:space="preserve"> </w:t>
      </w:r>
      <w:r>
        <w:rPr>
          <w:sz w:val="18"/>
        </w:rPr>
        <w:t>humanity and with respect for the inherent dignity of the human person.</w:t>
      </w:r>
    </w:p>
    <w:p w14:paraId="7CB26047" w14:textId="77777777" w:rsidR="008A4099" w:rsidRDefault="006A6EE2">
      <w:pPr>
        <w:spacing w:before="21" w:line="244" w:lineRule="auto"/>
        <w:ind w:left="160" w:right="680"/>
        <w:rPr>
          <w:sz w:val="18"/>
        </w:rPr>
      </w:pPr>
      <w:r>
        <w:rPr>
          <w:sz w:val="18"/>
          <w:vertAlign w:val="superscript"/>
        </w:rPr>
        <w:t>328</w:t>
      </w:r>
      <w:r>
        <w:rPr>
          <w:spacing w:val="18"/>
          <w:sz w:val="18"/>
        </w:rPr>
        <w:t xml:space="preserve"> </w:t>
      </w:r>
      <w:r>
        <w:rPr>
          <w:i/>
          <w:sz w:val="18"/>
        </w:rPr>
        <w:t>Davidson</w:t>
      </w:r>
      <w:r>
        <w:rPr>
          <w:i/>
          <w:spacing w:val="19"/>
          <w:sz w:val="18"/>
        </w:rPr>
        <w:t xml:space="preserve"> </w:t>
      </w:r>
      <w:r>
        <w:rPr>
          <w:i/>
          <w:sz w:val="18"/>
        </w:rPr>
        <w:t>v</w:t>
      </w:r>
      <w:r>
        <w:rPr>
          <w:i/>
          <w:spacing w:val="17"/>
          <w:sz w:val="18"/>
        </w:rPr>
        <w:t xml:space="preserve"> </w:t>
      </w:r>
      <w:r>
        <w:rPr>
          <w:i/>
          <w:sz w:val="18"/>
        </w:rPr>
        <w:t>Director-General,</w:t>
      </w:r>
      <w:r>
        <w:rPr>
          <w:i/>
          <w:spacing w:val="19"/>
          <w:sz w:val="18"/>
        </w:rPr>
        <w:t xml:space="preserve"> </w:t>
      </w:r>
      <w:r>
        <w:rPr>
          <w:i/>
          <w:sz w:val="18"/>
        </w:rPr>
        <w:t>Justice</w:t>
      </w:r>
      <w:r>
        <w:rPr>
          <w:i/>
          <w:spacing w:val="17"/>
          <w:sz w:val="18"/>
        </w:rPr>
        <w:t xml:space="preserve"> </w:t>
      </w:r>
      <w:r>
        <w:rPr>
          <w:i/>
          <w:sz w:val="18"/>
        </w:rPr>
        <w:t>and</w:t>
      </w:r>
      <w:r>
        <w:rPr>
          <w:i/>
          <w:spacing w:val="19"/>
          <w:sz w:val="18"/>
        </w:rPr>
        <w:t xml:space="preserve"> </w:t>
      </w:r>
      <w:r>
        <w:rPr>
          <w:i/>
          <w:sz w:val="18"/>
        </w:rPr>
        <w:t>Community</w:t>
      </w:r>
      <w:r>
        <w:rPr>
          <w:i/>
          <w:spacing w:val="17"/>
          <w:sz w:val="18"/>
        </w:rPr>
        <w:t xml:space="preserve"> </w:t>
      </w:r>
      <w:r>
        <w:rPr>
          <w:i/>
          <w:sz w:val="18"/>
        </w:rPr>
        <w:t>Safety</w:t>
      </w:r>
      <w:r>
        <w:rPr>
          <w:i/>
          <w:spacing w:val="17"/>
          <w:sz w:val="18"/>
        </w:rPr>
        <w:t xml:space="preserve"> </w:t>
      </w:r>
      <w:r>
        <w:rPr>
          <w:i/>
          <w:sz w:val="18"/>
        </w:rPr>
        <w:t>Directorate</w:t>
      </w:r>
      <w:r>
        <w:rPr>
          <w:i/>
          <w:spacing w:val="22"/>
          <w:sz w:val="18"/>
        </w:rPr>
        <w:t xml:space="preserve"> </w:t>
      </w:r>
      <w:r>
        <w:rPr>
          <w:sz w:val="18"/>
        </w:rPr>
        <w:t>[2022]</w:t>
      </w:r>
      <w:r>
        <w:rPr>
          <w:spacing w:val="18"/>
          <w:sz w:val="18"/>
        </w:rPr>
        <w:t xml:space="preserve"> </w:t>
      </w:r>
      <w:r>
        <w:rPr>
          <w:sz w:val="18"/>
        </w:rPr>
        <w:t>ACTSC</w:t>
      </w:r>
      <w:r>
        <w:rPr>
          <w:spacing w:val="18"/>
          <w:sz w:val="18"/>
        </w:rPr>
        <w:t xml:space="preserve"> </w:t>
      </w:r>
      <w:r>
        <w:rPr>
          <w:sz w:val="18"/>
        </w:rPr>
        <w:t>83</w:t>
      </w:r>
      <w:r>
        <w:rPr>
          <w:spacing w:val="19"/>
          <w:sz w:val="18"/>
        </w:rPr>
        <w:t xml:space="preserve"> </w:t>
      </w:r>
      <w:r>
        <w:rPr>
          <w:sz w:val="18"/>
        </w:rPr>
        <w:t>at</w:t>
      </w:r>
      <w:r>
        <w:rPr>
          <w:spacing w:val="18"/>
          <w:sz w:val="18"/>
        </w:rPr>
        <w:t xml:space="preserve"> </w:t>
      </w:r>
      <w:r>
        <w:rPr>
          <w:sz w:val="18"/>
        </w:rPr>
        <w:t>[213],</w:t>
      </w:r>
      <w:r>
        <w:rPr>
          <w:spacing w:val="19"/>
          <w:sz w:val="18"/>
        </w:rPr>
        <w:t xml:space="preserve"> </w:t>
      </w:r>
      <w:r>
        <w:rPr>
          <w:sz w:val="18"/>
        </w:rPr>
        <w:t>citing</w:t>
      </w:r>
      <w:r>
        <w:rPr>
          <w:spacing w:val="20"/>
          <w:sz w:val="18"/>
        </w:rPr>
        <w:t xml:space="preserve"> </w:t>
      </w:r>
      <w:r>
        <w:rPr>
          <w:i/>
          <w:sz w:val="18"/>
        </w:rPr>
        <w:t>Castles</w:t>
      </w:r>
      <w:r>
        <w:rPr>
          <w:i/>
          <w:spacing w:val="17"/>
          <w:sz w:val="18"/>
        </w:rPr>
        <w:t xml:space="preserve"> </w:t>
      </w:r>
      <w:r>
        <w:rPr>
          <w:i/>
          <w:sz w:val="18"/>
        </w:rPr>
        <w:t xml:space="preserve">v Secretary, Department of Justice </w:t>
      </w:r>
      <w:r>
        <w:rPr>
          <w:sz w:val="18"/>
        </w:rPr>
        <w:t>[2010] VSC 310.</w:t>
      </w:r>
    </w:p>
    <w:p w14:paraId="7CB26048" w14:textId="77777777" w:rsidR="008A4099" w:rsidRDefault="006A6EE2">
      <w:pPr>
        <w:spacing w:before="17"/>
        <w:ind w:left="160"/>
        <w:rPr>
          <w:sz w:val="18"/>
        </w:rPr>
      </w:pPr>
      <w:r>
        <w:rPr>
          <w:sz w:val="18"/>
          <w:vertAlign w:val="superscript"/>
        </w:rPr>
        <w:t>329</w:t>
      </w:r>
      <w:r>
        <w:rPr>
          <w:sz w:val="18"/>
        </w:rPr>
        <w:t xml:space="preserve"> See</w:t>
      </w:r>
      <w:r>
        <w:rPr>
          <w:spacing w:val="-1"/>
          <w:sz w:val="18"/>
        </w:rPr>
        <w:t xml:space="preserve"> </w:t>
      </w:r>
      <w:r>
        <w:rPr>
          <w:sz w:val="18"/>
        </w:rPr>
        <w:t>also</w:t>
      </w:r>
      <w:r>
        <w:rPr>
          <w:spacing w:val="3"/>
          <w:sz w:val="18"/>
        </w:rPr>
        <w:t xml:space="preserve"> </w:t>
      </w:r>
      <w:r>
        <w:rPr>
          <w:i/>
          <w:sz w:val="18"/>
        </w:rPr>
        <w:t>Castles</w:t>
      </w:r>
      <w:r>
        <w:rPr>
          <w:i/>
          <w:spacing w:val="-1"/>
          <w:sz w:val="18"/>
        </w:rPr>
        <w:t xml:space="preserve"> </w:t>
      </w:r>
      <w:r>
        <w:rPr>
          <w:i/>
          <w:sz w:val="18"/>
        </w:rPr>
        <w:t>v Secretary</w:t>
      </w:r>
      <w:r>
        <w:rPr>
          <w:i/>
          <w:spacing w:val="-1"/>
          <w:sz w:val="18"/>
        </w:rPr>
        <w:t xml:space="preserve"> </w:t>
      </w:r>
      <w:r>
        <w:rPr>
          <w:i/>
          <w:sz w:val="18"/>
        </w:rPr>
        <w:t>of</w:t>
      </w:r>
      <w:r>
        <w:rPr>
          <w:i/>
          <w:spacing w:val="-1"/>
          <w:sz w:val="18"/>
        </w:rPr>
        <w:t xml:space="preserve"> </w:t>
      </w:r>
      <w:r>
        <w:rPr>
          <w:i/>
          <w:sz w:val="18"/>
        </w:rPr>
        <w:t>Department</w:t>
      </w:r>
      <w:r>
        <w:rPr>
          <w:i/>
          <w:spacing w:val="-2"/>
          <w:sz w:val="18"/>
        </w:rPr>
        <w:t xml:space="preserve"> </w:t>
      </w:r>
      <w:r>
        <w:rPr>
          <w:i/>
          <w:sz w:val="18"/>
        </w:rPr>
        <w:t>of</w:t>
      </w:r>
      <w:r>
        <w:rPr>
          <w:i/>
          <w:spacing w:val="1"/>
          <w:sz w:val="18"/>
        </w:rPr>
        <w:t xml:space="preserve"> </w:t>
      </w:r>
      <w:r>
        <w:rPr>
          <w:i/>
          <w:sz w:val="18"/>
        </w:rPr>
        <w:t>Justice</w:t>
      </w:r>
      <w:r>
        <w:rPr>
          <w:i/>
          <w:spacing w:val="2"/>
          <w:sz w:val="18"/>
        </w:rPr>
        <w:t xml:space="preserve"> </w:t>
      </w:r>
      <w:r>
        <w:rPr>
          <w:sz w:val="18"/>
        </w:rPr>
        <w:t>[2010]</w:t>
      </w:r>
      <w:r>
        <w:rPr>
          <w:spacing w:val="1"/>
          <w:sz w:val="18"/>
        </w:rPr>
        <w:t xml:space="preserve"> </w:t>
      </w:r>
      <w:r>
        <w:rPr>
          <w:sz w:val="18"/>
        </w:rPr>
        <w:t>VSC</w:t>
      </w:r>
      <w:r>
        <w:rPr>
          <w:spacing w:val="-4"/>
          <w:sz w:val="18"/>
        </w:rPr>
        <w:t xml:space="preserve"> 310.</w:t>
      </w:r>
    </w:p>
    <w:p w14:paraId="7CB26049" w14:textId="77777777" w:rsidR="008A4099" w:rsidRDefault="006A6EE2">
      <w:pPr>
        <w:spacing w:before="21"/>
        <w:ind w:left="160"/>
        <w:rPr>
          <w:sz w:val="18"/>
        </w:rPr>
      </w:pPr>
      <w:r>
        <w:rPr>
          <w:sz w:val="18"/>
          <w:vertAlign w:val="superscript"/>
        </w:rPr>
        <w:t>330</w:t>
      </w:r>
      <w:r>
        <w:rPr>
          <w:spacing w:val="1"/>
          <w:sz w:val="18"/>
        </w:rPr>
        <w:t xml:space="preserve"> </w:t>
      </w:r>
      <w:r>
        <w:rPr>
          <w:i/>
          <w:sz w:val="18"/>
        </w:rPr>
        <w:t>Minogue v Thompson</w:t>
      </w:r>
      <w:r>
        <w:rPr>
          <w:i/>
          <w:spacing w:val="1"/>
          <w:sz w:val="18"/>
        </w:rPr>
        <w:t xml:space="preserve"> </w:t>
      </w:r>
      <w:r>
        <w:rPr>
          <w:sz w:val="18"/>
        </w:rPr>
        <w:t>[2021]</w:t>
      </w:r>
      <w:r>
        <w:rPr>
          <w:spacing w:val="1"/>
          <w:sz w:val="18"/>
        </w:rPr>
        <w:t xml:space="preserve"> </w:t>
      </w:r>
      <w:r>
        <w:rPr>
          <w:sz w:val="18"/>
        </w:rPr>
        <w:t>VSC</w:t>
      </w:r>
      <w:r>
        <w:rPr>
          <w:spacing w:val="1"/>
          <w:sz w:val="18"/>
        </w:rPr>
        <w:t xml:space="preserve"> </w:t>
      </w:r>
      <w:r>
        <w:rPr>
          <w:spacing w:val="-5"/>
          <w:sz w:val="18"/>
        </w:rPr>
        <w:t>56.</w:t>
      </w:r>
    </w:p>
    <w:p w14:paraId="7CB2604A" w14:textId="77777777" w:rsidR="008A4099" w:rsidRDefault="006A6EE2">
      <w:pPr>
        <w:spacing w:before="24"/>
        <w:ind w:left="160"/>
        <w:rPr>
          <w:sz w:val="18"/>
        </w:rPr>
      </w:pPr>
      <w:r>
        <w:rPr>
          <w:sz w:val="18"/>
          <w:vertAlign w:val="superscript"/>
        </w:rPr>
        <w:t>331</w:t>
      </w:r>
      <w:r>
        <w:rPr>
          <w:sz w:val="18"/>
        </w:rPr>
        <w:t xml:space="preserve"> </w:t>
      </w:r>
      <w:r>
        <w:rPr>
          <w:i/>
          <w:sz w:val="18"/>
        </w:rPr>
        <w:t>Director of Housing</w:t>
      </w:r>
      <w:r>
        <w:rPr>
          <w:i/>
          <w:spacing w:val="2"/>
          <w:sz w:val="18"/>
        </w:rPr>
        <w:t xml:space="preserve"> </w:t>
      </w:r>
      <w:r>
        <w:rPr>
          <w:i/>
          <w:sz w:val="18"/>
        </w:rPr>
        <w:t>v</w:t>
      </w:r>
      <w:r>
        <w:rPr>
          <w:i/>
          <w:spacing w:val="-3"/>
          <w:sz w:val="18"/>
        </w:rPr>
        <w:t xml:space="preserve"> </w:t>
      </w:r>
      <w:r>
        <w:rPr>
          <w:i/>
          <w:sz w:val="18"/>
        </w:rPr>
        <w:t>Sudi</w:t>
      </w:r>
      <w:r>
        <w:rPr>
          <w:i/>
          <w:spacing w:val="2"/>
          <w:sz w:val="18"/>
        </w:rPr>
        <w:t xml:space="preserve"> </w:t>
      </w:r>
      <w:r>
        <w:rPr>
          <w:sz w:val="18"/>
        </w:rPr>
        <w:t>[2010]</w:t>
      </w:r>
      <w:r>
        <w:rPr>
          <w:spacing w:val="1"/>
          <w:sz w:val="18"/>
        </w:rPr>
        <w:t xml:space="preserve"> </w:t>
      </w:r>
      <w:r>
        <w:rPr>
          <w:sz w:val="18"/>
        </w:rPr>
        <w:t xml:space="preserve">VCAT </w:t>
      </w:r>
      <w:r>
        <w:rPr>
          <w:spacing w:val="-4"/>
          <w:sz w:val="18"/>
        </w:rPr>
        <w:t>328.</w:t>
      </w:r>
    </w:p>
    <w:p w14:paraId="7CB2604B" w14:textId="77777777" w:rsidR="008A4099" w:rsidRDefault="006A6EE2">
      <w:pPr>
        <w:spacing w:before="23"/>
        <w:ind w:left="160"/>
        <w:rPr>
          <w:sz w:val="18"/>
        </w:rPr>
      </w:pPr>
      <w:r>
        <w:rPr>
          <w:sz w:val="18"/>
          <w:vertAlign w:val="superscript"/>
        </w:rPr>
        <w:t>332</w:t>
      </w:r>
      <w:r>
        <w:rPr>
          <w:spacing w:val="-1"/>
          <w:sz w:val="18"/>
        </w:rPr>
        <w:t xml:space="preserve"> </w:t>
      </w:r>
      <w:r>
        <w:rPr>
          <w:sz w:val="18"/>
        </w:rPr>
        <w:t>Ibid</w:t>
      </w:r>
      <w:r>
        <w:rPr>
          <w:spacing w:val="-1"/>
          <w:sz w:val="18"/>
        </w:rPr>
        <w:t xml:space="preserve"> </w:t>
      </w:r>
      <w:r>
        <w:rPr>
          <w:sz w:val="18"/>
        </w:rPr>
        <w:t>[81]; see</w:t>
      </w:r>
      <w:r>
        <w:rPr>
          <w:spacing w:val="-1"/>
          <w:sz w:val="18"/>
        </w:rPr>
        <w:t xml:space="preserve"> </w:t>
      </w:r>
      <w:r>
        <w:rPr>
          <w:sz w:val="18"/>
        </w:rPr>
        <w:t>also</w:t>
      </w:r>
      <w:r>
        <w:rPr>
          <w:spacing w:val="-1"/>
          <w:sz w:val="18"/>
        </w:rPr>
        <w:t xml:space="preserve"> </w:t>
      </w:r>
      <w:r>
        <w:rPr>
          <w:i/>
          <w:sz w:val="18"/>
        </w:rPr>
        <w:t>Metro</w:t>
      </w:r>
      <w:r>
        <w:rPr>
          <w:i/>
          <w:spacing w:val="1"/>
          <w:sz w:val="18"/>
        </w:rPr>
        <w:t xml:space="preserve"> </w:t>
      </w:r>
      <w:r>
        <w:rPr>
          <w:i/>
          <w:sz w:val="18"/>
        </w:rPr>
        <w:t>West v Sudi (Residential</w:t>
      </w:r>
      <w:r>
        <w:rPr>
          <w:i/>
          <w:spacing w:val="-3"/>
          <w:sz w:val="18"/>
        </w:rPr>
        <w:t xml:space="preserve"> </w:t>
      </w:r>
      <w:r>
        <w:rPr>
          <w:i/>
          <w:sz w:val="18"/>
        </w:rPr>
        <w:t>Tenancies)</w:t>
      </w:r>
      <w:r>
        <w:rPr>
          <w:i/>
          <w:spacing w:val="3"/>
          <w:sz w:val="18"/>
        </w:rPr>
        <w:t xml:space="preserve"> </w:t>
      </w:r>
      <w:r>
        <w:rPr>
          <w:sz w:val="18"/>
        </w:rPr>
        <w:t xml:space="preserve">[2009] VCAT </w:t>
      </w:r>
      <w:r>
        <w:rPr>
          <w:spacing w:val="-2"/>
          <w:sz w:val="18"/>
        </w:rPr>
        <w:t>2025.</w:t>
      </w:r>
    </w:p>
    <w:p w14:paraId="7CB2604C" w14:textId="77777777" w:rsidR="008A4099" w:rsidRDefault="006A6EE2">
      <w:pPr>
        <w:spacing w:before="24"/>
        <w:ind w:left="160"/>
        <w:rPr>
          <w:sz w:val="18"/>
        </w:rPr>
      </w:pPr>
      <w:r>
        <w:rPr>
          <w:sz w:val="18"/>
          <w:vertAlign w:val="superscript"/>
        </w:rPr>
        <w:t>333</w:t>
      </w:r>
      <w:r>
        <w:rPr>
          <w:spacing w:val="-1"/>
          <w:sz w:val="18"/>
        </w:rPr>
        <w:t xml:space="preserve"> </w:t>
      </w:r>
      <w:r>
        <w:rPr>
          <w:i/>
          <w:sz w:val="18"/>
        </w:rPr>
        <w:t>Homeground</w:t>
      </w:r>
      <w:r>
        <w:rPr>
          <w:i/>
          <w:spacing w:val="-1"/>
          <w:sz w:val="18"/>
        </w:rPr>
        <w:t xml:space="preserve"> </w:t>
      </w:r>
      <w:r>
        <w:rPr>
          <w:i/>
          <w:sz w:val="18"/>
        </w:rPr>
        <w:t>Services</w:t>
      </w:r>
      <w:r>
        <w:rPr>
          <w:i/>
          <w:spacing w:val="-1"/>
          <w:sz w:val="18"/>
        </w:rPr>
        <w:t xml:space="preserve"> </w:t>
      </w:r>
      <w:r>
        <w:rPr>
          <w:i/>
          <w:sz w:val="18"/>
        </w:rPr>
        <w:t>v</w:t>
      </w:r>
      <w:r>
        <w:rPr>
          <w:i/>
          <w:spacing w:val="-1"/>
          <w:sz w:val="18"/>
        </w:rPr>
        <w:t xml:space="preserve"> </w:t>
      </w:r>
      <w:r>
        <w:rPr>
          <w:i/>
          <w:sz w:val="18"/>
        </w:rPr>
        <w:t>Mohamed</w:t>
      </w:r>
      <w:r>
        <w:rPr>
          <w:i/>
          <w:spacing w:val="1"/>
          <w:sz w:val="18"/>
        </w:rPr>
        <w:t xml:space="preserve"> </w:t>
      </w:r>
      <w:r>
        <w:rPr>
          <w:i/>
          <w:sz w:val="18"/>
        </w:rPr>
        <w:t>(Residential</w:t>
      </w:r>
      <w:r>
        <w:rPr>
          <w:i/>
          <w:spacing w:val="-3"/>
          <w:sz w:val="18"/>
        </w:rPr>
        <w:t xml:space="preserve"> </w:t>
      </w:r>
      <w:r>
        <w:rPr>
          <w:i/>
          <w:sz w:val="18"/>
        </w:rPr>
        <w:t>Tenancies)</w:t>
      </w:r>
      <w:r>
        <w:rPr>
          <w:i/>
          <w:spacing w:val="3"/>
          <w:sz w:val="18"/>
        </w:rPr>
        <w:t xml:space="preserve"> </w:t>
      </w:r>
      <w:r>
        <w:rPr>
          <w:sz w:val="18"/>
        </w:rPr>
        <w:t>[2009]</w:t>
      </w:r>
      <w:r>
        <w:rPr>
          <w:spacing w:val="-3"/>
          <w:sz w:val="18"/>
        </w:rPr>
        <w:t xml:space="preserve"> </w:t>
      </w:r>
      <w:r>
        <w:rPr>
          <w:sz w:val="18"/>
        </w:rPr>
        <w:t xml:space="preserve">VCAT </w:t>
      </w:r>
      <w:r>
        <w:rPr>
          <w:spacing w:val="-2"/>
          <w:sz w:val="18"/>
        </w:rPr>
        <w:t>1131.</w:t>
      </w:r>
    </w:p>
    <w:p w14:paraId="7CB2604D" w14:textId="77777777" w:rsidR="008A4099" w:rsidRDefault="008A4099">
      <w:pPr>
        <w:rPr>
          <w:sz w:val="18"/>
        </w:rPr>
        <w:sectPr w:rsidR="008A4099" w:rsidSect="00D43B2D">
          <w:pgSz w:w="11910" w:h="16840"/>
          <w:pgMar w:top="980" w:right="760" w:bottom="940" w:left="1280" w:header="718" w:footer="753" w:gutter="0"/>
          <w:cols w:space="720"/>
        </w:sectPr>
      </w:pPr>
    </w:p>
    <w:p w14:paraId="7CB2604E" w14:textId="77777777" w:rsidR="008A4099" w:rsidRDefault="008A4099">
      <w:pPr>
        <w:pStyle w:val="BodyText"/>
        <w:spacing w:before="194"/>
      </w:pPr>
    </w:p>
    <w:p w14:paraId="7CB2604F" w14:textId="77777777" w:rsidR="008A4099" w:rsidRDefault="006A6EE2">
      <w:pPr>
        <w:pStyle w:val="BodyText"/>
        <w:ind w:left="160" w:right="679"/>
      </w:pPr>
      <w:r>
        <w:t>found</w:t>
      </w:r>
      <w:r>
        <w:rPr>
          <w:spacing w:val="40"/>
        </w:rPr>
        <w:t xml:space="preserve"> </w:t>
      </w:r>
      <w:r>
        <w:t>that</w:t>
      </w:r>
      <w:r>
        <w:rPr>
          <w:spacing w:val="40"/>
        </w:rPr>
        <w:t xml:space="preserve"> </w:t>
      </w:r>
      <w:r>
        <w:t>strict</w:t>
      </w:r>
      <w:r>
        <w:rPr>
          <w:spacing w:val="40"/>
        </w:rPr>
        <w:t xml:space="preserve"> </w:t>
      </w:r>
      <w:r>
        <w:t>adherence</w:t>
      </w:r>
      <w:r>
        <w:rPr>
          <w:spacing w:val="40"/>
        </w:rPr>
        <w:t xml:space="preserve"> </w:t>
      </w:r>
      <w:r>
        <w:t>to</w:t>
      </w:r>
      <w:r>
        <w:rPr>
          <w:spacing w:val="40"/>
        </w:rPr>
        <w:t xml:space="preserve"> </w:t>
      </w:r>
      <w:r>
        <w:t>the</w:t>
      </w:r>
      <w:r>
        <w:rPr>
          <w:spacing w:val="40"/>
        </w:rPr>
        <w:t xml:space="preserve"> </w:t>
      </w:r>
      <w:r>
        <w:t>policy,</w:t>
      </w:r>
      <w:r>
        <w:rPr>
          <w:spacing w:val="40"/>
        </w:rPr>
        <w:t xml:space="preserve"> </w:t>
      </w:r>
      <w:r>
        <w:t>even</w:t>
      </w:r>
      <w:r>
        <w:rPr>
          <w:spacing w:val="40"/>
        </w:rPr>
        <w:t xml:space="preserve"> </w:t>
      </w:r>
      <w:r>
        <w:t>when</w:t>
      </w:r>
      <w:r>
        <w:rPr>
          <w:spacing w:val="40"/>
        </w:rPr>
        <w:t xml:space="preserve"> </w:t>
      </w:r>
      <w:r>
        <w:t>it</w:t>
      </w:r>
      <w:r>
        <w:rPr>
          <w:spacing w:val="40"/>
        </w:rPr>
        <w:t xml:space="preserve"> </w:t>
      </w:r>
      <w:r>
        <w:t>was</w:t>
      </w:r>
      <w:r>
        <w:rPr>
          <w:spacing w:val="40"/>
        </w:rPr>
        <w:t xml:space="preserve"> </w:t>
      </w:r>
      <w:r>
        <w:t>clear</w:t>
      </w:r>
      <w:r>
        <w:rPr>
          <w:spacing w:val="40"/>
        </w:rPr>
        <w:t xml:space="preserve"> </w:t>
      </w:r>
      <w:r>
        <w:t>tenants</w:t>
      </w:r>
      <w:r>
        <w:rPr>
          <w:spacing w:val="40"/>
        </w:rPr>
        <w:t xml:space="preserve"> </w:t>
      </w:r>
      <w:r>
        <w:t>would</w:t>
      </w:r>
      <w:r>
        <w:rPr>
          <w:spacing w:val="40"/>
        </w:rPr>
        <w:t xml:space="preserve"> </w:t>
      </w:r>
      <w:r>
        <w:t>be</w:t>
      </w:r>
      <w:r>
        <w:rPr>
          <w:spacing w:val="40"/>
        </w:rPr>
        <w:t xml:space="preserve"> </w:t>
      </w:r>
      <w:r>
        <w:t>evicted</w:t>
      </w:r>
      <w:r>
        <w:rPr>
          <w:spacing w:val="40"/>
        </w:rPr>
        <w:t xml:space="preserve"> </w:t>
      </w:r>
      <w:r>
        <w:t>into homelessness, was arbitrary and amounted to a breach of tenants’ human rights.</w:t>
      </w:r>
    </w:p>
    <w:p w14:paraId="7CB26050" w14:textId="77777777" w:rsidR="008A4099" w:rsidRDefault="006A6EE2">
      <w:pPr>
        <w:pStyle w:val="ListParagraph"/>
        <w:numPr>
          <w:ilvl w:val="2"/>
          <w:numId w:val="6"/>
        </w:numPr>
        <w:tabs>
          <w:tab w:val="left" w:pos="879"/>
        </w:tabs>
        <w:spacing w:line="242" w:lineRule="auto"/>
        <w:ind w:right="674" w:firstLine="0"/>
        <w:jc w:val="both"/>
        <w:rPr>
          <w:sz w:val="13"/>
        </w:rPr>
      </w:pPr>
      <w:r>
        <w:t>As</w:t>
      </w:r>
      <w:r>
        <w:rPr>
          <w:spacing w:val="-4"/>
        </w:rPr>
        <w:t xml:space="preserve"> </w:t>
      </w:r>
      <w:r>
        <w:t>with</w:t>
      </w:r>
      <w:r>
        <w:rPr>
          <w:spacing w:val="-5"/>
        </w:rPr>
        <w:t xml:space="preserve"> </w:t>
      </w:r>
      <w:r>
        <w:t>Victoria,</w:t>
      </w:r>
      <w:r>
        <w:rPr>
          <w:spacing w:val="-7"/>
        </w:rPr>
        <w:t xml:space="preserve"> </w:t>
      </w:r>
      <w:r>
        <w:t>the</w:t>
      </w:r>
      <w:r>
        <w:rPr>
          <w:spacing w:val="-7"/>
        </w:rPr>
        <w:t xml:space="preserve"> </w:t>
      </w:r>
      <w:r>
        <w:t>protective</w:t>
      </w:r>
      <w:r>
        <w:rPr>
          <w:spacing w:val="-4"/>
        </w:rPr>
        <w:t xml:space="preserve"> </w:t>
      </w:r>
      <w:r>
        <w:t>effect</w:t>
      </w:r>
      <w:r>
        <w:rPr>
          <w:spacing w:val="-4"/>
        </w:rPr>
        <w:t xml:space="preserve"> </w:t>
      </w:r>
      <w:r>
        <w:t>of</w:t>
      </w:r>
      <w:r>
        <w:rPr>
          <w:spacing w:val="-4"/>
        </w:rPr>
        <w:t xml:space="preserve"> </w:t>
      </w:r>
      <w:r>
        <w:t>human</w:t>
      </w:r>
      <w:r>
        <w:rPr>
          <w:spacing w:val="-5"/>
        </w:rPr>
        <w:t xml:space="preserve"> </w:t>
      </w:r>
      <w:r>
        <w:t>rights</w:t>
      </w:r>
      <w:r>
        <w:rPr>
          <w:spacing w:val="-6"/>
        </w:rPr>
        <w:t xml:space="preserve"> </w:t>
      </w:r>
      <w:r>
        <w:t>enactments</w:t>
      </w:r>
      <w:r>
        <w:rPr>
          <w:spacing w:val="-4"/>
        </w:rPr>
        <w:t xml:space="preserve"> </w:t>
      </w:r>
      <w:r>
        <w:t>can</w:t>
      </w:r>
      <w:r>
        <w:rPr>
          <w:spacing w:val="-5"/>
        </w:rPr>
        <w:t xml:space="preserve"> </w:t>
      </w:r>
      <w:r>
        <w:t>be</w:t>
      </w:r>
      <w:r>
        <w:rPr>
          <w:spacing w:val="-7"/>
        </w:rPr>
        <w:t xml:space="preserve"> </w:t>
      </w:r>
      <w:r>
        <w:t>observed</w:t>
      </w:r>
      <w:r>
        <w:rPr>
          <w:spacing w:val="-7"/>
        </w:rPr>
        <w:t xml:space="preserve"> </w:t>
      </w:r>
      <w:r>
        <w:t>in</w:t>
      </w:r>
      <w:r>
        <w:rPr>
          <w:spacing w:val="-7"/>
        </w:rPr>
        <w:t xml:space="preserve"> </w:t>
      </w:r>
      <w:r>
        <w:t>the</w:t>
      </w:r>
      <w:r>
        <w:rPr>
          <w:spacing w:val="-4"/>
        </w:rPr>
        <w:t xml:space="preserve"> </w:t>
      </w:r>
      <w:r>
        <w:t>ACT through the obligation imposed on housing decision-makers to consider the human rights implications of</w:t>
      </w:r>
      <w:r>
        <w:rPr>
          <w:spacing w:val="-14"/>
        </w:rPr>
        <w:t xml:space="preserve"> </w:t>
      </w:r>
      <w:r>
        <w:t>their</w:t>
      </w:r>
      <w:r>
        <w:rPr>
          <w:spacing w:val="-14"/>
        </w:rPr>
        <w:t xml:space="preserve"> </w:t>
      </w:r>
      <w:r>
        <w:t>decisions</w:t>
      </w:r>
      <w:r>
        <w:rPr>
          <w:spacing w:val="-14"/>
        </w:rPr>
        <w:t xml:space="preserve"> </w:t>
      </w:r>
      <w:r>
        <w:t>for</w:t>
      </w:r>
      <w:r>
        <w:rPr>
          <w:spacing w:val="-13"/>
        </w:rPr>
        <w:t xml:space="preserve"> </w:t>
      </w:r>
      <w:r>
        <w:t>tenants;</w:t>
      </w:r>
      <w:r>
        <w:rPr>
          <w:spacing w:val="-14"/>
        </w:rPr>
        <w:t xml:space="preserve"> </w:t>
      </w:r>
      <w:r>
        <w:t>in</w:t>
      </w:r>
      <w:r>
        <w:rPr>
          <w:spacing w:val="-14"/>
        </w:rPr>
        <w:t xml:space="preserve"> </w:t>
      </w:r>
      <w:r>
        <w:t>particular,</w:t>
      </w:r>
      <w:r>
        <w:rPr>
          <w:spacing w:val="-14"/>
        </w:rPr>
        <w:t xml:space="preserve"> </w:t>
      </w:r>
      <w:r>
        <w:t>the</w:t>
      </w:r>
      <w:r>
        <w:rPr>
          <w:spacing w:val="-13"/>
        </w:rPr>
        <w:t xml:space="preserve"> </w:t>
      </w:r>
      <w:r>
        <w:t>risk</w:t>
      </w:r>
      <w:r>
        <w:rPr>
          <w:spacing w:val="-14"/>
        </w:rPr>
        <w:t xml:space="preserve"> </w:t>
      </w:r>
      <w:r>
        <w:t>that</w:t>
      </w:r>
      <w:r>
        <w:rPr>
          <w:spacing w:val="-14"/>
        </w:rPr>
        <w:t xml:space="preserve"> </w:t>
      </w:r>
      <w:r>
        <w:t>eviction</w:t>
      </w:r>
      <w:r>
        <w:rPr>
          <w:spacing w:val="-14"/>
        </w:rPr>
        <w:t xml:space="preserve"> </w:t>
      </w:r>
      <w:r>
        <w:t>will</w:t>
      </w:r>
      <w:r>
        <w:rPr>
          <w:spacing w:val="-13"/>
        </w:rPr>
        <w:t xml:space="preserve"> </w:t>
      </w:r>
      <w:r>
        <w:t>result</w:t>
      </w:r>
      <w:r>
        <w:rPr>
          <w:spacing w:val="-14"/>
        </w:rPr>
        <w:t xml:space="preserve"> </w:t>
      </w:r>
      <w:r>
        <w:t>in</w:t>
      </w:r>
      <w:r>
        <w:rPr>
          <w:spacing w:val="-13"/>
        </w:rPr>
        <w:t xml:space="preserve"> </w:t>
      </w:r>
      <w:r>
        <w:t>homelessness,</w:t>
      </w:r>
      <w:r>
        <w:rPr>
          <w:spacing w:val="-13"/>
        </w:rPr>
        <w:t xml:space="preserve"> </w:t>
      </w:r>
      <w:r>
        <w:t>and</w:t>
      </w:r>
      <w:r>
        <w:rPr>
          <w:spacing w:val="-13"/>
        </w:rPr>
        <w:t xml:space="preserve"> </w:t>
      </w:r>
      <w:r>
        <w:t>whether other measures might be implemented to minimise that risk. In regard to transitional housing, the decision</w:t>
      </w:r>
      <w:r>
        <w:rPr>
          <w:spacing w:val="40"/>
        </w:rPr>
        <w:t xml:space="preserve"> </w:t>
      </w:r>
      <w:r>
        <w:t>in</w:t>
      </w:r>
      <w:r>
        <w:rPr>
          <w:spacing w:val="40"/>
        </w:rPr>
        <w:t xml:space="preserve"> </w:t>
      </w:r>
      <w:r>
        <w:rPr>
          <w:i/>
        </w:rPr>
        <w:t>Canberra</w:t>
      </w:r>
      <w:r>
        <w:rPr>
          <w:i/>
          <w:spacing w:val="40"/>
        </w:rPr>
        <w:t xml:space="preserve"> </w:t>
      </w:r>
      <w:r>
        <w:rPr>
          <w:i/>
        </w:rPr>
        <w:t>Fathers</w:t>
      </w:r>
      <w:r>
        <w:rPr>
          <w:i/>
          <w:spacing w:val="40"/>
        </w:rPr>
        <w:t xml:space="preserve"> </w:t>
      </w:r>
      <w:r>
        <w:rPr>
          <w:i/>
        </w:rPr>
        <w:t>and</w:t>
      </w:r>
      <w:r>
        <w:rPr>
          <w:i/>
          <w:spacing w:val="40"/>
        </w:rPr>
        <w:t xml:space="preserve"> </w:t>
      </w:r>
      <w:r>
        <w:rPr>
          <w:i/>
        </w:rPr>
        <w:t>Children</w:t>
      </w:r>
      <w:r>
        <w:rPr>
          <w:i/>
          <w:spacing w:val="40"/>
        </w:rPr>
        <w:t xml:space="preserve"> </w:t>
      </w:r>
      <w:r>
        <w:rPr>
          <w:i/>
        </w:rPr>
        <w:t>Services</w:t>
      </w:r>
      <w:r>
        <w:rPr>
          <w:i/>
          <w:spacing w:val="40"/>
        </w:rPr>
        <w:t xml:space="preserve"> </w:t>
      </w:r>
      <w:r>
        <w:rPr>
          <w:i/>
        </w:rPr>
        <w:t>Inc v</w:t>
      </w:r>
      <w:r>
        <w:rPr>
          <w:i/>
          <w:spacing w:val="-3"/>
        </w:rPr>
        <w:t xml:space="preserve"> </w:t>
      </w:r>
      <w:r>
        <w:rPr>
          <w:i/>
        </w:rPr>
        <w:t>Michael</w:t>
      </w:r>
      <w:r>
        <w:rPr>
          <w:i/>
          <w:spacing w:val="40"/>
        </w:rPr>
        <w:t xml:space="preserve"> </w:t>
      </w:r>
      <w:r>
        <w:rPr>
          <w:i/>
        </w:rPr>
        <w:t>Watson</w:t>
      </w:r>
      <w:r>
        <w:rPr>
          <w:i/>
          <w:spacing w:val="40"/>
        </w:rPr>
        <w:t xml:space="preserve"> </w:t>
      </w:r>
      <w:r>
        <w:rPr>
          <w:i/>
        </w:rPr>
        <w:t>(Residential Tenancies)</w:t>
      </w:r>
      <w:r>
        <w:rPr>
          <w:vertAlign w:val="superscript"/>
        </w:rPr>
        <w:t>334</w:t>
      </w:r>
      <w:r>
        <w:rPr>
          <w:spacing w:val="-2"/>
        </w:rPr>
        <w:t xml:space="preserve"> </w:t>
      </w:r>
      <w:r>
        <w:t>addressed</w:t>
      </w:r>
      <w:r>
        <w:rPr>
          <w:spacing w:val="-7"/>
        </w:rPr>
        <w:t xml:space="preserve"> </w:t>
      </w:r>
      <w:r>
        <w:t>the</w:t>
      </w:r>
      <w:r>
        <w:rPr>
          <w:spacing w:val="-4"/>
        </w:rPr>
        <w:t xml:space="preserve"> </w:t>
      </w:r>
      <w:r>
        <w:t>rights</w:t>
      </w:r>
      <w:r>
        <w:rPr>
          <w:spacing w:val="-6"/>
        </w:rPr>
        <w:t xml:space="preserve"> </w:t>
      </w:r>
      <w:r>
        <w:t>of</w:t>
      </w:r>
      <w:r>
        <w:rPr>
          <w:spacing w:val="-6"/>
        </w:rPr>
        <w:t xml:space="preserve"> </w:t>
      </w:r>
      <w:r>
        <w:t>families</w:t>
      </w:r>
      <w:r>
        <w:rPr>
          <w:spacing w:val="-6"/>
        </w:rPr>
        <w:t xml:space="preserve"> </w:t>
      </w:r>
      <w:r>
        <w:t>in</w:t>
      </w:r>
      <w:r>
        <w:rPr>
          <w:spacing w:val="-7"/>
        </w:rPr>
        <w:t xml:space="preserve"> </w:t>
      </w:r>
      <w:r>
        <w:t>these</w:t>
      </w:r>
      <w:r>
        <w:rPr>
          <w:spacing w:val="-4"/>
        </w:rPr>
        <w:t xml:space="preserve"> </w:t>
      </w:r>
      <w:r>
        <w:t>circumstances.</w:t>
      </w:r>
      <w:r>
        <w:rPr>
          <w:spacing w:val="-5"/>
        </w:rPr>
        <w:t xml:space="preserve"> </w:t>
      </w:r>
      <w:r>
        <w:t>In</w:t>
      </w:r>
      <w:r>
        <w:rPr>
          <w:spacing w:val="-5"/>
        </w:rPr>
        <w:t xml:space="preserve"> </w:t>
      </w:r>
      <w:r>
        <w:t>this</w:t>
      </w:r>
      <w:r>
        <w:rPr>
          <w:spacing w:val="-7"/>
        </w:rPr>
        <w:t xml:space="preserve"> </w:t>
      </w:r>
      <w:r>
        <w:t>case,</w:t>
      </w:r>
      <w:r>
        <w:rPr>
          <w:spacing w:val="-4"/>
        </w:rPr>
        <w:t xml:space="preserve"> </w:t>
      </w:r>
      <w:r>
        <w:t>a</w:t>
      </w:r>
      <w:r>
        <w:rPr>
          <w:spacing w:val="-7"/>
        </w:rPr>
        <w:t xml:space="preserve"> </w:t>
      </w:r>
      <w:r>
        <w:t>father</w:t>
      </w:r>
      <w:r>
        <w:rPr>
          <w:spacing w:val="-4"/>
        </w:rPr>
        <w:t xml:space="preserve"> </w:t>
      </w:r>
      <w:r>
        <w:t>and</w:t>
      </w:r>
      <w:r>
        <w:rPr>
          <w:spacing w:val="-5"/>
        </w:rPr>
        <w:t xml:space="preserve"> </w:t>
      </w:r>
      <w:r>
        <w:t>his</w:t>
      </w:r>
      <w:r>
        <w:rPr>
          <w:spacing w:val="-6"/>
        </w:rPr>
        <w:t xml:space="preserve"> </w:t>
      </w:r>
      <w:r>
        <w:t>three teenage sons, who were at risk of homelessness, moved into transitional housing; they challenged the legality</w:t>
      </w:r>
      <w:r>
        <w:rPr>
          <w:spacing w:val="-3"/>
        </w:rPr>
        <w:t xml:space="preserve"> </w:t>
      </w:r>
      <w:r>
        <w:t>of</w:t>
      </w:r>
      <w:r>
        <w:rPr>
          <w:spacing w:val="-5"/>
        </w:rPr>
        <w:t xml:space="preserve"> </w:t>
      </w:r>
      <w:r>
        <w:t>the</w:t>
      </w:r>
      <w:r>
        <w:rPr>
          <w:spacing w:val="-3"/>
        </w:rPr>
        <w:t xml:space="preserve"> </w:t>
      </w:r>
      <w:r>
        <w:t>notice</w:t>
      </w:r>
      <w:r>
        <w:rPr>
          <w:spacing w:val="-5"/>
        </w:rPr>
        <w:t xml:space="preserve"> </w:t>
      </w:r>
      <w:r>
        <w:t>to</w:t>
      </w:r>
      <w:r>
        <w:rPr>
          <w:spacing w:val="-3"/>
        </w:rPr>
        <w:t xml:space="preserve"> </w:t>
      </w:r>
      <w:r>
        <w:t>vacate</w:t>
      </w:r>
      <w:r>
        <w:rPr>
          <w:spacing w:val="-3"/>
        </w:rPr>
        <w:t xml:space="preserve"> </w:t>
      </w:r>
      <w:r>
        <w:t>under the</w:t>
      </w:r>
      <w:r>
        <w:rPr>
          <w:spacing w:val="-3"/>
        </w:rPr>
        <w:t xml:space="preserve"> </w:t>
      </w:r>
      <w:r>
        <w:rPr>
          <w:i/>
        </w:rPr>
        <w:t>Residential</w:t>
      </w:r>
      <w:r>
        <w:rPr>
          <w:i/>
          <w:spacing w:val="-2"/>
        </w:rPr>
        <w:t xml:space="preserve"> </w:t>
      </w:r>
      <w:r>
        <w:rPr>
          <w:i/>
        </w:rPr>
        <w:t>Tenancies</w:t>
      </w:r>
      <w:r>
        <w:rPr>
          <w:i/>
          <w:spacing w:val="-3"/>
        </w:rPr>
        <w:t xml:space="preserve"> </w:t>
      </w:r>
      <w:r>
        <w:rPr>
          <w:i/>
        </w:rPr>
        <w:t>Act</w:t>
      </w:r>
      <w:r>
        <w:rPr>
          <w:i/>
          <w:spacing w:val="-2"/>
        </w:rPr>
        <w:t xml:space="preserve"> </w:t>
      </w:r>
      <w:r>
        <w:rPr>
          <w:i/>
        </w:rPr>
        <w:t>1997</w:t>
      </w:r>
      <w:r>
        <w:rPr>
          <w:i/>
          <w:spacing w:val="-1"/>
        </w:rPr>
        <w:t xml:space="preserve"> </w:t>
      </w:r>
      <w:r>
        <w:t>(ACT)</w:t>
      </w:r>
      <w:r>
        <w:rPr>
          <w:spacing w:val="-3"/>
        </w:rPr>
        <w:t xml:space="preserve"> </w:t>
      </w:r>
      <w:r>
        <w:t>and</w:t>
      </w:r>
      <w:r>
        <w:rPr>
          <w:spacing w:val="-3"/>
        </w:rPr>
        <w:t xml:space="preserve"> </w:t>
      </w:r>
      <w:r>
        <w:t>the</w:t>
      </w:r>
      <w:r>
        <w:rPr>
          <w:spacing w:val="-4"/>
        </w:rPr>
        <w:t xml:space="preserve"> </w:t>
      </w:r>
      <w:r>
        <w:rPr>
          <w:i/>
        </w:rPr>
        <w:t>Human</w:t>
      </w:r>
      <w:r>
        <w:rPr>
          <w:i/>
          <w:spacing w:val="-3"/>
        </w:rPr>
        <w:t xml:space="preserve"> </w:t>
      </w:r>
      <w:r>
        <w:rPr>
          <w:i/>
        </w:rPr>
        <w:t>Rights Act</w:t>
      </w:r>
      <w:r>
        <w:rPr>
          <w:i/>
          <w:spacing w:val="-6"/>
        </w:rPr>
        <w:t xml:space="preserve"> </w:t>
      </w:r>
      <w:r>
        <w:rPr>
          <w:i/>
        </w:rPr>
        <w:t>2004</w:t>
      </w:r>
      <w:r>
        <w:rPr>
          <w:i/>
          <w:spacing w:val="-10"/>
        </w:rPr>
        <w:t xml:space="preserve"> </w:t>
      </w:r>
      <w:r>
        <w:t>(ACT).</w:t>
      </w:r>
      <w:r>
        <w:rPr>
          <w:spacing w:val="-7"/>
        </w:rPr>
        <w:t xml:space="preserve"> </w:t>
      </w:r>
      <w:r>
        <w:t>The</w:t>
      </w:r>
      <w:r>
        <w:rPr>
          <w:spacing w:val="-7"/>
        </w:rPr>
        <w:t xml:space="preserve"> </w:t>
      </w:r>
      <w:r>
        <w:t>ACT</w:t>
      </w:r>
      <w:r>
        <w:rPr>
          <w:spacing w:val="-10"/>
        </w:rPr>
        <w:t xml:space="preserve"> </w:t>
      </w:r>
      <w:r>
        <w:t>Civil</w:t>
      </w:r>
      <w:r>
        <w:rPr>
          <w:spacing w:val="-6"/>
        </w:rPr>
        <w:t xml:space="preserve"> </w:t>
      </w:r>
      <w:r>
        <w:t>and</w:t>
      </w:r>
      <w:r>
        <w:rPr>
          <w:spacing w:val="-7"/>
        </w:rPr>
        <w:t xml:space="preserve"> </w:t>
      </w:r>
      <w:r>
        <w:t>Administrative</w:t>
      </w:r>
      <w:r>
        <w:rPr>
          <w:spacing w:val="-7"/>
        </w:rPr>
        <w:t xml:space="preserve"> </w:t>
      </w:r>
      <w:r>
        <w:t>Tribunal</w:t>
      </w:r>
      <w:r>
        <w:rPr>
          <w:spacing w:val="-3"/>
        </w:rPr>
        <w:t xml:space="preserve"> </w:t>
      </w:r>
      <w:r>
        <w:t>(‘ACAT’)</w:t>
      </w:r>
      <w:r>
        <w:rPr>
          <w:spacing w:val="-5"/>
        </w:rPr>
        <w:t xml:space="preserve"> </w:t>
      </w:r>
      <w:r>
        <w:t>found</w:t>
      </w:r>
      <w:r>
        <w:rPr>
          <w:spacing w:val="-9"/>
        </w:rPr>
        <w:t xml:space="preserve"> </w:t>
      </w:r>
      <w:r>
        <w:t>that</w:t>
      </w:r>
      <w:r>
        <w:rPr>
          <w:spacing w:val="-8"/>
        </w:rPr>
        <w:t xml:space="preserve"> </w:t>
      </w:r>
      <w:r>
        <w:t>the</w:t>
      </w:r>
      <w:r>
        <w:rPr>
          <w:spacing w:val="-7"/>
        </w:rPr>
        <w:t xml:space="preserve"> </w:t>
      </w:r>
      <w:r>
        <w:t>notice</w:t>
      </w:r>
      <w:r>
        <w:rPr>
          <w:spacing w:val="-7"/>
        </w:rPr>
        <w:t xml:space="preserve"> </w:t>
      </w:r>
      <w:r>
        <w:t>to</w:t>
      </w:r>
      <w:r>
        <w:rPr>
          <w:spacing w:val="-7"/>
        </w:rPr>
        <w:t xml:space="preserve"> </w:t>
      </w:r>
      <w:r>
        <w:t>vacate was</w:t>
      </w:r>
      <w:r>
        <w:rPr>
          <w:spacing w:val="-4"/>
        </w:rPr>
        <w:t xml:space="preserve"> </w:t>
      </w:r>
      <w:r>
        <w:t>compliant</w:t>
      </w:r>
      <w:r>
        <w:rPr>
          <w:spacing w:val="-4"/>
        </w:rPr>
        <w:t xml:space="preserve"> </w:t>
      </w:r>
      <w:r>
        <w:t>with</w:t>
      </w:r>
      <w:r>
        <w:rPr>
          <w:spacing w:val="-5"/>
        </w:rPr>
        <w:t xml:space="preserve"> </w:t>
      </w:r>
      <w:r>
        <w:t>the</w:t>
      </w:r>
      <w:r>
        <w:rPr>
          <w:spacing w:val="-3"/>
        </w:rPr>
        <w:t xml:space="preserve"> </w:t>
      </w:r>
      <w:r>
        <w:rPr>
          <w:i/>
        </w:rPr>
        <w:t>Residential</w:t>
      </w:r>
      <w:r>
        <w:rPr>
          <w:i/>
          <w:spacing w:val="-4"/>
        </w:rPr>
        <w:t xml:space="preserve"> </w:t>
      </w:r>
      <w:r>
        <w:rPr>
          <w:i/>
        </w:rPr>
        <w:t>Tenancies</w:t>
      </w:r>
      <w:r>
        <w:rPr>
          <w:i/>
          <w:spacing w:val="-4"/>
        </w:rPr>
        <w:t xml:space="preserve"> </w:t>
      </w:r>
      <w:r>
        <w:rPr>
          <w:i/>
        </w:rPr>
        <w:t>Act</w:t>
      </w:r>
      <w:r>
        <w:rPr>
          <w:i/>
          <w:spacing w:val="-4"/>
        </w:rPr>
        <w:t xml:space="preserve"> </w:t>
      </w:r>
      <w:r>
        <w:rPr>
          <w:i/>
        </w:rPr>
        <w:t>1997</w:t>
      </w:r>
      <w:r>
        <w:rPr>
          <w:i/>
          <w:spacing w:val="-3"/>
        </w:rPr>
        <w:t xml:space="preserve"> </w:t>
      </w:r>
      <w:r>
        <w:t>(ACT)</w:t>
      </w:r>
      <w:r>
        <w:rPr>
          <w:spacing w:val="-4"/>
        </w:rPr>
        <w:t xml:space="preserve"> </w:t>
      </w:r>
      <w:r>
        <w:t>but,</w:t>
      </w:r>
      <w:r>
        <w:rPr>
          <w:spacing w:val="-5"/>
        </w:rPr>
        <w:t xml:space="preserve"> </w:t>
      </w:r>
      <w:r>
        <w:t>nevertheless,</w:t>
      </w:r>
      <w:r>
        <w:rPr>
          <w:spacing w:val="-4"/>
        </w:rPr>
        <w:t xml:space="preserve"> </w:t>
      </w:r>
      <w:r>
        <w:t>amounted</w:t>
      </w:r>
      <w:r>
        <w:rPr>
          <w:spacing w:val="-7"/>
        </w:rPr>
        <w:t xml:space="preserve"> </w:t>
      </w:r>
      <w:r>
        <w:t>to</w:t>
      </w:r>
      <w:r>
        <w:rPr>
          <w:spacing w:val="-5"/>
        </w:rPr>
        <w:t xml:space="preserve"> </w:t>
      </w:r>
      <w:r>
        <w:t>a</w:t>
      </w:r>
      <w:r>
        <w:rPr>
          <w:spacing w:val="-4"/>
        </w:rPr>
        <w:t xml:space="preserve"> </w:t>
      </w:r>
      <w:r>
        <w:t>breach of</w:t>
      </w:r>
      <w:r>
        <w:rPr>
          <w:spacing w:val="-8"/>
        </w:rPr>
        <w:t xml:space="preserve"> </w:t>
      </w:r>
      <w:r>
        <w:t>the</w:t>
      </w:r>
      <w:r>
        <w:rPr>
          <w:spacing w:val="-11"/>
        </w:rPr>
        <w:t xml:space="preserve"> </w:t>
      </w:r>
      <w:r>
        <w:t>family’s</w:t>
      </w:r>
      <w:r>
        <w:rPr>
          <w:spacing w:val="-8"/>
        </w:rPr>
        <w:t xml:space="preserve"> </w:t>
      </w:r>
      <w:r>
        <w:t>right</w:t>
      </w:r>
      <w:r>
        <w:rPr>
          <w:spacing w:val="-8"/>
        </w:rPr>
        <w:t xml:space="preserve"> </w:t>
      </w:r>
      <w:r>
        <w:t>to</w:t>
      </w:r>
      <w:r>
        <w:rPr>
          <w:spacing w:val="-9"/>
        </w:rPr>
        <w:t xml:space="preserve"> </w:t>
      </w:r>
      <w:r>
        <w:t>be</w:t>
      </w:r>
      <w:r>
        <w:rPr>
          <w:spacing w:val="-8"/>
        </w:rPr>
        <w:t xml:space="preserve"> </w:t>
      </w:r>
      <w:r>
        <w:t>free</w:t>
      </w:r>
      <w:r>
        <w:rPr>
          <w:spacing w:val="-8"/>
        </w:rPr>
        <w:t xml:space="preserve"> </w:t>
      </w:r>
      <w:r>
        <w:t>from</w:t>
      </w:r>
      <w:r>
        <w:rPr>
          <w:spacing w:val="-8"/>
        </w:rPr>
        <w:t xml:space="preserve"> </w:t>
      </w:r>
      <w:r>
        <w:t>unlawful</w:t>
      </w:r>
      <w:r>
        <w:rPr>
          <w:spacing w:val="-8"/>
        </w:rPr>
        <w:t xml:space="preserve"> </w:t>
      </w:r>
      <w:r>
        <w:t>or</w:t>
      </w:r>
      <w:r>
        <w:rPr>
          <w:spacing w:val="-8"/>
        </w:rPr>
        <w:t xml:space="preserve"> </w:t>
      </w:r>
      <w:r>
        <w:t>arbitrary</w:t>
      </w:r>
      <w:r>
        <w:rPr>
          <w:spacing w:val="-9"/>
        </w:rPr>
        <w:t xml:space="preserve"> </w:t>
      </w:r>
      <w:r>
        <w:t>interference</w:t>
      </w:r>
      <w:r>
        <w:rPr>
          <w:spacing w:val="-8"/>
        </w:rPr>
        <w:t xml:space="preserve"> </w:t>
      </w:r>
      <w:r>
        <w:t>with</w:t>
      </w:r>
      <w:r>
        <w:rPr>
          <w:spacing w:val="-9"/>
        </w:rPr>
        <w:t xml:space="preserve"> </w:t>
      </w:r>
      <w:r>
        <w:t>their</w:t>
      </w:r>
      <w:r>
        <w:rPr>
          <w:spacing w:val="-8"/>
        </w:rPr>
        <w:t xml:space="preserve"> </w:t>
      </w:r>
      <w:r>
        <w:t>home</w:t>
      </w:r>
      <w:r>
        <w:rPr>
          <w:spacing w:val="-8"/>
        </w:rPr>
        <w:t xml:space="preserve"> </w:t>
      </w:r>
      <w:r>
        <w:t>and</w:t>
      </w:r>
      <w:r>
        <w:rPr>
          <w:spacing w:val="-11"/>
        </w:rPr>
        <w:t xml:space="preserve"> </w:t>
      </w:r>
      <w:r>
        <w:t>family</w:t>
      </w:r>
      <w:r>
        <w:rPr>
          <w:spacing w:val="-9"/>
        </w:rPr>
        <w:t xml:space="preserve"> </w:t>
      </w:r>
      <w:r>
        <w:t xml:space="preserve">under s 12 of the </w:t>
      </w:r>
      <w:r>
        <w:rPr>
          <w:i/>
        </w:rPr>
        <w:t xml:space="preserve">Human Rights Act 2004 </w:t>
      </w:r>
      <w:r>
        <w:t>(ACT).</w:t>
      </w:r>
      <w:r>
        <w:rPr>
          <w:position w:val="7"/>
          <w:sz w:val="13"/>
        </w:rPr>
        <w:t>335</w:t>
      </w:r>
    </w:p>
    <w:p w14:paraId="7CB26051" w14:textId="77777777" w:rsidR="008A4099" w:rsidRDefault="006A6EE2">
      <w:pPr>
        <w:pStyle w:val="ListParagraph"/>
        <w:numPr>
          <w:ilvl w:val="2"/>
          <w:numId w:val="6"/>
        </w:numPr>
        <w:tabs>
          <w:tab w:val="left" w:pos="879"/>
        </w:tabs>
        <w:spacing w:before="206"/>
        <w:ind w:right="672" w:firstLine="0"/>
        <w:jc w:val="both"/>
      </w:pPr>
      <w:r>
        <w:t>It is not suggested that the recognition of the right to housing would lead the end of homelessness in Tasmania.</w:t>
      </w:r>
      <w:r>
        <w:rPr>
          <w:spacing w:val="-4"/>
        </w:rPr>
        <w:t xml:space="preserve"> </w:t>
      </w:r>
      <w:r>
        <w:t>It can</w:t>
      </w:r>
      <w:r>
        <w:rPr>
          <w:spacing w:val="-2"/>
        </w:rPr>
        <w:t xml:space="preserve"> </w:t>
      </w:r>
      <w:r>
        <w:t>be</w:t>
      </w:r>
      <w:r>
        <w:rPr>
          <w:spacing w:val="-1"/>
        </w:rPr>
        <w:t xml:space="preserve"> </w:t>
      </w:r>
      <w:r>
        <w:t>argued,</w:t>
      </w:r>
      <w:r>
        <w:rPr>
          <w:spacing w:val="-2"/>
        </w:rPr>
        <w:t xml:space="preserve"> </w:t>
      </w:r>
      <w:r>
        <w:t>however,</w:t>
      </w:r>
      <w:r>
        <w:rPr>
          <w:spacing w:val="-3"/>
        </w:rPr>
        <w:t xml:space="preserve"> </w:t>
      </w:r>
      <w:r>
        <w:t>that jurisdictions with</w:t>
      </w:r>
      <w:r>
        <w:rPr>
          <w:spacing w:val="-2"/>
        </w:rPr>
        <w:t xml:space="preserve"> </w:t>
      </w:r>
      <w:r>
        <w:t>human rights</w:t>
      </w:r>
      <w:r>
        <w:rPr>
          <w:spacing w:val="-1"/>
        </w:rPr>
        <w:t xml:space="preserve"> </w:t>
      </w:r>
      <w:r>
        <w:t>enactments have provided greater protection of tenants’ right to adequate and secure housing than is currently available</w:t>
      </w:r>
      <w:r>
        <w:rPr>
          <w:spacing w:val="-12"/>
        </w:rPr>
        <w:t xml:space="preserve"> </w:t>
      </w:r>
      <w:r>
        <w:t>in</w:t>
      </w:r>
      <w:r>
        <w:rPr>
          <w:spacing w:val="-12"/>
        </w:rPr>
        <w:t xml:space="preserve"> </w:t>
      </w:r>
      <w:r>
        <w:t>Tasmania,</w:t>
      </w:r>
      <w:r>
        <w:rPr>
          <w:spacing w:val="-9"/>
        </w:rPr>
        <w:t xml:space="preserve"> </w:t>
      </w:r>
      <w:r>
        <w:t>and</w:t>
      </w:r>
      <w:r>
        <w:rPr>
          <w:spacing w:val="-11"/>
        </w:rPr>
        <w:t xml:space="preserve"> </w:t>
      </w:r>
      <w:r>
        <w:t>have</w:t>
      </w:r>
      <w:r>
        <w:rPr>
          <w:spacing w:val="-11"/>
        </w:rPr>
        <w:t xml:space="preserve"> </w:t>
      </w:r>
      <w:r>
        <w:t>a</w:t>
      </w:r>
      <w:r>
        <w:rPr>
          <w:spacing w:val="-12"/>
        </w:rPr>
        <w:t xml:space="preserve"> </w:t>
      </w:r>
      <w:r>
        <w:t>clearer</w:t>
      </w:r>
      <w:r>
        <w:rPr>
          <w:spacing w:val="-11"/>
        </w:rPr>
        <w:t xml:space="preserve"> </w:t>
      </w:r>
      <w:r>
        <w:t>framework</w:t>
      </w:r>
      <w:r>
        <w:rPr>
          <w:spacing w:val="-12"/>
        </w:rPr>
        <w:t xml:space="preserve"> </w:t>
      </w:r>
      <w:r>
        <w:t>to</w:t>
      </w:r>
      <w:r>
        <w:rPr>
          <w:spacing w:val="-12"/>
        </w:rPr>
        <w:t xml:space="preserve"> </w:t>
      </w:r>
      <w:r>
        <w:t>articulate</w:t>
      </w:r>
      <w:r>
        <w:rPr>
          <w:spacing w:val="-9"/>
        </w:rPr>
        <w:t xml:space="preserve"> </w:t>
      </w:r>
      <w:r>
        <w:t>a</w:t>
      </w:r>
      <w:r>
        <w:rPr>
          <w:spacing w:val="-12"/>
        </w:rPr>
        <w:t xml:space="preserve"> </w:t>
      </w:r>
      <w:r>
        <w:t>human</w:t>
      </w:r>
      <w:r>
        <w:rPr>
          <w:spacing w:val="-12"/>
        </w:rPr>
        <w:t xml:space="preserve"> </w:t>
      </w:r>
      <w:r>
        <w:t>rights</w:t>
      </w:r>
      <w:r>
        <w:rPr>
          <w:spacing w:val="-12"/>
        </w:rPr>
        <w:t xml:space="preserve"> </w:t>
      </w:r>
      <w:r>
        <w:t>argument</w:t>
      </w:r>
      <w:r>
        <w:rPr>
          <w:spacing w:val="-7"/>
        </w:rPr>
        <w:t xml:space="preserve"> </w:t>
      </w:r>
      <w:r>
        <w:t>for</w:t>
      </w:r>
      <w:r>
        <w:rPr>
          <w:spacing w:val="-11"/>
        </w:rPr>
        <w:t xml:space="preserve"> </w:t>
      </w:r>
      <w:r>
        <w:t>adequate and secure housing. The experience in jurisdictions with human rights enactments suggests that systemic</w:t>
      </w:r>
      <w:r>
        <w:rPr>
          <w:spacing w:val="-14"/>
        </w:rPr>
        <w:t xml:space="preserve"> </w:t>
      </w:r>
      <w:r>
        <w:t>protection</w:t>
      </w:r>
      <w:r>
        <w:rPr>
          <w:spacing w:val="-14"/>
        </w:rPr>
        <w:t xml:space="preserve"> </w:t>
      </w:r>
      <w:r>
        <w:t>of</w:t>
      </w:r>
      <w:r>
        <w:rPr>
          <w:spacing w:val="-14"/>
        </w:rPr>
        <w:t xml:space="preserve"> </w:t>
      </w:r>
      <w:r>
        <w:t>tenants’</w:t>
      </w:r>
      <w:r>
        <w:rPr>
          <w:spacing w:val="-13"/>
        </w:rPr>
        <w:t xml:space="preserve"> </w:t>
      </w:r>
      <w:r>
        <w:t>rights</w:t>
      </w:r>
      <w:r>
        <w:rPr>
          <w:spacing w:val="-14"/>
        </w:rPr>
        <w:t xml:space="preserve"> </w:t>
      </w:r>
      <w:r>
        <w:t>to</w:t>
      </w:r>
      <w:r>
        <w:rPr>
          <w:spacing w:val="-14"/>
        </w:rPr>
        <w:t xml:space="preserve"> </w:t>
      </w:r>
      <w:r>
        <w:t>adequate</w:t>
      </w:r>
      <w:r>
        <w:rPr>
          <w:spacing w:val="-14"/>
        </w:rPr>
        <w:t xml:space="preserve"> </w:t>
      </w:r>
      <w:r>
        <w:t>and</w:t>
      </w:r>
      <w:r>
        <w:rPr>
          <w:spacing w:val="-13"/>
        </w:rPr>
        <w:t xml:space="preserve"> </w:t>
      </w:r>
      <w:r>
        <w:t>secure</w:t>
      </w:r>
      <w:r>
        <w:rPr>
          <w:spacing w:val="-14"/>
        </w:rPr>
        <w:t xml:space="preserve"> </w:t>
      </w:r>
      <w:r>
        <w:t>housing</w:t>
      </w:r>
      <w:r>
        <w:rPr>
          <w:spacing w:val="-14"/>
        </w:rPr>
        <w:t xml:space="preserve"> </w:t>
      </w:r>
      <w:r>
        <w:t>has</w:t>
      </w:r>
      <w:r>
        <w:rPr>
          <w:spacing w:val="-14"/>
        </w:rPr>
        <w:t xml:space="preserve"> </w:t>
      </w:r>
      <w:r>
        <w:t>been</w:t>
      </w:r>
      <w:r>
        <w:rPr>
          <w:spacing w:val="-13"/>
        </w:rPr>
        <w:t xml:space="preserve"> </w:t>
      </w:r>
      <w:r>
        <w:t>facilitated</w:t>
      </w:r>
      <w:r>
        <w:rPr>
          <w:spacing w:val="-14"/>
        </w:rPr>
        <w:t xml:space="preserve"> </w:t>
      </w:r>
      <w:r>
        <w:t>by</w:t>
      </w:r>
      <w:r>
        <w:rPr>
          <w:spacing w:val="-14"/>
        </w:rPr>
        <w:t xml:space="preserve"> </w:t>
      </w:r>
      <w:r>
        <w:t>their</w:t>
      </w:r>
      <w:r>
        <w:rPr>
          <w:spacing w:val="-14"/>
        </w:rPr>
        <w:t xml:space="preserve"> </w:t>
      </w:r>
      <w:r>
        <w:t xml:space="preserve">human rights enactments, by providing a basis to articulate the human rights implications relating to housing </w:t>
      </w:r>
      <w:r>
        <w:rPr>
          <w:spacing w:val="-2"/>
        </w:rPr>
        <w:t>security.</w:t>
      </w:r>
    </w:p>
    <w:p w14:paraId="7CB26052" w14:textId="77777777" w:rsidR="008A4099" w:rsidRDefault="008A4099">
      <w:pPr>
        <w:pStyle w:val="BodyText"/>
      </w:pPr>
    </w:p>
    <w:p w14:paraId="7CB26053" w14:textId="77777777" w:rsidR="008A4099" w:rsidRDefault="008A4099">
      <w:pPr>
        <w:pStyle w:val="BodyText"/>
        <w:spacing w:before="130"/>
      </w:pPr>
    </w:p>
    <w:p w14:paraId="7CB26054" w14:textId="77777777" w:rsidR="008A4099" w:rsidRDefault="006A6EE2">
      <w:pPr>
        <w:pStyle w:val="Heading2"/>
        <w:numPr>
          <w:ilvl w:val="1"/>
          <w:numId w:val="6"/>
        </w:numPr>
        <w:tabs>
          <w:tab w:val="left" w:pos="878"/>
        </w:tabs>
        <w:spacing w:before="1"/>
        <w:ind w:left="878" w:hanging="718"/>
        <w:jc w:val="both"/>
      </w:pPr>
      <w:bookmarkStart w:id="27" w:name="_TOC_250033"/>
      <w:r>
        <w:t>TLRI’s</w:t>
      </w:r>
      <w:r>
        <w:rPr>
          <w:spacing w:val="-11"/>
        </w:rPr>
        <w:t xml:space="preserve"> </w:t>
      </w:r>
      <w:r>
        <w:t>views</w:t>
      </w:r>
      <w:r>
        <w:rPr>
          <w:spacing w:val="-11"/>
        </w:rPr>
        <w:t xml:space="preserve"> </w:t>
      </w:r>
      <w:r>
        <w:t>and</w:t>
      </w:r>
      <w:r>
        <w:rPr>
          <w:spacing w:val="-9"/>
        </w:rPr>
        <w:t xml:space="preserve"> </w:t>
      </w:r>
      <w:bookmarkEnd w:id="27"/>
      <w:r>
        <w:rPr>
          <w:spacing w:val="-2"/>
        </w:rPr>
        <w:t>recommendations</w:t>
      </w:r>
    </w:p>
    <w:p w14:paraId="7CB26055" w14:textId="77777777" w:rsidR="008A4099" w:rsidRDefault="006A6EE2">
      <w:pPr>
        <w:pStyle w:val="ListParagraph"/>
        <w:numPr>
          <w:ilvl w:val="2"/>
          <w:numId w:val="6"/>
        </w:numPr>
        <w:tabs>
          <w:tab w:val="left" w:pos="879"/>
        </w:tabs>
        <w:ind w:right="678" w:firstLine="0"/>
        <w:jc w:val="both"/>
      </w:pPr>
      <w:r>
        <w:t>As with the 2007 Final Report, after examining several key issues raising human rights implications and the process for responding through legislative and policy in the Review Period, the TLRI’s</w:t>
      </w:r>
      <w:r>
        <w:rPr>
          <w:spacing w:val="-10"/>
        </w:rPr>
        <w:t xml:space="preserve"> </w:t>
      </w:r>
      <w:r>
        <w:t>view</w:t>
      </w:r>
      <w:r>
        <w:rPr>
          <w:spacing w:val="-11"/>
        </w:rPr>
        <w:t xml:space="preserve"> </w:t>
      </w:r>
      <w:r>
        <w:t>is</w:t>
      </w:r>
      <w:r>
        <w:rPr>
          <w:spacing w:val="-10"/>
        </w:rPr>
        <w:t xml:space="preserve"> </w:t>
      </w:r>
      <w:r>
        <w:t>that,</w:t>
      </w:r>
      <w:r>
        <w:rPr>
          <w:spacing w:val="-11"/>
        </w:rPr>
        <w:t xml:space="preserve"> </w:t>
      </w:r>
      <w:r>
        <w:t>while</w:t>
      </w:r>
      <w:r>
        <w:rPr>
          <w:spacing w:val="-11"/>
        </w:rPr>
        <w:t xml:space="preserve"> </w:t>
      </w:r>
      <w:r>
        <w:t>a</w:t>
      </w:r>
      <w:r>
        <w:rPr>
          <w:spacing w:val="-13"/>
        </w:rPr>
        <w:t xml:space="preserve"> </w:t>
      </w:r>
      <w:r>
        <w:t>number</w:t>
      </w:r>
      <w:r>
        <w:rPr>
          <w:spacing w:val="-10"/>
        </w:rPr>
        <w:t xml:space="preserve"> </w:t>
      </w:r>
      <w:r>
        <w:t>of</w:t>
      </w:r>
      <w:r>
        <w:rPr>
          <w:spacing w:val="-10"/>
        </w:rPr>
        <w:t xml:space="preserve"> </w:t>
      </w:r>
      <w:r>
        <w:t>laws</w:t>
      </w:r>
      <w:r>
        <w:rPr>
          <w:spacing w:val="-11"/>
        </w:rPr>
        <w:t xml:space="preserve"> </w:t>
      </w:r>
      <w:r>
        <w:t>made</w:t>
      </w:r>
      <w:r>
        <w:rPr>
          <w:spacing w:val="-11"/>
        </w:rPr>
        <w:t xml:space="preserve"> </w:t>
      </w:r>
      <w:r>
        <w:t>since</w:t>
      </w:r>
      <w:r>
        <w:rPr>
          <w:spacing w:val="-13"/>
        </w:rPr>
        <w:t xml:space="preserve"> </w:t>
      </w:r>
      <w:r>
        <w:t>this</w:t>
      </w:r>
      <w:r>
        <w:rPr>
          <w:spacing w:val="-13"/>
        </w:rPr>
        <w:t xml:space="preserve"> </w:t>
      </w:r>
      <w:r>
        <w:t>time</w:t>
      </w:r>
      <w:r>
        <w:rPr>
          <w:spacing w:val="-11"/>
        </w:rPr>
        <w:t xml:space="preserve"> </w:t>
      </w:r>
      <w:r>
        <w:t>do</w:t>
      </w:r>
      <w:r>
        <w:rPr>
          <w:spacing w:val="-11"/>
        </w:rPr>
        <w:t xml:space="preserve"> </w:t>
      </w:r>
      <w:r>
        <w:t>provide</w:t>
      </w:r>
      <w:r>
        <w:rPr>
          <w:spacing w:val="-11"/>
        </w:rPr>
        <w:t xml:space="preserve"> </w:t>
      </w:r>
      <w:r>
        <w:t>protection</w:t>
      </w:r>
      <w:r>
        <w:rPr>
          <w:spacing w:val="-11"/>
        </w:rPr>
        <w:t xml:space="preserve"> </w:t>
      </w:r>
      <w:r>
        <w:t>for</w:t>
      </w:r>
      <w:r>
        <w:rPr>
          <w:spacing w:val="-10"/>
        </w:rPr>
        <w:t xml:space="preserve"> </w:t>
      </w:r>
      <w:r>
        <w:t>some</w:t>
      </w:r>
      <w:r>
        <w:rPr>
          <w:spacing w:val="-11"/>
        </w:rPr>
        <w:t xml:space="preserve"> </w:t>
      </w:r>
      <w:r>
        <w:t>human rights, there are gaps and shortcomings in present protections of rights in Tasmania. In the 2007 Final Report, the TLRI expressed the view that:</w:t>
      </w:r>
    </w:p>
    <w:p w14:paraId="7CB26056" w14:textId="77777777" w:rsidR="008A4099" w:rsidRDefault="006A6EE2">
      <w:pPr>
        <w:pStyle w:val="BodyText"/>
        <w:spacing w:before="236" w:line="276" w:lineRule="auto"/>
        <w:ind w:left="868" w:right="1343"/>
        <w:jc w:val="both"/>
        <w:rPr>
          <w:sz w:val="13"/>
        </w:rPr>
      </w:pPr>
      <w:r>
        <w:t>Although our present democratic and judicial systems are generally accepted to have delivered a comparatively sound record on human rights, and while Tasmania has enacted a number of laws that have enhanced human rights protections in important areas, violations of human rights do still occur and the rights of many are not always recognised or observed.</w:t>
      </w:r>
      <w:r>
        <w:rPr>
          <w:position w:val="7"/>
          <w:sz w:val="13"/>
        </w:rPr>
        <w:t>336</w:t>
      </w:r>
    </w:p>
    <w:p w14:paraId="7CB26057" w14:textId="77777777" w:rsidR="008A4099" w:rsidRDefault="006A6EE2">
      <w:pPr>
        <w:pStyle w:val="ListParagraph"/>
        <w:numPr>
          <w:ilvl w:val="2"/>
          <w:numId w:val="6"/>
        </w:numPr>
        <w:tabs>
          <w:tab w:val="left" w:pos="879"/>
        </w:tabs>
        <w:spacing w:before="240"/>
        <w:ind w:right="676" w:firstLine="0"/>
        <w:jc w:val="both"/>
      </w:pPr>
      <w:r>
        <w:t>Based</w:t>
      </w:r>
      <w:r>
        <w:rPr>
          <w:spacing w:val="-1"/>
        </w:rPr>
        <w:t xml:space="preserve"> </w:t>
      </w:r>
      <w:r>
        <w:t>on</w:t>
      </w:r>
      <w:r>
        <w:rPr>
          <w:spacing w:val="-3"/>
        </w:rPr>
        <w:t xml:space="preserve"> </w:t>
      </w:r>
      <w:r>
        <w:t>its</w:t>
      </w:r>
      <w:r>
        <w:rPr>
          <w:spacing w:val="-3"/>
        </w:rPr>
        <w:t xml:space="preserve"> </w:t>
      </w:r>
      <w:r>
        <w:t>research</w:t>
      </w:r>
      <w:r>
        <w:rPr>
          <w:spacing w:val="-1"/>
        </w:rPr>
        <w:t xml:space="preserve"> </w:t>
      </w:r>
      <w:r>
        <w:t>for</w:t>
      </w:r>
      <w:r>
        <w:rPr>
          <w:spacing w:val="-3"/>
        </w:rPr>
        <w:t xml:space="preserve"> </w:t>
      </w:r>
      <w:r>
        <w:t>this</w:t>
      </w:r>
      <w:r>
        <w:rPr>
          <w:spacing w:val="-1"/>
        </w:rPr>
        <w:t xml:space="preserve"> </w:t>
      </w:r>
      <w:r>
        <w:t>Paper,</w:t>
      </w:r>
      <w:r>
        <w:rPr>
          <w:spacing w:val="-4"/>
        </w:rPr>
        <w:t xml:space="preserve"> </w:t>
      </w:r>
      <w:r>
        <w:t>the</w:t>
      </w:r>
      <w:r>
        <w:rPr>
          <w:spacing w:val="-1"/>
        </w:rPr>
        <w:t xml:space="preserve"> </w:t>
      </w:r>
      <w:r>
        <w:t>TLRI</w:t>
      </w:r>
      <w:r>
        <w:rPr>
          <w:spacing w:val="-3"/>
        </w:rPr>
        <w:t xml:space="preserve"> </w:t>
      </w:r>
      <w:r>
        <w:t>remains</w:t>
      </w:r>
      <w:r>
        <w:rPr>
          <w:spacing w:val="-3"/>
        </w:rPr>
        <w:t xml:space="preserve"> </w:t>
      </w:r>
      <w:r>
        <w:t>of</w:t>
      </w:r>
      <w:r>
        <w:rPr>
          <w:spacing w:val="-1"/>
        </w:rPr>
        <w:t xml:space="preserve"> </w:t>
      </w:r>
      <w:r>
        <w:t>this</w:t>
      </w:r>
      <w:r>
        <w:rPr>
          <w:spacing w:val="-3"/>
        </w:rPr>
        <w:t xml:space="preserve"> </w:t>
      </w:r>
      <w:r>
        <w:t>view,</w:t>
      </w:r>
      <w:r>
        <w:rPr>
          <w:spacing w:val="-4"/>
        </w:rPr>
        <w:t xml:space="preserve"> </w:t>
      </w:r>
      <w:r>
        <w:t>and</w:t>
      </w:r>
      <w:r>
        <w:rPr>
          <w:spacing w:val="-3"/>
        </w:rPr>
        <w:t xml:space="preserve"> </w:t>
      </w:r>
      <w:r>
        <w:t>accordingly,</w:t>
      </w:r>
      <w:r>
        <w:rPr>
          <w:spacing w:val="-1"/>
        </w:rPr>
        <w:t xml:space="preserve"> </w:t>
      </w:r>
      <w:r>
        <w:t>reiterates the 2007 recommendation that the law be reformed to provide and promote specific, better, and accessible</w:t>
      </w:r>
      <w:r>
        <w:rPr>
          <w:spacing w:val="-6"/>
        </w:rPr>
        <w:t xml:space="preserve"> </w:t>
      </w:r>
      <w:r>
        <w:t>protection</w:t>
      </w:r>
      <w:r>
        <w:rPr>
          <w:spacing w:val="-6"/>
        </w:rPr>
        <w:t xml:space="preserve"> </w:t>
      </w:r>
      <w:r>
        <w:t>for</w:t>
      </w:r>
      <w:r>
        <w:rPr>
          <w:spacing w:val="-5"/>
        </w:rPr>
        <w:t xml:space="preserve"> </w:t>
      </w:r>
      <w:r>
        <w:t>human</w:t>
      </w:r>
      <w:r>
        <w:rPr>
          <w:spacing w:val="-6"/>
        </w:rPr>
        <w:t xml:space="preserve"> </w:t>
      </w:r>
      <w:r>
        <w:t>rights,</w:t>
      </w:r>
      <w:r>
        <w:rPr>
          <w:spacing w:val="-4"/>
        </w:rPr>
        <w:t xml:space="preserve"> </w:t>
      </w:r>
      <w:r>
        <w:t>and</w:t>
      </w:r>
      <w:r>
        <w:rPr>
          <w:spacing w:val="-6"/>
        </w:rPr>
        <w:t xml:space="preserve"> </w:t>
      </w:r>
      <w:r>
        <w:t>that</w:t>
      </w:r>
      <w:r>
        <w:rPr>
          <w:spacing w:val="-5"/>
        </w:rPr>
        <w:t xml:space="preserve"> </w:t>
      </w:r>
      <w:r>
        <w:t>this</w:t>
      </w:r>
      <w:r>
        <w:rPr>
          <w:spacing w:val="-4"/>
        </w:rPr>
        <w:t xml:space="preserve"> </w:t>
      </w:r>
      <w:r>
        <w:t>be</w:t>
      </w:r>
      <w:r>
        <w:rPr>
          <w:spacing w:val="-8"/>
        </w:rPr>
        <w:t xml:space="preserve"> </w:t>
      </w:r>
      <w:r>
        <w:t>in</w:t>
      </w:r>
      <w:r>
        <w:rPr>
          <w:spacing w:val="-4"/>
        </w:rPr>
        <w:t xml:space="preserve"> </w:t>
      </w:r>
      <w:r>
        <w:t>the</w:t>
      </w:r>
      <w:r>
        <w:rPr>
          <w:spacing w:val="-4"/>
        </w:rPr>
        <w:t xml:space="preserve"> </w:t>
      </w:r>
      <w:r>
        <w:t>form</w:t>
      </w:r>
      <w:r>
        <w:rPr>
          <w:spacing w:val="-4"/>
        </w:rPr>
        <w:t xml:space="preserve"> </w:t>
      </w:r>
      <w:r>
        <w:t>of</w:t>
      </w:r>
      <w:r>
        <w:rPr>
          <w:spacing w:val="-4"/>
        </w:rPr>
        <w:t xml:space="preserve"> </w:t>
      </w:r>
      <w:r>
        <w:t>a</w:t>
      </w:r>
      <w:r>
        <w:rPr>
          <w:spacing w:val="-4"/>
        </w:rPr>
        <w:t xml:space="preserve"> </w:t>
      </w:r>
      <w:r>
        <w:t>Tasmanian</w:t>
      </w:r>
      <w:r>
        <w:rPr>
          <w:spacing w:val="-6"/>
        </w:rPr>
        <w:t xml:space="preserve"> </w:t>
      </w:r>
      <w:r>
        <w:t>Charter</w:t>
      </w:r>
      <w:r>
        <w:rPr>
          <w:spacing w:val="-4"/>
        </w:rPr>
        <w:t xml:space="preserve"> </w:t>
      </w:r>
      <w:r>
        <w:t>of</w:t>
      </w:r>
      <w:r>
        <w:rPr>
          <w:spacing w:val="-4"/>
        </w:rPr>
        <w:t xml:space="preserve"> </w:t>
      </w:r>
      <w:r>
        <w:t>Rights</w:t>
      </w:r>
      <w:r>
        <w:rPr>
          <w:spacing w:val="-4"/>
        </w:rPr>
        <w:t xml:space="preserve"> </w:t>
      </w:r>
      <w:r>
        <w:t>or human rights enactment. In Tasmania, there is lack of clarity around the scope of the rights protected, and</w:t>
      </w:r>
      <w:r>
        <w:rPr>
          <w:spacing w:val="-2"/>
        </w:rPr>
        <w:t xml:space="preserve"> </w:t>
      </w:r>
      <w:r>
        <w:t>mechanisms</w:t>
      </w:r>
      <w:r>
        <w:rPr>
          <w:spacing w:val="-4"/>
        </w:rPr>
        <w:t xml:space="preserve"> </w:t>
      </w:r>
      <w:r>
        <w:t>to</w:t>
      </w:r>
      <w:r>
        <w:rPr>
          <w:spacing w:val="-5"/>
        </w:rPr>
        <w:t xml:space="preserve"> </w:t>
      </w:r>
      <w:r>
        <w:t>review</w:t>
      </w:r>
      <w:r>
        <w:rPr>
          <w:spacing w:val="-5"/>
        </w:rPr>
        <w:t xml:space="preserve"> </w:t>
      </w:r>
      <w:r>
        <w:t>legislation</w:t>
      </w:r>
      <w:r>
        <w:rPr>
          <w:spacing w:val="-2"/>
        </w:rPr>
        <w:t xml:space="preserve"> </w:t>
      </w:r>
      <w:r>
        <w:t>and</w:t>
      </w:r>
      <w:r>
        <w:rPr>
          <w:spacing w:val="-2"/>
        </w:rPr>
        <w:t xml:space="preserve"> </w:t>
      </w:r>
      <w:r>
        <w:t>policy</w:t>
      </w:r>
      <w:r>
        <w:rPr>
          <w:spacing w:val="-2"/>
        </w:rPr>
        <w:t xml:space="preserve"> </w:t>
      </w:r>
      <w:r>
        <w:t>from</w:t>
      </w:r>
      <w:r>
        <w:rPr>
          <w:spacing w:val="-4"/>
        </w:rPr>
        <w:t xml:space="preserve"> </w:t>
      </w:r>
      <w:r>
        <w:t>a</w:t>
      </w:r>
      <w:r>
        <w:rPr>
          <w:spacing w:val="-2"/>
        </w:rPr>
        <w:t xml:space="preserve"> </w:t>
      </w:r>
      <w:r>
        <w:t>human</w:t>
      </w:r>
      <w:r>
        <w:rPr>
          <w:spacing w:val="-2"/>
        </w:rPr>
        <w:t xml:space="preserve"> </w:t>
      </w:r>
      <w:r>
        <w:t>rights</w:t>
      </w:r>
      <w:r>
        <w:rPr>
          <w:spacing w:val="-2"/>
        </w:rPr>
        <w:t xml:space="preserve"> </w:t>
      </w:r>
      <w:r>
        <w:t>perspective</w:t>
      </w:r>
      <w:r>
        <w:rPr>
          <w:spacing w:val="-4"/>
        </w:rPr>
        <w:t xml:space="preserve"> </w:t>
      </w:r>
      <w:r>
        <w:t>are</w:t>
      </w:r>
      <w:r>
        <w:rPr>
          <w:spacing w:val="-2"/>
        </w:rPr>
        <w:t xml:space="preserve"> </w:t>
      </w:r>
      <w:r>
        <w:t>generally</w:t>
      </w:r>
      <w:r>
        <w:rPr>
          <w:spacing w:val="-2"/>
        </w:rPr>
        <w:t xml:space="preserve"> </w:t>
      </w:r>
      <w:r>
        <w:t>ad</w:t>
      </w:r>
      <w:r>
        <w:rPr>
          <w:spacing w:val="-2"/>
        </w:rPr>
        <w:t xml:space="preserve"> </w:t>
      </w:r>
      <w:r>
        <w:t>hoc and lack transparency.</w:t>
      </w:r>
    </w:p>
    <w:p w14:paraId="7CB26058" w14:textId="77777777" w:rsidR="008A4099" w:rsidRDefault="006A6EE2">
      <w:pPr>
        <w:pStyle w:val="ListParagraph"/>
        <w:numPr>
          <w:ilvl w:val="2"/>
          <w:numId w:val="6"/>
        </w:numPr>
        <w:tabs>
          <w:tab w:val="left" w:pos="879"/>
        </w:tabs>
        <w:spacing w:before="221" w:line="235" w:lineRule="auto"/>
        <w:ind w:right="679" w:firstLine="0"/>
        <w:jc w:val="both"/>
      </w:pPr>
      <w:r>
        <w:t>Based on this review, in this Part, the TLRI concludes that human rights enactments have the potential</w:t>
      </w:r>
      <w:r>
        <w:rPr>
          <w:spacing w:val="-14"/>
        </w:rPr>
        <w:t xml:space="preserve"> </w:t>
      </w:r>
      <w:r>
        <w:t>to</w:t>
      </w:r>
      <w:r>
        <w:rPr>
          <w:spacing w:val="-15"/>
        </w:rPr>
        <w:t xml:space="preserve"> </w:t>
      </w:r>
      <w:r>
        <w:t>play</w:t>
      </w:r>
      <w:r>
        <w:rPr>
          <w:spacing w:val="-14"/>
        </w:rPr>
        <w:t xml:space="preserve"> </w:t>
      </w:r>
      <w:r>
        <w:t>an</w:t>
      </w:r>
      <w:r>
        <w:rPr>
          <w:spacing w:val="-14"/>
        </w:rPr>
        <w:t xml:space="preserve"> </w:t>
      </w:r>
      <w:r>
        <w:t>important</w:t>
      </w:r>
      <w:r>
        <w:rPr>
          <w:spacing w:val="-14"/>
        </w:rPr>
        <w:t xml:space="preserve"> </w:t>
      </w:r>
      <w:r>
        <w:t>role</w:t>
      </w:r>
      <w:r>
        <w:rPr>
          <w:spacing w:val="-14"/>
        </w:rPr>
        <w:t xml:space="preserve"> </w:t>
      </w:r>
      <w:r>
        <w:t>in</w:t>
      </w:r>
      <w:r>
        <w:rPr>
          <w:spacing w:val="-15"/>
        </w:rPr>
        <w:t xml:space="preserve"> </w:t>
      </w:r>
      <w:r>
        <w:t>providing</w:t>
      </w:r>
      <w:r>
        <w:rPr>
          <w:spacing w:val="-15"/>
        </w:rPr>
        <w:t xml:space="preserve"> </w:t>
      </w:r>
      <w:r>
        <w:t>greater</w:t>
      </w:r>
      <w:r>
        <w:rPr>
          <w:spacing w:val="-14"/>
        </w:rPr>
        <w:t xml:space="preserve"> </w:t>
      </w:r>
      <w:r>
        <w:t>transparency</w:t>
      </w:r>
      <w:r>
        <w:rPr>
          <w:spacing w:val="-15"/>
        </w:rPr>
        <w:t xml:space="preserve"> </w:t>
      </w:r>
      <w:r>
        <w:t>and</w:t>
      </w:r>
      <w:r>
        <w:rPr>
          <w:spacing w:val="-14"/>
        </w:rPr>
        <w:t xml:space="preserve"> </w:t>
      </w:r>
      <w:r>
        <w:t>explicit</w:t>
      </w:r>
      <w:r>
        <w:rPr>
          <w:spacing w:val="-14"/>
        </w:rPr>
        <w:t xml:space="preserve"> </w:t>
      </w:r>
      <w:r>
        <w:t>consideration</w:t>
      </w:r>
      <w:r>
        <w:rPr>
          <w:spacing w:val="-13"/>
        </w:rPr>
        <w:t xml:space="preserve"> </w:t>
      </w:r>
      <w:r>
        <w:t>of</w:t>
      </w:r>
      <w:r>
        <w:rPr>
          <w:spacing w:val="-14"/>
        </w:rPr>
        <w:t xml:space="preserve"> </w:t>
      </w:r>
      <w:r>
        <w:t>human</w:t>
      </w:r>
    </w:p>
    <w:p w14:paraId="7CB26059" w14:textId="77777777" w:rsidR="008A4099" w:rsidRDefault="006A6EE2">
      <w:pPr>
        <w:pStyle w:val="BodyText"/>
        <w:spacing w:before="119"/>
        <w:rPr>
          <w:sz w:val="20"/>
        </w:rPr>
      </w:pPr>
      <w:r>
        <w:rPr>
          <w:noProof/>
        </w:rPr>
        <mc:AlternateContent>
          <mc:Choice Requires="wps">
            <w:drawing>
              <wp:anchor distT="0" distB="0" distL="0" distR="0" simplePos="0" relativeHeight="487614976" behindDoc="1" locked="0" layoutInCell="1" allowOverlap="1" wp14:anchorId="7CB26643" wp14:editId="7CB26644">
                <wp:simplePos x="0" y="0"/>
                <wp:positionH relativeFrom="page">
                  <wp:posOffset>914704</wp:posOffset>
                </wp:positionH>
                <wp:positionV relativeFrom="paragraph">
                  <wp:posOffset>237250</wp:posOffset>
                </wp:positionV>
                <wp:extent cx="1829435" cy="762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065EE5" id="Graphic 95" o:spid="_x0000_s1026" style="position:absolute;margin-left:1in;margin-top:18.7pt;width:144.05pt;height:.6pt;z-index:-157015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" path="m1829054,l,,,7619r1829054,l1829054,xe" fillcolor="black" stroked="f">
                <v:path arrowok="t"/>
                <w10:wrap type="topAndBottom" anchorx="page"/>
              </v:shape>
            </w:pict>
          </mc:Fallback>
        </mc:AlternateContent>
      </w:r>
    </w:p>
    <w:p w14:paraId="7CB2605A" w14:textId="77777777" w:rsidR="008A4099" w:rsidRDefault="006A6EE2">
      <w:pPr>
        <w:spacing w:before="112"/>
        <w:ind w:left="160"/>
        <w:rPr>
          <w:sz w:val="18"/>
        </w:rPr>
      </w:pPr>
      <w:r>
        <w:rPr>
          <w:sz w:val="18"/>
          <w:vertAlign w:val="superscript"/>
        </w:rPr>
        <w:t>334</w:t>
      </w:r>
      <w:r>
        <w:rPr>
          <w:spacing w:val="-1"/>
          <w:sz w:val="18"/>
        </w:rPr>
        <w:t xml:space="preserve"> </w:t>
      </w:r>
      <w:r>
        <w:rPr>
          <w:i/>
          <w:sz w:val="18"/>
        </w:rPr>
        <w:t>Canberra Fathers</w:t>
      </w:r>
      <w:r>
        <w:rPr>
          <w:i/>
          <w:spacing w:val="-2"/>
          <w:sz w:val="18"/>
        </w:rPr>
        <w:t xml:space="preserve"> </w:t>
      </w:r>
      <w:r>
        <w:rPr>
          <w:i/>
          <w:sz w:val="18"/>
        </w:rPr>
        <w:t>and Children</w:t>
      </w:r>
      <w:r>
        <w:rPr>
          <w:i/>
          <w:spacing w:val="-2"/>
          <w:sz w:val="18"/>
        </w:rPr>
        <w:t xml:space="preserve"> </w:t>
      </w:r>
      <w:r>
        <w:rPr>
          <w:i/>
          <w:sz w:val="18"/>
        </w:rPr>
        <w:t>Services</w:t>
      </w:r>
      <w:r>
        <w:rPr>
          <w:i/>
          <w:spacing w:val="-1"/>
          <w:sz w:val="18"/>
        </w:rPr>
        <w:t xml:space="preserve"> </w:t>
      </w:r>
      <w:r>
        <w:rPr>
          <w:i/>
          <w:sz w:val="18"/>
        </w:rPr>
        <w:t>Inc</w:t>
      </w:r>
      <w:r>
        <w:rPr>
          <w:i/>
          <w:spacing w:val="1"/>
          <w:sz w:val="18"/>
        </w:rPr>
        <w:t xml:space="preserve"> </w:t>
      </w:r>
      <w:r>
        <w:rPr>
          <w:i/>
          <w:sz w:val="18"/>
        </w:rPr>
        <w:t>v</w:t>
      </w:r>
      <w:r>
        <w:rPr>
          <w:i/>
          <w:spacing w:val="-2"/>
          <w:sz w:val="18"/>
        </w:rPr>
        <w:t xml:space="preserve"> </w:t>
      </w:r>
      <w:r>
        <w:rPr>
          <w:i/>
          <w:sz w:val="18"/>
        </w:rPr>
        <w:t>Michael Watson</w:t>
      </w:r>
      <w:r>
        <w:rPr>
          <w:i/>
          <w:spacing w:val="-2"/>
          <w:sz w:val="18"/>
        </w:rPr>
        <w:t xml:space="preserve"> </w:t>
      </w:r>
      <w:r>
        <w:rPr>
          <w:i/>
          <w:sz w:val="18"/>
        </w:rPr>
        <w:t>(Residential</w:t>
      </w:r>
      <w:r>
        <w:rPr>
          <w:i/>
          <w:spacing w:val="-3"/>
          <w:sz w:val="18"/>
        </w:rPr>
        <w:t xml:space="preserve"> </w:t>
      </w:r>
      <w:r>
        <w:rPr>
          <w:i/>
          <w:sz w:val="18"/>
        </w:rPr>
        <w:t>Tenancies)</w:t>
      </w:r>
      <w:r>
        <w:rPr>
          <w:i/>
          <w:spacing w:val="2"/>
          <w:sz w:val="18"/>
        </w:rPr>
        <w:t xml:space="preserve"> </w:t>
      </w:r>
      <w:r>
        <w:rPr>
          <w:sz w:val="18"/>
        </w:rPr>
        <w:t>[2010]</w:t>
      </w:r>
      <w:r>
        <w:rPr>
          <w:spacing w:val="-1"/>
          <w:sz w:val="18"/>
        </w:rPr>
        <w:t xml:space="preserve"> </w:t>
      </w:r>
      <w:r>
        <w:rPr>
          <w:sz w:val="18"/>
        </w:rPr>
        <w:t>ACAT</w:t>
      </w:r>
      <w:r>
        <w:rPr>
          <w:spacing w:val="-1"/>
          <w:sz w:val="18"/>
        </w:rPr>
        <w:t xml:space="preserve"> </w:t>
      </w:r>
      <w:r>
        <w:rPr>
          <w:spacing w:val="-5"/>
          <w:sz w:val="18"/>
        </w:rPr>
        <w:t>74.</w:t>
      </w:r>
    </w:p>
    <w:p w14:paraId="7CB2605B" w14:textId="77777777" w:rsidR="008A4099" w:rsidRDefault="006A6EE2">
      <w:pPr>
        <w:spacing w:before="24"/>
        <w:ind w:left="160"/>
        <w:rPr>
          <w:sz w:val="18"/>
        </w:rPr>
      </w:pPr>
      <w:r>
        <w:rPr>
          <w:sz w:val="18"/>
          <w:vertAlign w:val="superscript"/>
        </w:rPr>
        <w:t>335</w:t>
      </w:r>
      <w:r>
        <w:rPr>
          <w:spacing w:val="-1"/>
          <w:sz w:val="18"/>
        </w:rPr>
        <w:t xml:space="preserve"> </w:t>
      </w:r>
      <w:r>
        <w:rPr>
          <w:sz w:val="18"/>
        </w:rPr>
        <w:t>See</w:t>
      </w:r>
      <w:r>
        <w:rPr>
          <w:spacing w:val="-2"/>
          <w:sz w:val="18"/>
        </w:rPr>
        <w:t xml:space="preserve"> </w:t>
      </w:r>
      <w:r>
        <w:rPr>
          <w:sz w:val="18"/>
        </w:rPr>
        <w:t>also</w:t>
      </w:r>
      <w:r>
        <w:rPr>
          <w:spacing w:val="2"/>
          <w:sz w:val="18"/>
        </w:rPr>
        <w:t xml:space="preserve"> </w:t>
      </w:r>
      <w:r>
        <w:rPr>
          <w:i/>
          <w:sz w:val="18"/>
        </w:rPr>
        <w:t>Commissioner</w:t>
      </w:r>
      <w:r>
        <w:rPr>
          <w:i/>
          <w:spacing w:val="-1"/>
          <w:sz w:val="18"/>
        </w:rPr>
        <w:t xml:space="preserve"> </w:t>
      </w:r>
      <w:r>
        <w:rPr>
          <w:i/>
          <w:sz w:val="18"/>
        </w:rPr>
        <w:t>for</w:t>
      </w:r>
      <w:r>
        <w:rPr>
          <w:i/>
          <w:spacing w:val="-3"/>
          <w:sz w:val="18"/>
        </w:rPr>
        <w:t xml:space="preserve"> </w:t>
      </w:r>
      <w:r>
        <w:rPr>
          <w:i/>
          <w:sz w:val="18"/>
        </w:rPr>
        <w:t>Social</w:t>
      </w:r>
      <w:r>
        <w:rPr>
          <w:i/>
          <w:spacing w:val="-1"/>
          <w:sz w:val="18"/>
        </w:rPr>
        <w:t xml:space="preserve"> </w:t>
      </w:r>
      <w:r>
        <w:rPr>
          <w:i/>
          <w:sz w:val="18"/>
        </w:rPr>
        <w:t>Housing</w:t>
      </w:r>
      <w:r>
        <w:rPr>
          <w:i/>
          <w:spacing w:val="1"/>
          <w:sz w:val="18"/>
        </w:rPr>
        <w:t xml:space="preserve"> </w:t>
      </w:r>
      <w:r>
        <w:rPr>
          <w:i/>
          <w:sz w:val="18"/>
        </w:rPr>
        <w:t>v</w:t>
      </w:r>
      <w:r>
        <w:rPr>
          <w:i/>
          <w:spacing w:val="1"/>
          <w:sz w:val="18"/>
        </w:rPr>
        <w:t xml:space="preserve"> </w:t>
      </w:r>
      <w:r>
        <w:rPr>
          <w:i/>
          <w:sz w:val="18"/>
        </w:rPr>
        <w:t>Jones</w:t>
      </w:r>
      <w:r>
        <w:rPr>
          <w:i/>
          <w:spacing w:val="-1"/>
          <w:sz w:val="18"/>
        </w:rPr>
        <w:t xml:space="preserve"> </w:t>
      </w:r>
      <w:r>
        <w:rPr>
          <w:i/>
          <w:sz w:val="18"/>
        </w:rPr>
        <w:t>(Residential</w:t>
      </w:r>
      <w:r>
        <w:rPr>
          <w:i/>
          <w:spacing w:val="-2"/>
          <w:sz w:val="18"/>
        </w:rPr>
        <w:t xml:space="preserve"> </w:t>
      </w:r>
      <w:r>
        <w:rPr>
          <w:i/>
          <w:sz w:val="18"/>
        </w:rPr>
        <w:t>Tenancies)</w:t>
      </w:r>
      <w:r>
        <w:rPr>
          <w:i/>
          <w:spacing w:val="1"/>
          <w:sz w:val="18"/>
        </w:rPr>
        <w:t xml:space="preserve"> </w:t>
      </w:r>
      <w:r>
        <w:rPr>
          <w:sz w:val="18"/>
        </w:rPr>
        <w:t>[2016] ACAT</w:t>
      </w:r>
      <w:r>
        <w:rPr>
          <w:spacing w:val="-3"/>
          <w:sz w:val="18"/>
        </w:rPr>
        <w:t xml:space="preserve"> </w:t>
      </w:r>
      <w:r>
        <w:rPr>
          <w:spacing w:val="-5"/>
          <w:sz w:val="18"/>
        </w:rPr>
        <w:t>75.</w:t>
      </w:r>
    </w:p>
    <w:p w14:paraId="7CB2605C" w14:textId="77777777" w:rsidR="008A4099" w:rsidRDefault="006A6EE2">
      <w:pPr>
        <w:spacing w:before="23"/>
        <w:ind w:left="160"/>
        <w:rPr>
          <w:sz w:val="18"/>
        </w:rPr>
      </w:pPr>
      <w:r>
        <w:rPr>
          <w:sz w:val="18"/>
          <w:vertAlign w:val="superscript"/>
        </w:rPr>
        <w:t>336</w:t>
      </w:r>
      <w:r>
        <w:rPr>
          <w:spacing w:val="1"/>
          <w:sz w:val="18"/>
        </w:rPr>
        <w:t xml:space="preserve"> </w:t>
      </w:r>
      <w:r>
        <w:rPr>
          <w:sz w:val="18"/>
        </w:rPr>
        <w:t>TLRI</w:t>
      </w:r>
      <w:r>
        <w:rPr>
          <w:spacing w:val="1"/>
          <w:sz w:val="18"/>
        </w:rPr>
        <w:t xml:space="preserve"> </w:t>
      </w:r>
      <w:r>
        <w:rPr>
          <w:sz w:val="18"/>
        </w:rPr>
        <w:t>2007</w:t>
      </w:r>
      <w:r>
        <w:rPr>
          <w:spacing w:val="2"/>
          <w:sz w:val="18"/>
        </w:rPr>
        <w:t xml:space="preserve"> </w:t>
      </w:r>
      <w:r>
        <w:rPr>
          <w:sz w:val="18"/>
        </w:rPr>
        <w:t>Final</w:t>
      </w:r>
      <w:r>
        <w:rPr>
          <w:spacing w:val="1"/>
          <w:sz w:val="18"/>
        </w:rPr>
        <w:t xml:space="preserve"> </w:t>
      </w:r>
      <w:r>
        <w:rPr>
          <w:sz w:val="18"/>
        </w:rPr>
        <w:t>Report</w:t>
      </w:r>
      <w:r>
        <w:rPr>
          <w:spacing w:val="3"/>
          <w:sz w:val="18"/>
        </w:rPr>
        <w:t xml:space="preserve"> </w:t>
      </w:r>
      <w:r>
        <w:rPr>
          <w:spacing w:val="-2"/>
          <w:sz w:val="18"/>
        </w:rPr>
        <w:t>[2.3.28].</w:t>
      </w:r>
    </w:p>
    <w:p w14:paraId="7CB2605D" w14:textId="77777777" w:rsidR="008A4099" w:rsidRDefault="008A4099">
      <w:pPr>
        <w:rPr>
          <w:sz w:val="18"/>
        </w:rPr>
        <w:sectPr w:rsidR="008A4099" w:rsidSect="00D43B2D">
          <w:pgSz w:w="11910" w:h="16840"/>
          <w:pgMar w:top="980" w:right="760" w:bottom="940" w:left="1280" w:header="718" w:footer="753" w:gutter="0"/>
          <w:cols w:space="720"/>
        </w:sectPr>
      </w:pPr>
    </w:p>
    <w:p w14:paraId="7CB2605E" w14:textId="77777777" w:rsidR="008A4099" w:rsidRDefault="008A4099">
      <w:pPr>
        <w:pStyle w:val="BodyText"/>
        <w:spacing w:before="194"/>
      </w:pPr>
    </w:p>
    <w:p w14:paraId="7CB2605F" w14:textId="77777777" w:rsidR="008A4099" w:rsidRDefault="006A6EE2">
      <w:pPr>
        <w:pStyle w:val="BodyText"/>
        <w:ind w:left="160" w:right="675"/>
        <w:jc w:val="both"/>
        <w:rPr>
          <w:sz w:val="13"/>
        </w:rPr>
      </w:pPr>
      <w:r>
        <w:t>rights</w:t>
      </w:r>
      <w:r>
        <w:rPr>
          <w:spacing w:val="-8"/>
        </w:rPr>
        <w:t xml:space="preserve"> </w:t>
      </w:r>
      <w:r>
        <w:t>in</w:t>
      </w:r>
      <w:r>
        <w:rPr>
          <w:spacing w:val="-10"/>
        </w:rPr>
        <w:t xml:space="preserve"> </w:t>
      </w:r>
      <w:r>
        <w:t>government</w:t>
      </w:r>
      <w:r>
        <w:rPr>
          <w:spacing w:val="-8"/>
        </w:rPr>
        <w:t xml:space="preserve"> </w:t>
      </w:r>
      <w:r>
        <w:t>decision-making,</w:t>
      </w:r>
      <w:r>
        <w:rPr>
          <w:spacing w:val="-10"/>
        </w:rPr>
        <w:t xml:space="preserve"> </w:t>
      </w:r>
      <w:r>
        <w:t>as</w:t>
      </w:r>
      <w:r>
        <w:rPr>
          <w:spacing w:val="-9"/>
        </w:rPr>
        <w:t xml:space="preserve"> </w:t>
      </w:r>
      <w:r>
        <w:t>well</w:t>
      </w:r>
      <w:r>
        <w:rPr>
          <w:spacing w:val="-9"/>
        </w:rPr>
        <w:t xml:space="preserve"> </w:t>
      </w:r>
      <w:r>
        <w:t>as</w:t>
      </w:r>
      <w:r>
        <w:rPr>
          <w:spacing w:val="-8"/>
        </w:rPr>
        <w:t xml:space="preserve"> </w:t>
      </w:r>
      <w:r>
        <w:t>improving</w:t>
      </w:r>
      <w:r>
        <w:rPr>
          <w:spacing w:val="-9"/>
        </w:rPr>
        <w:t xml:space="preserve"> </w:t>
      </w:r>
      <w:r>
        <w:t>community</w:t>
      </w:r>
      <w:r>
        <w:rPr>
          <w:spacing w:val="-10"/>
        </w:rPr>
        <w:t xml:space="preserve"> </w:t>
      </w:r>
      <w:r>
        <w:t>understanding</w:t>
      </w:r>
      <w:r>
        <w:rPr>
          <w:spacing w:val="-10"/>
        </w:rPr>
        <w:t xml:space="preserve"> </w:t>
      </w:r>
      <w:r>
        <w:t>of</w:t>
      </w:r>
      <w:r>
        <w:rPr>
          <w:spacing w:val="-9"/>
        </w:rPr>
        <w:t xml:space="preserve"> </w:t>
      </w:r>
      <w:r>
        <w:t>human</w:t>
      </w:r>
      <w:r>
        <w:rPr>
          <w:spacing w:val="-12"/>
        </w:rPr>
        <w:t xml:space="preserve"> </w:t>
      </w:r>
      <w:r>
        <w:t>rights and how they can be protected. While human rights are taken into account in Tasmania in the development</w:t>
      </w:r>
      <w:r>
        <w:rPr>
          <w:spacing w:val="-4"/>
        </w:rPr>
        <w:t xml:space="preserve"> </w:t>
      </w:r>
      <w:r>
        <w:t>of</w:t>
      </w:r>
      <w:r>
        <w:rPr>
          <w:spacing w:val="-4"/>
        </w:rPr>
        <w:t xml:space="preserve"> </w:t>
      </w:r>
      <w:r>
        <w:t>policy</w:t>
      </w:r>
      <w:r>
        <w:rPr>
          <w:spacing w:val="-7"/>
        </w:rPr>
        <w:t xml:space="preserve"> </w:t>
      </w:r>
      <w:r>
        <w:t>and</w:t>
      </w:r>
      <w:r>
        <w:rPr>
          <w:spacing w:val="-7"/>
        </w:rPr>
        <w:t xml:space="preserve"> </w:t>
      </w:r>
      <w:r>
        <w:t>legislation</w:t>
      </w:r>
      <w:r>
        <w:rPr>
          <w:spacing w:val="-5"/>
        </w:rPr>
        <w:t xml:space="preserve"> </w:t>
      </w:r>
      <w:r>
        <w:t>without</w:t>
      </w:r>
      <w:r>
        <w:rPr>
          <w:spacing w:val="-6"/>
        </w:rPr>
        <w:t xml:space="preserve"> </w:t>
      </w:r>
      <w:r>
        <w:t>a</w:t>
      </w:r>
      <w:r>
        <w:rPr>
          <w:spacing w:val="-4"/>
        </w:rPr>
        <w:t xml:space="preserve"> </w:t>
      </w:r>
      <w:r>
        <w:t>human</w:t>
      </w:r>
      <w:r>
        <w:rPr>
          <w:spacing w:val="-7"/>
        </w:rPr>
        <w:t xml:space="preserve"> </w:t>
      </w:r>
      <w:r>
        <w:t>rights</w:t>
      </w:r>
      <w:r>
        <w:rPr>
          <w:spacing w:val="-7"/>
        </w:rPr>
        <w:t xml:space="preserve"> </w:t>
      </w:r>
      <w:r>
        <w:t>enactment,</w:t>
      </w:r>
      <w:r>
        <w:rPr>
          <w:spacing w:val="-7"/>
        </w:rPr>
        <w:t xml:space="preserve"> </w:t>
      </w:r>
      <w:r>
        <w:t>the</w:t>
      </w:r>
      <w:r>
        <w:rPr>
          <w:spacing w:val="-4"/>
        </w:rPr>
        <w:t xml:space="preserve"> </w:t>
      </w:r>
      <w:r>
        <w:t>TLRI’s</w:t>
      </w:r>
      <w:r>
        <w:rPr>
          <w:spacing w:val="-4"/>
        </w:rPr>
        <w:t xml:space="preserve"> </w:t>
      </w:r>
      <w:r>
        <w:t>view</w:t>
      </w:r>
      <w:r>
        <w:rPr>
          <w:spacing w:val="-8"/>
        </w:rPr>
        <w:t xml:space="preserve"> </w:t>
      </w:r>
      <w:r>
        <w:t>remains</w:t>
      </w:r>
      <w:r>
        <w:rPr>
          <w:spacing w:val="-6"/>
        </w:rPr>
        <w:t xml:space="preserve"> </w:t>
      </w:r>
      <w:r>
        <w:t>that such an enactment would provide a clear, consistent framework for human rights discourse to guide legislative and policy decisions. In this context, it is important to note that the TLRI is not suggesting that the existence of human rights legislation will necessarily have a particular human rights outcome or will dictate a particular response to a balancing of competing rights or the determination of appropriate boundaries of justifiable rights limitations. Neither is it claimed that a human rights enactment</w:t>
      </w:r>
      <w:r>
        <w:rPr>
          <w:spacing w:val="-4"/>
        </w:rPr>
        <w:t xml:space="preserve"> </w:t>
      </w:r>
      <w:r>
        <w:t>in</w:t>
      </w:r>
      <w:r>
        <w:rPr>
          <w:spacing w:val="-2"/>
        </w:rPr>
        <w:t xml:space="preserve"> </w:t>
      </w:r>
      <w:r>
        <w:t>Tasmania</w:t>
      </w:r>
      <w:r>
        <w:rPr>
          <w:spacing w:val="-2"/>
        </w:rPr>
        <w:t xml:space="preserve"> </w:t>
      </w:r>
      <w:r>
        <w:t>will</w:t>
      </w:r>
      <w:r>
        <w:rPr>
          <w:spacing w:val="-4"/>
        </w:rPr>
        <w:t xml:space="preserve"> </w:t>
      </w:r>
      <w:r>
        <w:t>be</w:t>
      </w:r>
      <w:r>
        <w:rPr>
          <w:spacing w:val="-2"/>
        </w:rPr>
        <w:t xml:space="preserve"> </w:t>
      </w:r>
      <w:r>
        <w:t>a</w:t>
      </w:r>
      <w:r>
        <w:rPr>
          <w:spacing w:val="-2"/>
        </w:rPr>
        <w:t xml:space="preserve"> </w:t>
      </w:r>
      <w:r>
        <w:t>‘magic</w:t>
      </w:r>
      <w:r>
        <w:rPr>
          <w:spacing w:val="-4"/>
        </w:rPr>
        <w:t xml:space="preserve"> </w:t>
      </w:r>
      <w:r>
        <w:t>bullet’</w:t>
      </w:r>
      <w:r>
        <w:rPr>
          <w:spacing w:val="-4"/>
        </w:rPr>
        <w:t xml:space="preserve"> </w:t>
      </w:r>
      <w:r>
        <w:t>for</w:t>
      </w:r>
      <w:r>
        <w:rPr>
          <w:spacing w:val="-4"/>
        </w:rPr>
        <w:t xml:space="preserve"> </w:t>
      </w:r>
      <w:r>
        <w:t>ensuring</w:t>
      </w:r>
      <w:r>
        <w:rPr>
          <w:spacing w:val="-4"/>
        </w:rPr>
        <w:t xml:space="preserve"> </w:t>
      </w:r>
      <w:r>
        <w:t>human</w:t>
      </w:r>
      <w:r>
        <w:rPr>
          <w:spacing w:val="-4"/>
        </w:rPr>
        <w:t xml:space="preserve"> </w:t>
      </w:r>
      <w:r>
        <w:t>rights</w:t>
      </w:r>
      <w:r>
        <w:rPr>
          <w:spacing w:val="-4"/>
        </w:rPr>
        <w:t xml:space="preserve"> </w:t>
      </w:r>
      <w:r>
        <w:t>complaint</w:t>
      </w:r>
      <w:r>
        <w:rPr>
          <w:spacing w:val="-1"/>
        </w:rPr>
        <w:t xml:space="preserve"> </w:t>
      </w:r>
      <w:r>
        <w:t>laws.</w:t>
      </w:r>
      <w:r>
        <w:rPr>
          <w:position w:val="7"/>
          <w:sz w:val="13"/>
        </w:rPr>
        <w:t xml:space="preserve">337 </w:t>
      </w:r>
      <w:r>
        <w:t>Instead,</w:t>
      </w:r>
      <w:r>
        <w:rPr>
          <w:spacing w:val="-2"/>
        </w:rPr>
        <w:t xml:space="preserve"> </w:t>
      </w:r>
      <w:r>
        <w:t>it is</w:t>
      </w:r>
      <w:r>
        <w:rPr>
          <w:spacing w:val="-4"/>
        </w:rPr>
        <w:t xml:space="preserve"> </w:t>
      </w:r>
      <w:r>
        <w:t>suggested,</w:t>
      </w:r>
      <w:r>
        <w:rPr>
          <w:spacing w:val="-2"/>
        </w:rPr>
        <w:t xml:space="preserve"> </w:t>
      </w:r>
      <w:r>
        <w:t>based</w:t>
      </w:r>
      <w:r>
        <w:rPr>
          <w:spacing w:val="-4"/>
        </w:rPr>
        <w:t xml:space="preserve"> </w:t>
      </w:r>
      <w:r>
        <w:t>on</w:t>
      </w:r>
      <w:r>
        <w:rPr>
          <w:spacing w:val="-4"/>
        </w:rPr>
        <w:t xml:space="preserve"> </w:t>
      </w:r>
      <w:r>
        <w:t>the</w:t>
      </w:r>
      <w:r>
        <w:rPr>
          <w:spacing w:val="-4"/>
        </w:rPr>
        <w:t xml:space="preserve"> </w:t>
      </w:r>
      <w:r>
        <w:t>experience</w:t>
      </w:r>
      <w:r>
        <w:rPr>
          <w:spacing w:val="-2"/>
        </w:rPr>
        <w:t xml:space="preserve"> </w:t>
      </w:r>
      <w:r>
        <w:t>of</w:t>
      </w:r>
      <w:r>
        <w:rPr>
          <w:spacing w:val="-4"/>
        </w:rPr>
        <w:t xml:space="preserve"> </w:t>
      </w:r>
      <w:r>
        <w:t>jurisdictions</w:t>
      </w:r>
      <w:r>
        <w:rPr>
          <w:spacing w:val="-4"/>
        </w:rPr>
        <w:t xml:space="preserve"> </w:t>
      </w:r>
      <w:r>
        <w:t>that</w:t>
      </w:r>
      <w:r>
        <w:rPr>
          <w:spacing w:val="-4"/>
        </w:rPr>
        <w:t xml:space="preserve"> </w:t>
      </w:r>
      <w:r>
        <w:t>have</w:t>
      </w:r>
      <w:r>
        <w:rPr>
          <w:spacing w:val="-4"/>
        </w:rPr>
        <w:t xml:space="preserve"> </w:t>
      </w:r>
      <w:r>
        <w:t>adopted</w:t>
      </w:r>
      <w:r>
        <w:rPr>
          <w:spacing w:val="-4"/>
        </w:rPr>
        <w:t xml:space="preserve"> </w:t>
      </w:r>
      <w:r>
        <w:t>a</w:t>
      </w:r>
      <w:r>
        <w:rPr>
          <w:spacing w:val="-4"/>
        </w:rPr>
        <w:t xml:space="preserve"> </w:t>
      </w:r>
      <w:r>
        <w:t>human</w:t>
      </w:r>
      <w:r>
        <w:rPr>
          <w:spacing w:val="-4"/>
        </w:rPr>
        <w:t xml:space="preserve"> </w:t>
      </w:r>
      <w:r>
        <w:t>rights</w:t>
      </w:r>
      <w:r>
        <w:rPr>
          <w:spacing w:val="-2"/>
        </w:rPr>
        <w:t xml:space="preserve"> </w:t>
      </w:r>
      <w:r>
        <w:t>enactment,</w:t>
      </w:r>
      <w:r>
        <w:rPr>
          <w:spacing w:val="-5"/>
        </w:rPr>
        <w:t xml:space="preserve"> </w:t>
      </w:r>
      <w:r>
        <w:t>that this framework can ‘foster consideration of human rights implications early in the development of policy</w:t>
      </w:r>
      <w:r>
        <w:rPr>
          <w:spacing w:val="-7"/>
        </w:rPr>
        <w:t xml:space="preserve"> </w:t>
      </w:r>
      <w:r>
        <w:t>and</w:t>
      </w:r>
      <w:r>
        <w:rPr>
          <w:spacing w:val="-7"/>
        </w:rPr>
        <w:t xml:space="preserve"> </w:t>
      </w:r>
      <w:r>
        <w:t>legislation’</w:t>
      </w:r>
      <w:r>
        <w:rPr>
          <w:spacing w:val="-6"/>
        </w:rPr>
        <w:t xml:space="preserve"> </w:t>
      </w:r>
      <w:r>
        <w:t>and</w:t>
      </w:r>
      <w:r>
        <w:rPr>
          <w:spacing w:val="-8"/>
        </w:rPr>
        <w:t xml:space="preserve"> </w:t>
      </w:r>
      <w:r>
        <w:t>detect</w:t>
      </w:r>
      <w:r>
        <w:rPr>
          <w:spacing w:val="-6"/>
        </w:rPr>
        <w:t xml:space="preserve"> </w:t>
      </w:r>
      <w:r>
        <w:t>disproportionate</w:t>
      </w:r>
      <w:r>
        <w:rPr>
          <w:spacing w:val="-9"/>
        </w:rPr>
        <w:t xml:space="preserve"> </w:t>
      </w:r>
      <w:r>
        <w:t>limitations</w:t>
      </w:r>
      <w:r>
        <w:rPr>
          <w:spacing w:val="-7"/>
        </w:rPr>
        <w:t xml:space="preserve"> </w:t>
      </w:r>
      <w:r>
        <w:t>on</w:t>
      </w:r>
      <w:r>
        <w:rPr>
          <w:spacing w:val="-7"/>
        </w:rPr>
        <w:t xml:space="preserve"> </w:t>
      </w:r>
      <w:r>
        <w:t>human</w:t>
      </w:r>
      <w:r>
        <w:rPr>
          <w:spacing w:val="-9"/>
        </w:rPr>
        <w:t xml:space="preserve"> </w:t>
      </w:r>
      <w:r>
        <w:t>rights</w:t>
      </w:r>
      <w:r>
        <w:rPr>
          <w:spacing w:val="-7"/>
        </w:rPr>
        <w:t xml:space="preserve"> </w:t>
      </w:r>
      <w:r>
        <w:t>and</w:t>
      </w:r>
      <w:r>
        <w:rPr>
          <w:spacing w:val="-9"/>
        </w:rPr>
        <w:t xml:space="preserve"> </w:t>
      </w:r>
      <w:r>
        <w:t>…</w:t>
      </w:r>
      <w:r>
        <w:rPr>
          <w:spacing w:val="-7"/>
        </w:rPr>
        <w:t xml:space="preserve"> </w:t>
      </w:r>
      <w:r>
        <w:t>can</w:t>
      </w:r>
      <w:r>
        <w:rPr>
          <w:spacing w:val="-7"/>
        </w:rPr>
        <w:t xml:space="preserve"> </w:t>
      </w:r>
      <w:r>
        <w:t>clearly</w:t>
      </w:r>
      <w:r>
        <w:rPr>
          <w:spacing w:val="-7"/>
        </w:rPr>
        <w:t xml:space="preserve"> </w:t>
      </w:r>
      <w:r>
        <w:t>assist in improving the quality of laws from a human rights perspective’.</w:t>
      </w:r>
      <w:r>
        <w:rPr>
          <w:position w:val="7"/>
          <w:sz w:val="13"/>
        </w:rPr>
        <w:t>338</w:t>
      </w:r>
    </w:p>
    <w:p w14:paraId="7CB26060" w14:textId="77777777" w:rsidR="008A4099" w:rsidRDefault="006A6EE2">
      <w:pPr>
        <w:pStyle w:val="ListParagraph"/>
        <w:numPr>
          <w:ilvl w:val="2"/>
          <w:numId w:val="6"/>
        </w:numPr>
        <w:tabs>
          <w:tab w:val="left" w:pos="879"/>
        </w:tabs>
        <w:spacing w:before="221"/>
        <w:ind w:right="677" w:firstLine="0"/>
        <w:jc w:val="both"/>
      </w:pPr>
      <w:r>
        <w:t xml:space="preserve">The aim of the human rights enactments is to foster a human rights culture and embed human rights considerations in the decision-making process. This was recognised by the Supreme Court of Victoria in </w:t>
      </w:r>
      <w:r>
        <w:rPr>
          <w:i/>
        </w:rPr>
        <w:t>Castles v Secretary of the Department of Justice</w:t>
      </w:r>
      <w:r>
        <w:t>,</w:t>
      </w:r>
      <w:r>
        <w:rPr>
          <w:position w:val="7"/>
          <w:sz w:val="13"/>
        </w:rPr>
        <w:t>339</w:t>
      </w:r>
      <w:r>
        <w:rPr>
          <w:spacing w:val="29"/>
          <w:position w:val="7"/>
          <w:sz w:val="13"/>
        </w:rPr>
        <w:t xml:space="preserve"> </w:t>
      </w:r>
      <w:r>
        <w:t>when considering the obligations on a decision-maker arising from the provisions of the Vic Human Rights Charter.</w:t>
      </w:r>
    </w:p>
    <w:p w14:paraId="7CB26061" w14:textId="77777777" w:rsidR="008A4099" w:rsidRDefault="006A6EE2">
      <w:pPr>
        <w:pStyle w:val="BodyText"/>
        <w:spacing w:before="237" w:line="276" w:lineRule="auto"/>
        <w:ind w:left="868" w:right="1336"/>
        <w:jc w:val="both"/>
        <w:rPr>
          <w:sz w:val="13"/>
        </w:rPr>
      </w:pPr>
      <w:r>
        <w:t>The</w:t>
      </w:r>
      <w:r>
        <w:rPr>
          <w:spacing w:val="-4"/>
        </w:rPr>
        <w:t xml:space="preserve"> </w:t>
      </w:r>
      <w:r>
        <w:t>Charter</w:t>
      </w:r>
      <w:r>
        <w:rPr>
          <w:spacing w:val="-3"/>
        </w:rPr>
        <w:t xml:space="preserve"> </w:t>
      </w:r>
      <w:r>
        <w:t>is</w:t>
      </w:r>
      <w:r>
        <w:rPr>
          <w:spacing w:val="-3"/>
        </w:rPr>
        <w:t xml:space="preserve"> </w:t>
      </w:r>
      <w:r>
        <w:t>intended</w:t>
      </w:r>
      <w:r>
        <w:rPr>
          <w:spacing w:val="-3"/>
        </w:rPr>
        <w:t xml:space="preserve"> </w:t>
      </w:r>
      <w:r>
        <w:t>to</w:t>
      </w:r>
      <w:r>
        <w:rPr>
          <w:spacing w:val="-4"/>
        </w:rPr>
        <w:t xml:space="preserve"> </w:t>
      </w:r>
      <w:r>
        <w:t>apply</w:t>
      </w:r>
      <w:r>
        <w:rPr>
          <w:spacing w:val="-4"/>
        </w:rPr>
        <w:t xml:space="preserve"> </w:t>
      </w:r>
      <w:r>
        <w:t>to</w:t>
      </w:r>
      <w:r>
        <w:rPr>
          <w:spacing w:val="-6"/>
        </w:rPr>
        <w:t xml:space="preserve"> </w:t>
      </w:r>
      <w:r>
        <w:t>the</w:t>
      </w:r>
      <w:r>
        <w:rPr>
          <w:spacing w:val="-3"/>
        </w:rPr>
        <w:t xml:space="preserve"> </w:t>
      </w:r>
      <w:r>
        <w:t>plethora</w:t>
      </w:r>
      <w:r>
        <w:rPr>
          <w:spacing w:val="-3"/>
        </w:rPr>
        <w:t xml:space="preserve"> </w:t>
      </w:r>
      <w:r>
        <w:t>of</w:t>
      </w:r>
      <w:r>
        <w:rPr>
          <w:spacing w:val="-3"/>
        </w:rPr>
        <w:t xml:space="preserve"> </w:t>
      </w:r>
      <w:r>
        <w:t>decisions</w:t>
      </w:r>
      <w:r>
        <w:rPr>
          <w:spacing w:val="-5"/>
        </w:rPr>
        <w:t xml:space="preserve"> </w:t>
      </w:r>
      <w:r>
        <w:t>made</w:t>
      </w:r>
      <w:r>
        <w:rPr>
          <w:spacing w:val="-3"/>
        </w:rPr>
        <w:t xml:space="preserve"> </w:t>
      </w:r>
      <w:r>
        <w:t>by</w:t>
      </w:r>
      <w:r>
        <w:rPr>
          <w:spacing w:val="-4"/>
        </w:rPr>
        <w:t xml:space="preserve"> </w:t>
      </w:r>
      <w:r>
        <w:t>public</w:t>
      </w:r>
      <w:r>
        <w:rPr>
          <w:spacing w:val="-3"/>
        </w:rPr>
        <w:t xml:space="preserve"> </w:t>
      </w:r>
      <w:r>
        <w:t>authorities of all kinds. The consideration of human rights is intended to become part of decision- making processes at all levels of government. It is therefore intended to become a ‘common or garden’ activity for persons working in the public sector, both senior and junior. In these circumstances, proper consideration of human rights should not be a sophisticated legal exercise … There is no formula for such an exercise, and it should not be scrutinised over-zealously by the courts.</w:t>
      </w:r>
      <w:r>
        <w:rPr>
          <w:position w:val="7"/>
          <w:sz w:val="13"/>
        </w:rPr>
        <w:t>340</w:t>
      </w:r>
    </w:p>
    <w:p w14:paraId="7CB26062" w14:textId="77777777" w:rsidR="008A4099" w:rsidRDefault="006A6EE2">
      <w:pPr>
        <w:pStyle w:val="ListParagraph"/>
        <w:numPr>
          <w:ilvl w:val="2"/>
          <w:numId w:val="6"/>
        </w:numPr>
        <w:tabs>
          <w:tab w:val="left" w:pos="879"/>
        </w:tabs>
        <w:spacing w:before="240"/>
        <w:ind w:right="672" w:firstLine="0"/>
        <w:jc w:val="both"/>
        <w:rPr>
          <w:sz w:val="13"/>
        </w:rPr>
      </w:pPr>
      <w:r>
        <w:t>This case confirms that decision-makers must ‘do more than merely invoke the Charter like a mantra’:</w:t>
      </w:r>
      <w:r>
        <w:rPr>
          <w:spacing w:val="-4"/>
        </w:rPr>
        <w:t xml:space="preserve"> </w:t>
      </w:r>
      <w:r>
        <w:t>a</w:t>
      </w:r>
      <w:r>
        <w:rPr>
          <w:spacing w:val="-4"/>
        </w:rPr>
        <w:t xml:space="preserve"> </w:t>
      </w:r>
      <w:r>
        <w:t>common-sense</w:t>
      </w:r>
      <w:r>
        <w:rPr>
          <w:spacing w:val="-4"/>
        </w:rPr>
        <w:t xml:space="preserve"> </w:t>
      </w:r>
      <w:r>
        <w:t>approach</w:t>
      </w:r>
      <w:r>
        <w:rPr>
          <w:spacing w:val="-2"/>
        </w:rPr>
        <w:t xml:space="preserve"> </w:t>
      </w:r>
      <w:r>
        <w:t>is</w:t>
      </w:r>
      <w:r>
        <w:rPr>
          <w:spacing w:val="-2"/>
        </w:rPr>
        <w:t xml:space="preserve"> </w:t>
      </w:r>
      <w:r>
        <w:t>essential</w:t>
      </w:r>
      <w:r>
        <w:rPr>
          <w:spacing w:val="-3"/>
        </w:rPr>
        <w:t xml:space="preserve"> </w:t>
      </w:r>
      <w:r>
        <w:t>to</w:t>
      </w:r>
      <w:r>
        <w:rPr>
          <w:spacing w:val="-5"/>
        </w:rPr>
        <w:t xml:space="preserve"> </w:t>
      </w:r>
      <w:r>
        <w:t>embedding</w:t>
      </w:r>
      <w:r>
        <w:rPr>
          <w:spacing w:val="-5"/>
        </w:rPr>
        <w:t xml:space="preserve"> </w:t>
      </w:r>
      <w:r>
        <w:t>human</w:t>
      </w:r>
      <w:r>
        <w:rPr>
          <w:spacing w:val="-4"/>
        </w:rPr>
        <w:t xml:space="preserve"> </w:t>
      </w:r>
      <w:r>
        <w:t>rights</w:t>
      </w:r>
      <w:r>
        <w:rPr>
          <w:spacing w:val="-2"/>
        </w:rPr>
        <w:t xml:space="preserve"> </w:t>
      </w:r>
      <w:r>
        <w:t>considerations</w:t>
      </w:r>
      <w:r>
        <w:rPr>
          <w:spacing w:val="-4"/>
        </w:rPr>
        <w:t xml:space="preserve"> </w:t>
      </w:r>
      <w:r>
        <w:t>in</w:t>
      </w:r>
      <w:r>
        <w:rPr>
          <w:spacing w:val="-2"/>
        </w:rPr>
        <w:t xml:space="preserve"> </w:t>
      </w:r>
      <w:r>
        <w:t>decision- making. The Queensland Human Rights Commissioner has also said that a ‘common sense approach’ manages the risk that introducing an obligation for decision-makers to give ‘proper consideration’ to human rights would hold up decision-making and lead to bureaucratic delays.</w:t>
      </w:r>
      <w:r>
        <w:rPr>
          <w:position w:val="7"/>
          <w:sz w:val="13"/>
        </w:rPr>
        <w:t>341</w:t>
      </w:r>
    </w:p>
    <w:p w14:paraId="7CB26063" w14:textId="77777777" w:rsidR="008A4099" w:rsidRDefault="006A6EE2">
      <w:pPr>
        <w:pStyle w:val="ListParagraph"/>
        <w:numPr>
          <w:ilvl w:val="2"/>
          <w:numId w:val="6"/>
        </w:numPr>
        <w:tabs>
          <w:tab w:val="left" w:pos="879"/>
        </w:tabs>
        <w:spacing w:before="214"/>
        <w:ind w:right="673" w:firstLine="0"/>
        <w:jc w:val="both"/>
      </w:pPr>
      <w:r>
        <w:t>The view of the TLRI is that the model for a legislated Charter of Rights proposed in 2007, subject to the adoption of amendments as outlined in Part 4, would assist to embed consideration of human rights in the development and implementation of law and policy. It would provide a clear mechanism to raise human rights considerations in public discourse and aim to improve the transparency and consistency in legislative approaches to the protection of human rights. The TLRI recognises that a human rights enactment is part of the process for developing a human rights culture. It provides a framework for discussion about human rights in the development of policies and legislation,</w:t>
      </w:r>
      <w:r>
        <w:rPr>
          <w:spacing w:val="-2"/>
        </w:rPr>
        <w:t xml:space="preserve"> </w:t>
      </w:r>
      <w:r>
        <w:t>as</w:t>
      </w:r>
      <w:r>
        <w:rPr>
          <w:spacing w:val="-2"/>
        </w:rPr>
        <w:t xml:space="preserve"> </w:t>
      </w:r>
      <w:r>
        <w:t>well</w:t>
      </w:r>
      <w:r>
        <w:rPr>
          <w:spacing w:val="-1"/>
        </w:rPr>
        <w:t xml:space="preserve"> </w:t>
      </w:r>
      <w:r>
        <w:t>as</w:t>
      </w:r>
      <w:r>
        <w:rPr>
          <w:spacing w:val="-4"/>
        </w:rPr>
        <w:t xml:space="preserve"> </w:t>
      </w:r>
      <w:r>
        <w:t>in</w:t>
      </w:r>
      <w:r>
        <w:rPr>
          <w:spacing w:val="-2"/>
        </w:rPr>
        <w:t xml:space="preserve"> </w:t>
      </w:r>
      <w:r>
        <w:t>their</w:t>
      </w:r>
      <w:r>
        <w:rPr>
          <w:spacing w:val="-2"/>
        </w:rPr>
        <w:t xml:space="preserve"> </w:t>
      </w:r>
      <w:r>
        <w:t>implementation.</w:t>
      </w:r>
      <w:r>
        <w:rPr>
          <w:spacing w:val="-2"/>
        </w:rPr>
        <w:t xml:space="preserve"> </w:t>
      </w:r>
      <w:r>
        <w:t>In</w:t>
      </w:r>
      <w:r>
        <w:rPr>
          <w:spacing w:val="-2"/>
        </w:rPr>
        <w:t xml:space="preserve"> </w:t>
      </w:r>
      <w:r>
        <w:t>line</w:t>
      </w:r>
      <w:r>
        <w:rPr>
          <w:spacing w:val="-4"/>
        </w:rPr>
        <w:t xml:space="preserve"> </w:t>
      </w:r>
      <w:r>
        <w:t>with</w:t>
      </w:r>
      <w:r>
        <w:rPr>
          <w:spacing w:val="-2"/>
        </w:rPr>
        <w:t xml:space="preserve"> </w:t>
      </w:r>
      <w:r>
        <w:t>the</w:t>
      </w:r>
      <w:r>
        <w:rPr>
          <w:spacing w:val="-2"/>
        </w:rPr>
        <w:t xml:space="preserve"> </w:t>
      </w:r>
      <w:r>
        <w:t>‘dialogue’</w:t>
      </w:r>
      <w:r>
        <w:rPr>
          <w:spacing w:val="-4"/>
        </w:rPr>
        <w:t xml:space="preserve"> </w:t>
      </w:r>
      <w:r>
        <w:t>model</w:t>
      </w:r>
      <w:r>
        <w:rPr>
          <w:spacing w:val="-1"/>
        </w:rPr>
        <w:t xml:space="preserve"> </w:t>
      </w:r>
      <w:r>
        <w:t>proposed</w:t>
      </w:r>
      <w:r>
        <w:rPr>
          <w:spacing w:val="-2"/>
        </w:rPr>
        <w:t xml:space="preserve"> </w:t>
      </w:r>
      <w:r>
        <w:t>by</w:t>
      </w:r>
      <w:r>
        <w:rPr>
          <w:spacing w:val="-2"/>
        </w:rPr>
        <w:t xml:space="preserve"> </w:t>
      </w:r>
      <w:r>
        <w:t>the</w:t>
      </w:r>
      <w:r>
        <w:rPr>
          <w:spacing w:val="-2"/>
        </w:rPr>
        <w:t xml:space="preserve"> </w:t>
      </w:r>
      <w:r>
        <w:t>TLRI in 2007 (as discussed further at [1.3]), a human rights</w:t>
      </w:r>
      <w:r>
        <w:rPr>
          <w:spacing w:val="-2"/>
        </w:rPr>
        <w:t xml:space="preserve"> </w:t>
      </w:r>
      <w:r>
        <w:t>enactment would also aim to engender a human rights</w:t>
      </w:r>
      <w:r>
        <w:rPr>
          <w:spacing w:val="-11"/>
        </w:rPr>
        <w:t xml:space="preserve"> </w:t>
      </w:r>
      <w:r>
        <w:t>conscious</w:t>
      </w:r>
      <w:r>
        <w:rPr>
          <w:spacing w:val="-11"/>
        </w:rPr>
        <w:t xml:space="preserve"> </w:t>
      </w:r>
      <w:r>
        <w:t>culture</w:t>
      </w:r>
      <w:r>
        <w:rPr>
          <w:spacing w:val="-12"/>
        </w:rPr>
        <w:t xml:space="preserve"> </w:t>
      </w:r>
      <w:r>
        <w:t>within</w:t>
      </w:r>
      <w:r>
        <w:rPr>
          <w:spacing w:val="-12"/>
        </w:rPr>
        <w:t xml:space="preserve"> </w:t>
      </w:r>
      <w:r>
        <w:t>the</w:t>
      </w:r>
      <w:r>
        <w:rPr>
          <w:spacing w:val="-12"/>
        </w:rPr>
        <w:t xml:space="preserve"> </w:t>
      </w:r>
      <w:r>
        <w:t>Tasmanian</w:t>
      </w:r>
      <w:r>
        <w:rPr>
          <w:spacing w:val="-12"/>
        </w:rPr>
        <w:t xml:space="preserve"> </w:t>
      </w:r>
      <w:r>
        <w:t>community</w:t>
      </w:r>
      <w:r>
        <w:rPr>
          <w:spacing w:val="-12"/>
        </w:rPr>
        <w:t xml:space="preserve"> </w:t>
      </w:r>
      <w:r>
        <w:t>and</w:t>
      </w:r>
      <w:r>
        <w:rPr>
          <w:spacing w:val="-12"/>
        </w:rPr>
        <w:t xml:space="preserve"> </w:t>
      </w:r>
      <w:r>
        <w:t>across</w:t>
      </w:r>
      <w:r>
        <w:rPr>
          <w:spacing w:val="-11"/>
        </w:rPr>
        <w:t xml:space="preserve"> </w:t>
      </w:r>
      <w:r>
        <w:t>the</w:t>
      </w:r>
      <w:r>
        <w:rPr>
          <w:spacing w:val="-12"/>
        </w:rPr>
        <w:t xml:space="preserve"> </w:t>
      </w:r>
      <w:r>
        <w:t>three</w:t>
      </w:r>
      <w:r>
        <w:rPr>
          <w:spacing w:val="-11"/>
        </w:rPr>
        <w:t xml:space="preserve"> </w:t>
      </w:r>
      <w:r>
        <w:t>branches</w:t>
      </w:r>
      <w:r>
        <w:rPr>
          <w:spacing w:val="-11"/>
        </w:rPr>
        <w:t xml:space="preserve"> </w:t>
      </w:r>
      <w:r>
        <w:t>of</w:t>
      </w:r>
      <w:r>
        <w:rPr>
          <w:spacing w:val="-11"/>
        </w:rPr>
        <w:t xml:space="preserve"> </w:t>
      </w:r>
      <w:r>
        <w:t>government, while still protecting the sovereignty of Parliament.</w:t>
      </w:r>
    </w:p>
    <w:p w14:paraId="7CB26064" w14:textId="77777777" w:rsidR="008A4099" w:rsidRDefault="006A6EE2">
      <w:pPr>
        <w:pStyle w:val="ListParagraph"/>
        <w:numPr>
          <w:ilvl w:val="2"/>
          <w:numId w:val="6"/>
        </w:numPr>
        <w:tabs>
          <w:tab w:val="left" w:pos="879"/>
        </w:tabs>
        <w:spacing w:before="219" w:line="237" w:lineRule="auto"/>
        <w:ind w:right="678" w:firstLine="0"/>
        <w:jc w:val="both"/>
      </w:pPr>
      <w:r>
        <w:t>Accordingly, the TLRI recommends that the laws in Tasmania be reformed to provide and promote</w:t>
      </w:r>
      <w:r>
        <w:rPr>
          <w:spacing w:val="46"/>
        </w:rPr>
        <w:t xml:space="preserve"> </w:t>
      </w:r>
      <w:r>
        <w:t>specific,</w:t>
      </w:r>
      <w:r>
        <w:rPr>
          <w:spacing w:val="49"/>
        </w:rPr>
        <w:t xml:space="preserve"> </w:t>
      </w:r>
      <w:r>
        <w:t>better,</w:t>
      </w:r>
      <w:r>
        <w:rPr>
          <w:spacing w:val="50"/>
        </w:rPr>
        <w:t xml:space="preserve"> </w:t>
      </w:r>
      <w:r>
        <w:t>and</w:t>
      </w:r>
      <w:r>
        <w:rPr>
          <w:spacing w:val="49"/>
        </w:rPr>
        <w:t xml:space="preserve"> </w:t>
      </w:r>
      <w:r>
        <w:t>accessible</w:t>
      </w:r>
      <w:r>
        <w:rPr>
          <w:spacing w:val="50"/>
        </w:rPr>
        <w:t xml:space="preserve"> </w:t>
      </w:r>
      <w:r>
        <w:t>protection</w:t>
      </w:r>
      <w:r>
        <w:rPr>
          <w:spacing w:val="47"/>
        </w:rPr>
        <w:t xml:space="preserve"> </w:t>
      </w:r>
      <w:r>
        <w:t>for</w:t>
      </w:r>
      <w:r>
        <w:rPr>
          <w:spacing w:val="49"/>
        </w:rPr>
        <w:t xml:space="preserve"> </w:t>
      </w:r>
      <w:r>
        <w:t>human</w:t>
      </w:r>
      <w:r>
        <w:rPr>
          <w:spacing w:val="47"/>
        </w:rPr>
        <w:t xml:space="preserve"> </w:t>
      </w:r>
      <w:r>
        <w:t>rights</w:t>
      </w:r>
      <w:r>
        <w:rPr>
          <w:spacing w:val="47"/>
        </w:rPr>
        <w:t xml:space="preserve"> </w:t>
      </w:r>
      <w:r>
        <w:t>through</w:t>
      </w:r>
      <w:r>
        <w:rPr>
          <w:spacing w:val="47"/>
        </w:rPr>
        <w:t xml:space="preserve"> </w:t>
      </w:r>
      <w:r>
        <w:t>the</w:t>
      </w:r>
      <w:r>
        <w:rPr>
          <w:spacing w:val="50"/>
        </w:rPr>
        <w:t xml:space="preserve"> </w:t>
      </w:r>
      <w:r>
        <w:t>enactment</w:t>
      </w:r>
      <w:r>
        <w:rPr>
          <w:spacing w:val="48"/>
        </w:rPr>
        <w:t xml:space="preserve"> </w:t>
      </w:r>
      <w:r>
        <w:t>of</w:t>
      </w:r>
      <w:r>
        <w:rPr>
          <w:spacing w:val="50"/>
        </w:rPr>
        <w:t xml:space="preserve"> </w:t>
      </w:r>
      <w:r>
        <w:rPr>
          <w:spacing w:val="-10"/>
        </w:rPr>
        <w:t>a</w:t>
      </w:r>
    </w:p>
    <w:p w14:paraId="7CB26065" w14:textId="77777777" w:rsidR="008A4099" w:rsidRDefault="006A6EE2">
      <w:pPr>
        <w:pStyle w:val="BodyText"/>
        <w:spacing w:before="135"/>
        <w:rPr>
          <w:sz w:val="20"/>
        </w:rPr>
      </w:pPr>
      <w:r>
        <w:rPr>
          <w:noProof/>
        </w:rPr>
        <mc:AlternateContent>
          <mc:Choice Requires="wps">
            <w:drawing>
              <wp:anchor distT="0" distB="0" distL="0" distR="0" simplePos="0" relativeHeight="487615488" behindDoc="1" locked="0" layoutInCell="1" allowOverlap="1" wp14:anchorId="7CB26645" wp14:editId="7CB26646">
                <wp:simplePos x="0" y="0"/>
                <wp:positionH relativeFrom="page">
                  <wp:posOffset>914704</wp:posOffset>
                </wp:positionH>
                <wp:positionV relativeFrom="paragraph">
                  <wp:posOffset>247518</wp:posOffset>
                </wp:positionV>
                <wp:extent cx="1829435" cy="762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DCBD9D" id="Graphic 96" o:spid="_x0000_s1026" style="position:absolute;margin-left:1in;margin-top:19.5pt;width:144.05pt;height:.6pt;z-index:-157009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" path="m1829054,l,,,7620r1829054,l1829054,xe" fillcolor="black" stroked="f">
                <v:path arrowok="t"/>
                <w10:wrap type="topAndBottom" anchorx="page"/>
              </v:shape>
            </w:pict>
          </mc:Fallback>
        </mc:AlternateContent>
      </w:r>
    </w:p>
    <w:p w14:paraId="7CB26066" w14:textId="77777777" w:rsidR="008A4099" w:rsidRDefault="006A6EE2">
      <w:pPr>
        <w:spacing w:before="112"/>
        <w:ind w:left="160"/>
        <w:rPr>
          <w:sz w:val="18"/>
        </w:rPr>
      </w:pPr>
      <w:r>
        <w:rPr>
          <w:sz w:val="18"/>
          <w:vertAlign w:val="superscript"/>
        </w:rPr>
        <w:t>337</w:t>
      </w:r>
      <w:r>
        <w:rPr>
          <w:spacing w:val="-1"/>
          <w:sz w:val="18"/>
        </w:rPr>
        <w:t xml:space="preserve"> </w:t>
      </w:r>
      <w:r>
        <w:rPr>
          <w:sz w:val="18"/>
        </w:rPr>
        <w:t>Watchirs,</w:t>
      </w:r>
      <w:r>
        <w:rPr>
          <w:spacing w:val="-1"/>
          <w:sz w:val="18"/>
        </w:rPr>
        <w:t xml:space="preserve"> </w:t>
      </w:r>
      <w:r>
        <w:rPr>
          <w:sz w:val="18"/>
        </w:rPr>
        <w:t>Costello and</w:t>
      </w:r>
      <w:r>
        <w:rPr>
          <w:spacing w:val="1"/>
          <w:sz w:val="18"/>
        </w:rPr>
        <w:t xml:space="preserve"> </w:t>
      </w:r>
      <w:r>
        <w:rPr>
          <w:sz w:val="18"/>
        </w:rPr>
        <w:t>Thilagaratnam,</w:t>
      </w:r>
      <w:r>
        <w:rPr>
          <w:spacing w:val="-1"/>
          <w:sz w:val="18"/>
        </w:rPr>
        <w:t xml:space="preserve"> </w:t>
      </w:r>
      <w:r>
        <w:rPr>
          <w:sz w:val="18"/>
        </w:rPr>
        <w:t>‘Human Rights</w:t>
      </w:r>
      <w:r>
        <w:rPr>
          <w:spacing w:val="-2"/>
          <w:sz w:val="18"/>
        </w:rPr>
        <w:t xml:space="preserve"> </w:t>
      </w:r>
      <w:r>
        <w:rPr>
          <w:sz w:val="18"/>
        </w:rPr>
        <w:t>Scrutiny</w:t>
      </w:r>
      <w:r>
        <w:rPr>
          <w:spacing w:val="-2"/>
          <w:sz w:val="18"/>
        </w:rPr>
        <w:t xml:space="preserve"> </w:t>
      </w:r>
      <w:r>
        <w:rPr>
          <w:sz w:val="18"/>
        </w:rPr>
        <w:t>under</w:t>
      </w:r>
      <w:r>
        <w:rPr>
          <w:spacing w:val="-1"/>
          <w:sz w:val="18"/>
        </w:rPr>
        <w:t xml:space="preserve"> </w:t>
      </w:r>
      <w:r>
        <w:rPr>
          <w:sz w:val="18"/>
        </w:rPr>
        <w:t>the</w:t>
      </w:r>
      <w:r>
        <w:rPr>
          <w:spacing w:val="-1"/>
          <w:sz w:val="18"/>
        </w:rPr>
        <w:t xml:space="preserve"> </w:t>
      </w:r>
      <w:r>
        <w:rPr>
          <w:sz w:val="18"/>
        </w:rPr>
        <w:t>Human</w:t>
      </w:r>
      <w:r>
        <w:rPr>
          <w:spacing w:val="-2"/>
          <w:sz w:val="18"/>
        </w:rPr>
        <w:t xml:space="preserve"> </w:t>
      </w:r>
      <w:r>
        <w:rPr>
          <w:sz w:val="18"/>
        </w:rPr>
        <w:t>Rights</w:t>
      </w:r>
      <w:r>
        <w:rPr>
          <w:spacing w:val="-1"/>
          <w:sz w:val="18"/>
        </w:rPr>
        <w:t xml:space="preserve"> </w:t>
      </w:r>
      <w:r>
        <w:rPr>
          <w:sz w:val="18"/>
        </w:rPr>
        <w:t>Act</w:t>
      </w:r>
      <w:r>
        <w:rPr>
          <w:spacing w:val="-1"/>
          <w:sz w:val="18"/>
        </w:rPr>
        <w:t xml:space="preserve"> </w:t>
      </w:r>
      <w:r>
        <w:rPr>
          <w:sz w:val="18"/>
        </w:rPr>
        <w:t>(ACT)’</w:t>
      </w:r>
      <w:r>
        <w:rPr>
          <w:spacing w:val="4"/>
          <w:sz w:val="18"/>
        </w:rPr>
        <w:t xml:space="preserve"> </w:t>
      </w:r>
      <w:r>
        <w:rPr>
          <w:spacing w:val="-2"/>
          <w:sz w:val="18"/>
        </w:rPr>
        <w:t>[6.260].</w:t>
      </w:r>
    </w:p>
    <w:p w14:paraId="7CB26067" w14:textId="77777777" w:rsidR="008A4099" w:rsidRDefault="006A6EE2">
      <w:pPr>
        <w:spacing w:before="24" w:line="244" w:lineRule="auto"/>
        <w:ind w:left="160" w:right="679"/>
        <w:rPr>
          <w:sz w:val="18"/>
        </w:rPr>
      </w:pPr>
      <w:r>
        <w:rPr>
          <w:sz w:val="18"/>
          <w:vertAlign w:val="superscript"/>
        </w:rPr>
        <w:t>338</w:t>
      </w:r>
      <w:r>
        <w:rPr>
          <w:spacing w:val="28"/>
          <w:sz w:val="18"/>
        </w:rPr>
        <w:t xml:space="preserve"> </w:t>
      </w:r>
      <w:r>
        <w:rPr>
          <w:sz w:val="18"/>
        </w:rPr>
        <w:t>Ibid;</w:t>
      </w:r>
      <w:r>
        <w:rPr>
          <w:spacing w:val="28"/>
          <w:sz w:val="18"/>
        </w:rPr>
        <w:t xml:space="preserve"> </w:t>
      </w:r>
      <w:r>
        <w:rPr>
          <w:sz w:val="18"/>
        </w:rPr>
        <w:t>see</w:t>
      </w:r>
      <w:r>
        <w:rPr>
          <w:spacing w:val="27"/>
          <w:sz w:val="18"/>
        </w:rPr>
        <w:t xml:space="preserve"> </w:t>
      </w:r>
      <w:r>
        <w:rPr>
          <w:sz w:val="18"/>
        </w:rPr>
        <w:t>also</w:t>
      </w:r>
      <w:r>
        <w:rPr>
          <w:spacing w:val="29"/>
          <w:sz w:val="18"/>
        </w:rPr>
        <w:t xml:space="preserve"> </w:t>
      </w:r>
      <w:r>
        <w:rPr>
          <w:sz w:val="18"/>
        </w:rPr>
        <w:t>Davidson,</w:t>
      </w:r>
      <w:r>
        <w:rPr>
          <w:spacing w:val="28"/>
          <w:sz w:val="18"/>
        </w:rPr>
        <w:t xml:space="preserve"> </w:t>
      </w:r>
      <w:r>
        <w:rPr>
          <w:sz w:val="18"/>
        </w:rPr>
        <w:t>‘Impact</w:t>
      </w:r>
      <w:r>
        <w:rPr>
          <w:spacing w:val="28"/>
          <w:sz w:val="18"/>
        </w:rPr>
        <w:t xml:space="preserve"> </w:t>
      </w:r>
      <w:r>
        <w:rPr>
          <w:sz w:val="18"/>
        </w:rPr>
        <w:t>of</w:t>
      </w:r>
      <w:r>
        <w:rPr>
          <w:spacing w:val="28"/>
          <w:sz w:val="18"/>
        </w:rPr>
        <w:t xml:space="preserve"> </w:t>
      </w:r>
      <w:r>
        <w:rPr>
          <w:sz w:val="18"/>
        </w:rPr>
        <w:t>the</w:t>
      </w:r>
      <w:r>
        <w:rPr>
          <w:spacing w:val="27"/>
          <w:sz w:val="18"/>
        </w:rPr>
        <w:t xml:space="preserve"> </w:t>
      </w:r>
      <w:r>
        <w:rPr>
          <w:sz w:val="18"/>
        </w:rPr>
        <w:t>Victorian</w:t>
      </w:r>
      <w:r>
        <w:rPr>
          <w:spacing w:val="28"/>
          <w:sz w:val="18"/>
        </w:rPr>
        <w:t xml:space="preserve"> </w:t>
      </w:r>
      <w:r>
        <w:rPr>
          <w:sz w:val="18"/>
        </w:rPr>
        <w:t>Charter</w:t>
      </w:r>
      <w:r>
        <w:rPr>
          <w:spacing w:val="27"/>
          <w:sz w:val="18"/>
        </w:rPr>
        <w:t xml:space="preserve"> </w:t>
      </w:r>
      <w:r>
        <w:rPr>
          <w:sz w:val="18"/>
        </w:rPr>
        <w:t>upon</w:t>
      </w:r>
      <w:r>
        <w:rPr>
          <w:spacing w:val="26"/>
          <w:sz w:val="18"/>
        </w:rPr>
        <w:t xml:space="preserve"> </w:t>
      </w:r>
      <w:r>
        <w:rPr>
          <w:sz w:val="18"/>
        </w:rPr>
        <w:t>Policy</w:t>
      </w:r>
      <w:r>
        <w:rPr>
          <w:spacing w:val="29"/>
          <w:sz w:val="18"/>
        </w:rPr>
        <w:t xml:space="preserve"> </w:t>
      </w:r>
      <w:r>
        <w:rPr>
          <w:sz w:val="18"/>
        </w:rPr>
        <w:t>and</w:t>
      </w:r>
      <w:r>
        <w:rPr>
          <w:spacing w:val="29"/>
          <w:sz w:val="18"/>
        </w:rPr>
        <w:t xml:space="preserve"> </w:t>
      </w:r>
      <w:r>
        <w:rPr>
          <w:sz w:val="18"/>
        </w:rPr>
        <w:t>Legislative</w:t>
      </w:r>
      <w:r>
        <w:rPr>
          <w:spacing w:val="27"/>
          <w:sz w:val="18"/>
        </w:rPr>
        <w:t xml:space="preserve"> </w:t>
      </w:r>
      <w:r>
        <w:rPr>
          <w:sz w:val="18"/>
        </w:rPr>
        <w:t>Development’</w:t>
      </w:r>
      <w:r>
        <w:rPr>
          <w:spacing w:val="28"/>
          <w:sz w:val="18"/>
        </w:rPr>
        <w:t xml:space="preserve"> </w:t>
      </w:r>
      <w:r>
        <w:rPr>
          <w:sz w:val="18"/>
        </w:rPr>
        <w:t>[10.220]</w:t>
      </w:r>
      <w:r>
        <w:rPr>
          <w:spacing w:val="28"/>
          <w:sz w:val="18"/>
        </w:rPr>
        <w:t xml:space="preserve"> </w:t>
      </w:r>
      <w:r>
        <w:rPr>
          <w:sz w:val="18"/>
        </w:rPr>
        <w:t>for</w:t>
      </w:r>
      <w:r>
        <w:rPr>
          <w:spacing w:val="28"/>
          <w:sz w:val="18"/>
        </w:rPr>
        <w:t xml:space="preserve"> </w:t>
      </w:r>
      <w:r>
        <w:rPr>
          <w:sz w:val="18"/>
        </w:rPr>
        <w:t>a discussion of the Victorian position.</w:t>
      </w:r>
    </w:p>
    <w:p w14:paraId="7CB26068" w14:textId="77777777" w:rsidR="008A4099" w:rsidRDefault="006A6EE2">
      <w:pPr>
        <w:spacing w:before="14"/>
        <w:ind w:left="160"/>
        <w:rPr>
          <w:sz w:val="18"/>
        </w:rPr>
      </w:pPr>
      <w:r>
        <w:rPr>
          <w:sz w:val="18"/>
          <w:vertAlign w:val="superscript"/>
        </w:rPr>
        <w:t>339</w:t>
      </w:r>
      <w:r>
        <w:rPr>
          <w:sz w:val="18"/>
        </w:rPr>
        <w:t xml:space="preserve"> </w:t>
      </w:r>
      <w:r>
        <w:rPr>
          <w:i/>
          <w:sz w:val="18"/>
        </w:rPr>
        <w:t>Castles v Secretary</w:t>
      </w:r>
      <w:r>
        <w:rPr>
          <w:i/>
          <w:spacing w:val="-1"/>
          <w:sz w:val="18"/>
        </w:rPr>
        <w:t xml:space="preserve"> </w:t>
      </w:r>
      <w:r>
        <w:rPr>
          <w:i/>
          <w:sz w:val="18"/>
        </w:rPr>
        <w:t>of</w:t>
      </w:r>
      <w:r>
        <w:rPr>
          <w:i/>
          <w:spacing w:val="-1"/>
          <w:sz w:val="18"/>
        </w:rPr>
        <w:t xml:space="preserve"> </w:t>
      </w:r>
      <w:r>
        <w:rPr>
          <w:i/>
          <w:sz w:val="18"/>
        </w:rPr>
        <w:t>the Department of</w:t>
      </w:r>
      <w:r>
        <w:rPr>
          <w:i/>
          <w:spacing w:val="1"/>
          <w:sz w:val="18"/>
        </w:rPr>
        <w:t xml:space="preserve"> </w:t>
      </w:r>
      <w:r>
        <w:rPr>
          <w:i/>
          <w:sz w:val="18"/>
        </w:rPr>
        <w:t>Justice</w:t>
      </w:r>
      <w:r>
        <w:rPr>
          <w:i/>
          <w:spacing w:val="4"/>
          <w:sz w:val="18"/>
        </w:rPr>
        <w:t xml:space="preserve"> </w:t>
      </w:r>
      <w:r>
        <w:rPr>
          <w:sz w:val="18"/>
        </w:rPr>
        <w:t>[2010]</w:t>
      </w:r>
      <w:r>
        <w:rPr>
          <w:spacing w:val="-2"/>
          <w:sz w:val="18"/>
        </w:rPr>
        <w:t xml:space="preserve"> </w:t>
      </w:r>
      <w:r>
        <w:rPr>
          <w:sz w:val="18"/>
        </w:rPr>
        <w:t>VSC</w:t>
      </w:r>
      <w:r>
        <w:rPr>
          <w:spacing w:val="1"/>
          <w:sz w:val="18"/>
        </w:rPr>
        <w:t xml:space="preserve"> </w:t>
      </w:r>
      <w:r>
        <w:rPr>
          <w:spacing w:val="-4"/>
          <w:sz w:val="18"/>
        </w:rPr>
        <w:t>310.</w:t>
      </w:r>
    </w:p>
    <w:p w14:paraId="7CB26069" w14:textId="77777777" w:rsidR="008A4099" w:rsidRDefault="006A6EE2">
      <w:pPr>
        <w:spacing w:before="24"/>
        <w:ind w:left="160"/>
        <w:rPr>
          <w:sz w:val="18"/>
        </w:rPr>
      </w:pPr>
      <w:r>
        <w:rPr>
          <w:sz w:val="18"/>
          <w:vertAlign w:val="superscript"/>
        </w:rPr>
        <w:t>340</w:t>
      </w:r>
      <w:r>
        <w:rPr>
          <w:spacing w:val="6"/>
          <w:sz w:val="18"/>
        </w:rPr>
        <w:t xml:space="preserve"> </w:t>
      </w:r>
      <w:r>
        <w:rPr>
          <w:sz w:val="18"/>
        </w:rPr>
        <w:t>Ibid</w:t>
      </w:r>
      <w:r>
        <w:rPr>
          <w:spacing w:val="6"/>
          <w:sz w:val="18"/>
        </w:rPr>
        <w:t xml:space="preserve"> </w:t>
      </w:r>
      <w:r>
        <w:rPr>
          <w:spacing w:val="-2"/>
          <w:sz w:val="18"/>
        </w:rPr>
        <w:t>[185]–[186].</w:t>
      </w:r>
    </w:p>
    <w:p w14:paraId="7CB2606A" w14:textId="77777777" w:rsidR="008A4099" w:rsidRDefault="006A6EE2">
      <w:pPr>
        <w:spacing w:before="23"/>
        <w:ind w:left="160"/>
        <w:rPr>
          <w:sz w:val="18"/>
        </w:rPr>
      </w:pPr>
      <w:r>
        <w:rPr>
          <w:sz w:val="18"/>
          <w:vertAlign w:val="superscript"/>
        </w:rPr>
        <w:t>341</w:t>
      </w:r>
      <w:r>
        <w:rPr>
          <w:sz w:val="18"/>
        </w:rPr>
        <w:t xml:space="preserve"> McDougall, ‘Making</w:t>
      </w:r>
      <w:r>
        <w:rPr>
          <w:spacing w:val="1"/>
          <w:sz w:val="18"/>
        </w:rPr>
        <w:t xml:space="preserve"> </w:t>
      </w:r>
      <w:r>
        <w:rPr>
          <w:sz w:val="18"/>
        </w:rPr>
        <w:t xml:space="preserve">Rights Real’ </w:t>
      </w:r>
      <w:r>
        <w:rPr>
          <w:spacing w:val="-5"/>
          <w:sz w:val="18"/>
        </w:rPr>
        <w:t>9.</w:t>
      </w:r>
    </w:p>
    <w:p w14:paraId="7CB2606B" w14:textId="77777777" w:rsidR="008A4099" w:rsidRDefault="008A4099">
      <w:pPr>
        <w:rPr>
          <w:sz w:val="18"/>
        </w:rPr>
        <w:sectPr w:rsidR="008A4099" w:rsidSect="00D43B2D">
          <w:pgSz w:w="11910" w:h="16840"/>
          <w:pgMar w:top="980" w:right="760" w:bottom="940" w:left="1280" w:header="718" w:footer="753" w:gutter="0"/>
          <w:cols w:space="720"/>
        </w:sectPr>
      </w:pPr>
    </w:p>
    <w:p w14:paraId="7CB2606C" w14:textId="77777777" w:rsidR="008A4099" w:rsidRDefault="008A4099">
      <w:pPr>
        <w:pStyle w:val="BodyText"/>
        <w:spacing w:before="194"/>
      </w:pPr>
    </w:p>
    <w:p w14:paraId="7CB2606D" w14:textId="77777777" w:rsidR="008A4099" w:rsidRDefault="006A6EE2">
      <w:pPr>
        <w:pStyle w:val="BodyText"/>
        <w:ind w:left="160" w:right="680"/>
      </w:pPr>
      <w:r>
        <w:t>Tasmanian Charter of Human Rights or a Human Rights Act. This adopts Recommendations 1 and 2 of the 2007 Final Report (see Appendix A).</w:t>
      </w:r>
    </w:p>
    <w:p w14:paraId="7CB2606E" w14:textId="77777777" w:rsidR="008A4099" w:rsidRDefault="006A6EE2">
      <w:pPr>
        <w:pStyle w:val="BodyText"/>
        <w:spacing w:before="1"/>
        <w:rPr>
          <w:sz w:val="17"/>
        </w:rPr>
      </w:pPr>
      <w:r>
        <w:rPr>
          <w:noProof/>
        </w:rPr>
        <mc:AlternateContent>
          <mc:Choice Requires="wps">
            <w:drawing>
              <wp:anchor distT="0" distB="0" distL="0" distR="0" simplePos="0" relativeHeight="487616000" behindDoc="1" locked="0" layoutInCell="1" allowOverlap="1" wp14:anchorId="7CB26647" wp14:editId="7CB26648">
                <wp:simplePos x="0" y="0"/>
                <wp:positionH relativeFrom="page">
                  <wp:posOffset>914704</wp:posOffset>
                </wp:positionH>
                <wp:positionV relativeFrom="paragraph">
                  <wp:posOffset>140006</wp:posOffset>
                </wp:positionV>
                <wp:extent cx="5727065" cy="101981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19810"/>
                        </a:xfrm>
                        <a:prstGeom prst="rect">
                          <a:avLst/>
                        </a:prstGeom>
                        <a:solidFill>
                          <a:srgbClr val="E8E8E8"/>
                        </a:solidFill>
                      </wps:spPr>
                      <wps:txbx>
                        <w:txbxContent>
                          <w:p w14:paraId="7CB26765" w14:textId="77777777" w:rsidR="008A4099" w:rsidRDefault="006A6EE2">
                            <w:pPr>
                              <w:spacing w:before="219"/>
                              <w:ind w:left="108"/>
                              <w:jc w:val="both"/>
                              <w:rPr>
                                <w:b/>
                                <w:color w:val="000000"/>
                                <w:sz w:val="23"/>
                              </w:rPr>
                            </w:pPr>
                            <w:r>
                              <w:rPr>
                                <w:b/>
                                <w:color w:val="000000"/>
                                <w:sz w:val="23"/>
                              </w:rPr>
                              <w:t>Recommendation</w:t>
                            </w:r>
                            <w:r>
                              <w:rPr>
                                <w:b/>
                                <w:color w:val="000000"/>
                                <w:spacing w:val="-6"/>
                                <w:sz w:val="23"/>
                              </w:rPr>
                              <w:t xml:space="preserve"> </w:t>
                            </w:r>
                            <w:r>
                              <w:rPr>
                                <w:b/>
                                <w:color w:val="000000"/>
                                <w:sz w:val="23"/>
                              </w:rPr>
                              <w:t>1</w:t>
                            </w:r>
                            <w:r>
                              <w:rPr>
                                <w:b/>
                                <w:color w:val="000000"/>
                                <w:spacing w:val="-2"/>
                                <w:sz w:val="23"/>
                              </w:rPr>
                              <w:t xml:space="preserve"> </w:t>
                            </w:r>
                            <w:r>
                              <w:rPr>
                                <w:b/>
                                <w:color w:val="000000"/>
                                <w:sz w:val="23"/>
                              </w:rPr>
                              <w:t>–</w:t>
                            </w:r>
                            <w:r>
                              <w:rPr>
                                <w:b/>
                                <w:color w:val="000000"/>
                                <w:spacing w:val="-3"/>
                                <w:sz w:val="23"/>
                              </w:rPr>
                              <w:t xml:space="preserve"> </w:t>
                            </w:r>
                            <w:r>
                              <w:rPr>
                                <w:b/>
                                <w:color w:val="000000"/>
                                <w:sz w:val="23"/>
                              </w:rPr>
                              <w:t>Tasmanian</w:t>
                            </w:r>
                            <w:r>
                              <w:rPr>
                                <w:b/>
                                <w:color w:val="000000"/>
                                <w:spacing w:val="-3"/>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2"/>
                                <w:sz w:val="23"/>
                              </w:rPr>
                              <w:t>Enactment</w:t>
                            </w:r>
                          </w:p>
                          <w:p w14:paraId="7CB26766" w14:textId="77777777" w:rsidR="008A4099" w:rsidRDefault="006A6EE2">
                            <w:pPr>
                              <w:pStyle w:val="BodyText"/>
                              <w:spacing w:before="240"/>
                              <w:ind w:left="108" w:right="228"/>
                              <w:jc w:val="both"/>
                              <w:rPr>
                                <w:color w:val="000000"/>
                              </w:rPr>
                            </w:pPr>
                            <w:r>
                              <w:rPr>
                                <w:color w:val="000000"/>
                              </w:rPr>
                              <w:t>That the laws in Tasmania be reformed to provide and promote specific, better, and accessible protection for human rights through the enactment of a Tasmanian Charter of Human Rights or a Human Rights Act.</w:t>
                            </w:r>
                          </w:p>
                        </w:txbxContent>
                      </wps:txbx>
                      <wps:bodyPr wrap="square" lIns="0" tIns="0" rIns="0" bIns="0" rtlCol="0">
                        <a:noAutofit/>
                      </wps:bodyPr>
                    </wps:wsp>
                  </a:graphicData>
                </a:graphic>
              </wp:anchor>
            </w:drawing>
          </mc:Choice>
          <mc:Fallback>
            <w:pict>
              <v:shape w14:anchorId="7CB26647" id="Textbox 97" o:spid="_x0000_s1028" type="#_x0000_t202" style="position:absolute;margin-left:1in;margin-top:11pt;width:450.95pt;height:80.3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" fillcolor="#e8e8e8" stroked="f">
                <v:textbox inset="0,0,0,0">
                  <w:txbxContent>
                    <w:p w14:paraId="7CB26765" w14:textId="77777777" w:rsidR="008A4099" w:rsidRDefault="006A6EE2">
                      <w:pPr>
                        <w:spacing w:before="219"/>
                        <w:ind w:left="108"/>
                        <w:jc w:val="both"/>
                        <w:rPr>
                          <w:b/>
                          <w:color w:val="000000"/>
                          <w:sz w:val="23"/>
                        </w:rPr>
                      </w:pPr>
                      <w:r>
                        <w:rPr>
                          <w:b/>
                          <w:color w:val="000000"/>
                          <w:sz w:val="23"/>
                        </w:rPr>
                        <w:t>Recommendation</w:t>
                      </w:r>
                      <w:r>
                        <w:rPr>
                          <w:b/>
                          <w:color w:val="000000"/>
                          <w:spacing w:val="-6"/>
                          <w:sz w:val="23"/>
                        </w:rPr>
                        <w:t xml:space="preserve"> </w:t>
                      </w:r>
                      <w:r>
                        <w:rPr>
                          <w:b/>
                          <w:color w:val="000000"/>
                          <w:sz w:val="23"/>
                        </w:rPr>
                        <w:t>1</w:t>
                      </w:r>
                      <w:r>
                        <w:rPr>
                          <w:b/>
                          <w:color w:val="000000"/>
                          <w:spacing w:val="-2"/>
                          <w:sz w:val="23"/>
                        </w:rPr>
                        <w:t xml:space="preserve"> </w:t>
                      </w:r>
                      <w:r>
                        <w:rPr>
                          <w:b/>
                          <w:color w:val="000000"/>
                          <w:sz w:val="23"/>
                        </w:rPr>
                        <w:t>–</w:t>
                      </w:r>
                      <w:r>
                        <w:rPr>
                          <w:b/>
                          <w:color w:val="000000"/>
                          <w:spacing w:val="-3"/>
                          <w:sz w:val="23"/>
                        </w:rPr>
                        <w:t xml:space="preserve"> </w:t>
                      </w:r>
                      <w:r>
                        <w:rPr>
                          <w:b/>
                          <w:color w:val="000000"/>
                          <w:sz w:val="23"/>
                        </w:rPr>
                        <w:t>Tasmanian</w:t>
                      </w:r>
                      <w:r>
                        <w:rPr>
                          <w:b/>
                          <w:color w:val="000000"/>
                          <w:spacing w:val="-3"/>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2"/>
                          <w:sz w:val="23"/>
                        </w:rPr>
                        <w:t>Enactment</w:t>
                      </w:r>
                    </w:p>
                    <w:p w14:paraId="7CB26766" w14:textId="77777777" w:rsidR="008A4099" w:rsidRDefault="006A6EE2">
                      <w:pPr>
                        <w:pStyle w:val="BodyText"/>
                        <w:spacing w:before="240"/>
                        <w:ind w:left="108" w:right="228"/>
                        <w:jc w:val="both"/>
                        <w:rPr>
                          <w:color w:val="000000"/>
                        </w:rPr>
                      </w:pPr>
                      <w:r>
                        <w:rPr>
                          <w:color w:val="000000"/>
                        </w:rPr>
                        <w:t>That the laws in Tasmania be reformed to provide and promote specific, better, and accessible protection for human rights through the enactment of a Tasmanian Charter of Human Rights or a Human Rights Act.</w:t>
                      </w:r>
                    </w:p>
                  </w:txbxContent>
                </v:textbox>
                <w10:wrap type="topAndBottom" anchorx="page"/>
              </v:shape>
            </w:pict>
          </mc:Fallback>
        </mc:AlternateContent>
      </w:r>
    </w:p>
    <w:p w14:paraId="7CB2606F" w14:textId="77777777" w:rsidR="008A4099" w:rsidRDefault="008A4099">
      <w:pPr>
        <w:rPr>
          <w:sz w:val="17"/>
        </w:rPr>
        <w:sectPr w:rsidR="008A4099" w:rsidSect="00D43B2D">
          <w:pgSz w:w="11910" w:h="16840"/>
          <w:pgMar w:top="980" w:right="760" w:bottom="940" w:left="1280" w:header="718" w:footer="753" w:gutter="0"/>
          <w:cols w:space="720"/>
        </w:sectPr>
      </w:pPr>
    </w:p>
    <w:p w14:paraId="7CB26070" w14:textId="77777777" w:rsidR="008A4099" w:rsidRDefault="008A4099">
      <w:pPr>
        <w:pStyle w:val="BodyText"/>
        <w:spacing w:before="118"/>
        <w:rPr>
          <w:sz w:val="32"/>
        </w:rPr>
      </w:pPr>
    </w:p>
    <w:p w14:paraId="7CB26071" w14:textId="77777777" w:rsidR="008A4099" w:rsidRDefault="006A6EE2">
      <w:pPr>
        <w:ind w:left="538" w:right="1059"/>
        <w:jc w:val="center"/>
        <w:rPr>
          <w:b/>
          <w:sz w:val="32"/>
        </w:rPr>
      </w:pPr>
      <w:r>
        <w:rPr>
          <w:b/>
          <w:sz w:val="32"/>
        </w:rPr>
        <w:t>Part</w:t>
      </w:r>
      <w:r>
        <w:rPr>
          <w:b/>
          <w:spacing w:val="-8"/>
          <w:sz w:val="32"/>
        </w:rPr>
        <w:t xml:space="preserve"> </w:t>
      </w:r>
      <w:r>
        <w:rPr>
          <w:b/>
          <w:spacing w:val="-10"/>
          <w:sz w:val="32"/>
        </w:rPr>
        <w:t>4</w:t>
      </w:r>
    </w:p>
    <w:p w14:paraId="7CB26072" w14:textId="77777777" w:rsidR="008A4099" w:rsidRDefault="008A4099">
      <w:pPr>
        <w:pStyle w:val="BodyText"/>
        <w:spacing w:before="119"/>
        <w:rPr>
          <w:b/>
          <w:sz w:val="32"/>
        </w:rPr>
      </w:pPr>
    </w:p>
    <w:p w14:paraId="7CB26073" w14:textId="77777777" w:rsidR="008A4099" w:rsidRDefault="006A6EE2">
      <w:pPr>
        <w:pStyle w:val="Heading1"/>
        <w:ind w:left="0" w:right="514"/>
      </w:pPr>
      <w:r>
        <w:t>Building</w:t>
      </w:r>
      <w:r>
        <w:rPr>
          <w:spacing w:val="-3"/>
        </w:rPr>
        <w:t xml:space="preserve"> </w:t>
      </w:r>
      <w:r>
        <w:t>on</w:t>
      </w:r>
      <w:r>
        <w:rPr>
          <w:spacing w:val="-3"/>
        </w:rPr>
        <w:t xml:space="preserve"> </w:t>
      </w:r>
      <w:r>
        <w:t>the</w:t>
      </w:r>
      <w:r>
        <w:rPr>
          <w:spacing w:val="-5"/>
        </w:rPr>
        <w:t xml:space="preserve"> </w:t>
      </w:r>
      <w:r>
        <w:t>TLRI’s</w:t>
      </w:r>
      <w:r>
        <w:rPr>
          <w:spacing w:val="-5"/>
        </w:rPr>
        <w:t xml:space="preserve"> </w:t>
      </w:r>
      <w:r>
        <w:t>2007</w:t>
      </w:r>
      <w:r>
        <w:rPr>
          <w:spacing w:val="-2"/>
        </w:rPr>
        <w:t xml:space="preserve"> Model</w:t>
      </w:r>
    </w:p>
    <w:p w14:paraId="7CB26074" w14:textId="77777777" w:rsidR="008A4099" w:rsidRDefault="008A4099">
      <w:pPr>
        <w:pStyle w:val="BodyText"/>
        <w:spacing w:before="42"/>
        <w:rPr>
          <w:b/>
          <w:sz w:val="52"/>
        </w:rPr>
      </w:pPr>
    </w:p>
    <w:p w14:paraId="7CB26075" w14:textId="77777777" w:rsidR="008A4099" w:rsidRDefault="006A6EE2">
      <w:pPr>
        <w:pStyle w:val="Heading2"/>
        <w:numPr>
          <w:ilvl w:val="1"/>
          <w:numId w:val="3"/>
        </w:numPr>
        <w:tabs>
          <w:tab w:val="left" w:pos="878"/>
        </w:tabs>
        <w:ind w:left="878" w:hanging="718"/>
        <w:jc w:val="both"/>
      </w:pPr>
      <w:bookmarkStart w:id="28" w:name="_TOC_250032"/>
      <w:bookmarkEnd w:id="28"/>
      <w:r>
        <w:rPr>
          <w:spacing w:val="-2"/>
        </w:rPr>
        <w:t>Introduction</w:t>
      </w:r>
    </w:p>
    <w:p w14:paraId="7CB26076" w14:textId="77777777" w:rsidR="008A4099" w:rsidRDefault="006A6EE2">
      <w:pPr>
        <w:pStyle w:val="ListParagraph"/>
        <w:numPr>
          <w:ilvl w:val="2"/>
          <w:numId w:val="3"/>
        </w:numPr>
        <w:tabs>
          <w:tab w:val="left" w:pos="879"/>
        </w:tabs>
        <w:spacing w:before="223" w:line="237" w:lineRule="auto"/>
        <w:ind w:right="675" w:firstLine="0"/>
        <w:jc w:val="both"/>
      </w:pPr>
      <w:r>
        <w:t>As outlined in Part 3, the Tasmania Law Reform Institute (‘TLRI’) maintains its recommendation from the 2007 Final Report that a Human Rights Act be enacted in Tasmania.</w:t>
      </w:r>
    </w:p>
    <w:p w14:paraId="7CB26077" w14:textId="77777777" w:rsidR="008A4099" w:rsidRDefault="006A6EE2">
      <w:pPr>
        <w:pStyle w:val="ListParagraph"/>
        <w:numPr>
          <w:ilvl w:val="2"/>
          <w:numId w:val="3"/>
        </w:numPr>
        <w:tabs>
          <w:tab w:val="left" w:pos="879"/>
        </w:tabs>
        <w:spacing w:before="222" w:line="237" w:lineRule="auto"/>
        <w:ind w:right="681" w:firstLine="0"/>
        <w:jc w:val="both"/>
      </w:pPr>
      <w:r>
        <w:t>Part 4 considers issues relating to the model recommended by the TLRI that have been identified in the Review Period in cases and reviews in other jurisdictions and discusses potential revisions to the TLRI’s 2007 model.</w:t>
      </w:r>
    </w:p>
    <w:p w14:paraId="7CB26078" w14:textId="77777777" w:rsidR="008A4099" w:rsidRDefault="006A6EE2">
      <w:pPr>
        <w:pStyle w:val="ListParagraph"/>
        <w:numPr>
          <w:ilvl w:val="2"/>
          <w:numId w:val="3"/>
        </w:numPr>
        <w:tabs>
          <w:tab w:val="left" w:pos="879"/>
        </w:tabs>
        <w:spacing w:before="221"/>
        <w:ind w:left="879" w:hanging="719"/>
        <w:jc w:val="both"/>
      </w:pPr>
      <w:r>
        <w:t>In</w:t>
      </w:r>
      <w:r>
        <w:rPr>
          <w:spacing w:val="-3"/>
        </w:rPr>
        <w:t xml:space="preserve"> </w:t>
      </w:r>
      <w:r>
        <w:t>this</w:t>
      </w:r>
      <w:r>
        <w:rPr>
          <w:spacing w:val="-3"/>
        </w:rPr>
        <w:t xml:space="preserve"> </w:t>
      </w:r>
      <w:r>
        <w:t>Part,</w:t>
      </w:r>
      <w:r>
        <w:rPr>
          <w:spacing w:val="-2"/>
        </w:rPr>
        <w:t xml:space="preserve"> </w:t>
      </w:r>
      <w:r>
        <w:t>the</w:t>
      </w:r>
      <w:r>
        <w:rPr>
          <w:spacing w:val="-3"/>
        </w:rPr>
        <w:t xml:space="preserve"> </w:t>
      </w:r>
      <w:r>
        <w:t>following</w:t>
      </w:r>
      <w:r>
        <w:rPr>
          <w:spacing w:val="-7"/>
        </w:rPr>
        <w:t xml:space="preserve"> </w:t>
      </w:r>
      <w:r>
        <w:t>matters</w:t>
      </w:r>
      <w:r>
        <w:rPr>
          <w:spacing w:val="-5"/>
        </w:rPr>
        <w:t xml:space="preserve"> </w:t>
      </w:r>
      <w:r>
        <w:t>are</w:t>
      </w:r>
      <w:r>
        <w:rPr>
          <w:spacing w:val="-4"/>
        </w:rPr>
        <w:t xml:space="preserve"> </w:t>
      </w:r>
      <w:r>
        <w:rPr>
          <w:spacing w:val="-2"/>
        </w:rPr>
        <w:t>discussed:</w:t>
      </w:r>
    </w:p>
    <w:p w14:paraId="7CB26079" w14:textId="77777777" w:rsidR="008A4099" w:rsidRDefault="006A6EE2">
      <w:pPr>
        <w:pStyle w:val="ListParagraph"/>
        <w:numPr>
          <w:ilvl w:val="3"/>
          <w:numId w:val="3"/>
        </w:numPr>
        <w:tabs>
          <w:tab w:val="left" w:pos="1228"/>
        </w:tabs>
        <w:spacing w:before="216" w:line="273" w:lineRule="auto"/>
        <w:ind w:right="673"/>
        <w:jc w:val="left"/>
      </w:pPr>
      <w:r>
        <w:t>which bodies, institutions and agencies should be subject to, or exempted from, human</w:t>
      </w:r>
      <w:r>
        <w:rPr>
          <w:spacing w:val="80"/>
        </w:rPr>
        <w:t xml:space="preserve"> </w:t>
      </w:r>
      <w:r>
        <w:t>rights obligations;</w:t>
      </w:r>
    </w:p>
    <w:p w14:paraId="7CB2607A" w14:textId="77777777" w:rsidR="008A4099" w:rsidRDefault="006A6EE2">
      <w:pPr>
        <w:pStyle w:val="ListParagraph"/>
        <w:numPr>
          <w:ilvl w:val="3"/>
          <w:numId w:val="3"/>
        </w:numPr>
        <w:tabs>
          <w:tab w:val="left" w:pos="1228"/>
        </w:tabs>
        <w:spacing w:before="122"/>
        <w:jc w:val="left"/>
      </w:pPr>
      <w:r>
        <w:t>whether</w:t>
      </w:r>
      <w:r>
        <w:rPr>
          <w:spacing w:val="-4"/>
        </w:rPr>
        <w:t xml:space="preserve"> </w:t>
      </w:r>
      <w:r>
        <w:t>additional</w:t>
      </w:r>
      <w:r>
        <w:rPr>
          <w:spacing w:val="-5"/>
        </w:rPr>
        <w:t xml:space="preserve"> </w:t>
      </w:r>
      <w:r>
        <w:t>rights</w:t>
      </w:r>
      <w:r>
        <w:rPr>
          <w:spacing w:val="-5"/>
        </w:rPr>
        <w:t xml:space="preserve"> </w:t>
      </w:r>
      <w:r>
        <w:t>should</w:t>
      </w:r>
      <w:r>
        <w:rPr>
          <w:spacing w:val="-3"/>
        </w:rPr>
        <w:t xml:space="preserve"> </w:t>
      </w:r>
      <w:r>
        <w:t>be</w:t>
      </w:r>
      <w:r>
        <w:rPr>
          <w:spacing w:val="-3"/>
        </w:rPr>
        <w:t xml:space="preserve"> </w:t>
      </w:r>
      <w:r>
        <w:t>included</w:t>
      </w:r>
      <w:r>
        <w:rPr>
          <w:spacing w:val="-5"/>
        </w:rPr>
        <w:t xml:space="preserve"> </w:t>
      </w:r>
      <w:r>
        <w:t>in</w:t>
      </w:r>
      <w:r>
        <w:rPr>
          <w:spacing w:val="-3"/>
        </w:rPr>
        <w:t xml:space="preserve"> </w:t>
      </w:r>
      <w:r>
        <w:t>a</w:t>
      </w:r>
      <w:r>
        <w:rPr>
          <w:spacing w:val="-3"/>
        </w:rPr>
        <w:t xml:space="preserve"> </w:t>
      </w:r>
      <w:r>
        <w:t>Tasmanian</w:t>
      </w:r>
      <w:r>
        <w:rPr>
          <w:spacing w:val="-5"/>
        </w:rPr>
        <w:t xml:space="preserve"> </w:t>
      </w:r>
      <w:r>
        <w:t>human</w:t>
      </w:r>
      <w:r>
        <w:rPr>
          <w:spacing w:val="-5"/>
        </w:rPr>
        <w:t xml:space="preserve"> </w:t>
      </w:r>
      <w:r>
        <w:t>rights</w:t>
      </w:r>
      <w:r>
        <w:rPr>
          <w:spacing w:val="-5"/>
        </w:rPr>
        <w:t xml:space="preserve"> </w:t>
      </w:r>
      <w:r>
        <w:rPr>
          <w:spacing w:val="-2"/>
        </w:rPr>
        <w:t>enactment;</w:t>
      </w:r>
    </w:p>
    <w:p w14:paraId="7CB2607B" w14:textId="77777777" w:rsidR="008A4099" w:rsidRDefault="006A6EE2">
      <w:pPr>
        <w:pStyle w:val="ListParagraph"/>
        <w:numPr>
          <w:ilvl w:val="3"/>
          <w:numId w:val="3"/>
        </w:numPr>
        <w:tabs>
          <w:tab w:val="left" w:pos="1228"/>
        </w:tabs>
        <w:spacing w:before="158"/>
        <w:jc w:val="left"/>
      </w:pPr>
      <w:r>
        <w:t>what</w:t>
      </w:r>
      <w:r>
        <w:rPr>
          <w:spacing w:val="-4"/>
        </w:rPr>
        <w:t xml:space="preserve"> </w:t>
      </w:r>
      <w:r>
        <w:t>Tasmanian</w:t>
      </w:r>
      <w:r>
        <w:rPr>
          <w:spacing w:val="-3"/>
        </w:rPr>
        <w:t xml:space="preserve"> </w:t>
      </w:r>
      <w:r>
        <w:t>human</w:t>
      </w:r>
      <w:r>
        <w:rPr>
          <w:spacing w:val="-6"/>
        </w:rPr>
        <w:t xml:space="preserve"> </w:t>
      </w:r>
      <w:r>
        <w:t>rights</w:t>
      </w:r>
      <w:r>
        <w:rPr>
          <w:spacing w:val="-4"/>
        </w:rPr>
        <w:t xml:space="preserve"> </w:t>
      </w:r>
      <w:r>
        <w:t>scrutiny</w:t>
      </w:r>
      <w:r>
        <w:rPr>
          <w:spacing w:val="-4"/>
        </w:rPr>
        <w:t xml:space="preserve"> </w:t>
      </w:r>
      <w:r>
        <w:t>requirements</w:t>
      </w:r>
      <w:r>
        <w:rPr>
          <w:spacing w:val="-6"/>
        </w:rPr>
        <w:t xml:space="preserve"> </w:t>
      </w:r>
      <w:r>
        <w:t>should</w:t>
      </w:r>
      <w:r>
        <w:rPr>
          <w:spacing w:val="-7"/>
        </w:rPr>
        <w:t xml:space="preserve"> </w:t>
      </w:r>
      <w:r>
        <w:t>look</w:t>
      </w:r>
      <w:r>
        <w:rPr>
          <w:spacing w:val="-6"/>
        </w:rPr>
        <w:t xml:space="preserve"> </w:t>
      </w:r>
      <w:r>
        <w:rPr>
          <w:spacing w:val="-2"/>
        </w:rPr>
        <w:t>like;</w:t>
      </w:r>
    </w:p>
    <w:p w14:paraId="7CB2607C" w14:textId="77777777" w:rsidR="008A4099" w:rsidRDefault="006A6EE2">
      <w:pPr>
        <w:pStyle w:val="ListParagraph"/>
        <w:numPr>
          <w:ilvl w:val="3"/>
          <w:numId w:val="3"/>
        </w:numPr>
        <w:tabs>
          <w:tab w:val="left" w:pos="1228"/>
        </w:tabs>
        <w:spacing w:before="157" w:line="273" w:lineRule="auto"/>
        <w:ind w:right="682"/>
        <w:jc w:val="left"/>
      </w:pPr>
      <w:r>
        <w:t>what the consequences should be where laws and conduct are incompatible with human rights; and</w:t>
      </w:r>
    </w:p>
    <w:p w14:paraId="7CB2607D" w14:textId="77777777" w:rsidR="008A4099" w:rsidRDefault="006A6EE2">
      <w:pPr>
        <w:pStyle w:val="ListParagraph"/>
        <w:numPr>
          <w:ilvl w:val="3"/>
          <w:numId w:val="3"/>
        </w:numPr>
        <w:tabs>
          <w:tab w:val="left" w:pos="1228"/>
        </w:tabs>
        <w:spacing w:before="123"/>
        <w:jc w:val="left"/>
      </w:pPr>
      <w:r>
        <w:t>what</w:t>
      </w:r>
      <w:r>
        <w:rPr>
          <w:spacing w:val="-5"/>
        </w:rPr>
        <w:t xml:space="preserve"> </w:t>
      </w:r>
      <w:r>
        <w:t>complaints</w:t>
      </w:r>
      <w:r>
        <w:rPr>
          <w:spacing w:val="-3"/>
        </w:rPr>
        <w:t xml:space="preserve"> </w:t>
      </w:r>
      <w:r>
        <w:t>mechanisms</w:t>
      </w:r>
      <w:r>
        <w:rPr>
          <w:spacing w:val="-3"/>
        </w:rPr>
        <w:t xml:space="preserve"> </w:t>
      </w:r>
      <w:r>
        <w:t>should</w:t>
      </w:r>
      <w:r>
        <w:rPr>
          <w:spacing w:val="-3"/>
        </w:rPr>
        <w:t xml:space="preserve"> </w:t>
      </w:r>
      <w:r>
        <w:t>be</w:t>
      </w:r>
      <w:r>
        <w:rPr>
          <w:spacing w:val="-4"/>
        </w:rPr>
        <w:t xml:space="preserve"> </w:t>
      </w:r>
      <w:r>
        <w:t>provided</w:t>
      </w:r>
      <w:r>
        <w:rPr>
          <w:spacing w:val="-5"/>
        </w:rPr>
        <w:t xml:space="preserve"> </w:t>
      </w:r>
      <w:r>
        <w:t>in</w:t>
      </w:r>
      <w:r>
        <w:rPr>
          <w:spacing w:val="-6"/>
        </w:rPr>
        <w:t xml:space="preserve"> </w:t>
      </w:r>
      <w:r>
        <w:t>a</w:t>
      </w:r>
      <w:r>
        <w:rPr>
          <w:spacing w:val="-5"/>
        </w:rPr>
        <w:t xml:space="preserve"> </w:t>
      </w:r>
      <w:r>
        <w:t>Tasmanian</w:t>
      </w:r>
      <w:r>
        <w:rPr>
          <w:spacing w:val="-3"/>
        </w:rPr>
        <w:t xml:space="preserve"> </w:t>
      </w:r>
      <w:r>
        <w:t>human</w:t>
      </w:r>
      <w:r>
        <w:rPr>
          <w:spacing w:val="-5"/>
        </w:rPr>
        <w:t xml:space="preserve"> </w:t>
      </w:r>
      <w:r>
        <w:t>rights</w:t>
      </w:r>
      <w:r>
        <w:rPr>
          <w:spacing w:val="-3"/>
        </w:rPr>
        <w:t xml:space="preserve"> </w:t>
      </w:r>
      <w:r>
        <w:rPr>
          <w:spacing w:val="-2"/>
        </w:rPr>
        <w:t>enactment.</w:t>
      </w:r>
    </w:p>
    <w:p w14:paraId="7CB2607E" w14:textId="77777777" w:rsidR="008A4099" w:rsidRDefault="008A4099">
      <w:pPr>
        <w:pStyle w:val="BodyText"/>
        <w:spacing w:before="2"/>
      </w:pPr>
    </w:p>
    <w:p w14:paraId="7CB2607F" w14:textId="77777777" w:rsidR="008A4099" w:rsidRDefault="006A6EE2">
      <w:pPr>
        <w:pStyle w:val="ListParagraph"/>
        <w:numPr>
          <w:ilvl w:val="2"/>
          <w:numId w:val="3"/>
        </w:numPr>
        <w:tabs>
          <w:tab w:val="left" w:pos="879"/>
        </w:tabs>
        <w:spacing w:before="0"/>
        <w:ind w:right="682" w:firstLine="0"/>
        <w:jc w:val="both"/>
      </w:pPr>
      <w:r>
        <w:t xml:space="preserve">This Part outlines suggested amendments to the original 2007 TLRI model, which the TLRI considers would strengthen its operation and provide a best practice human rights framework for </w:t>
      </w:r>
      <w:r>
        <w:rPr>
          <w:spacing w:val="-2"/>
        </w:rPr>
        <w:t>Tasmania.</w:t>
      </w:r>
    </w:p>
    <w:p w14:paraId="7CB26080" w14:textId="77777777" w:rsidR="008A4099" w:rsidRDefault="008A4099">
      <w:pPr>
        <w:pStyle w:val="BodyText"/>
      </w:pPr>
    </w:p>
    <w:p w14:paraId="7CB26081" w14:textId="77777777" w:rsidR="008A4099" w:rsidRDefault="008A4099">
      <w:pPr>
        <w:pStyle w:val="BodyText"/>
        <w:spacing w:before="130"/>
      </w:pPr>
    </w:p>
    <w:p w14:paraId="7CB26082" w14:textId="77777777" w:rsidR="008A4099" w:rsidRDefault="006A6EE2">
      <w:pPr>
        <w:pStyle w:val="Heading2"/>
        <w:numPr>
          <w:ilvl w:val="1"/>
          <w:numId w:val="3"/>
        </w:numPr>
        <w:tabs>
          <w:tab w:val="left" w:pos="880"/>
        </w:tabs>
        <w:spacing w:before="1"/>
        <w:ind w:right="914"/>
      </w:pPr>
      <w:bookmarkStart w:id="29" w:name="_TOC_250031"/>
      <w:r>
        <w:t>Who</w:t>
      </w:r>
      <w:r>
        <w:rPr>
          <w:spacing w:val="-5"/>
        </w:rPr>
        <w:t xml:space="preserve"> </w:t>
      </w:r>
      <w:r>
        <w:t>should</w:t>
      </w:r>
      <w:r>
        <w:rPr>
          <w:spacing w:val="-6"/>
        </w:rPr>
        <w:t xml:space="preserve"> </w:t>
      </w:r>
      <w:r>
        <w:t>have</w:t>
      </w:r>
      <w:r>
        <w:rPr>
          <w:spacing w:val="-4"/>
        </w:rPr>
        <w:t xml:space="preserve"> </w:t>
      </w:r>
      <w:r>
        <w:t>human</w:t>
      </w:r>
      <w:r>
        <w:rPr>
          <w:spacing w:val="-6"/>
        </w:rPr>
        <w:t xml:space="preserve"> </w:t>
      </w:r>
      <w:r>
        <w:t>rights</w:t>
      </w:r>
      <w:r>
        <w:rPr>
          <w:spacing w:val="-6"/>
        </w:rPr>
        <w:t xml:space="preserve"> </w:t>
      </w:r>
      <w:r>
        <w:t>under</w:t>
      </w:r>
      <w:r>
        <w:rPr>
          <w:spacing w:val="-6"/>
        </w:rPr>
        <w:t xml:space="preserve"> </w:t>
      </w:r>
      <w:r>
        <w:t>a</w:t>
      </w:r>
      <w:r>
        <w:rPr>
          <w:spacing w:val="-6"/>
        </w:rPr>
        <w:t xml:space="preserve"> </w:t>
      </w:r>
      <w:r>
        <w:t>Tasmanian</w:t>
      </w:r>
      <w:r>
        <w:rPr>
          <w:spacing w:val="-6"/>
        </w:rPr>
        <w:t xml:space="preserve"> </w:t>
      </w:r>
      <w:bookmarkEnd w:id="29"/>
      <w:r>
        <w:t>human rights enactment?</w:t>
      </w:r>
    </w:p>
    <w:p w14:paraId="7CB26083" w14:textId="77777777" w:rsidR="008A4099" w:rsidRDefault="006A6EE2">
      <w:pPr>
        <w:pStyle w:val="Heading4"/>
        <w:spacing w:before="238"/>
      </w:pPr>
      <w:bookmarkStart w:id="30" w:name="_TOC_250030"/>
      <w:r>
        <w:t>Public</w:t>
      </w:r>
      <w:r>
        <w:rPr>
          <w:spacing w:val="-3"/>
        </w:rPr>
        <w:t xml:space="preserve"> </w:t>
      </w:r>
      <w:bookmarkEnd w:id="30"/>
      <w:r>
        <w:rPr>
          <w:spacing w:val="-2"/>
        </w:rPr>
        <w:t>authorities</w:t>
      </w:r>
    </w:p>
    <w:p w14:paraId="7CB26084" w14:textId="77777777" w:rsidR="008A4099" w:rsidRDefault="008A4099">
      <w:pPr>
        <w:pStyle w:val="BodyText"/>
        <w:spacing w:before="16"/>
        <w:rPr>
          <w:b/>
          <w:i/>
          <w:sz w:val="23"/>
        </w:rPr>
      </w:pPr>
    </w:p>
    <w:p w14:paraId="7CB26085" w14:textId="77777777" w:rsidR="008A4099" w:rsidRDefault="006A6EE2">
      <w:pPr>
        <w:pStyle w:val="Heading3"/>
        <w:spacing w:before="1"/>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086" w14:textId="77777777" w:rsidR="008A4099" w:rsidRDefault="006A6EE2">
      <w:pPr>
        <w:pStyle w:val="ListParagraph"/>
        <w:numPr>
          <w:ilvl w:val="2"/>
          <w:numId w:val="3"/>
        </w:numPr>
        <w:tabs>
          <w:tab w:val="left" w:pos="879"/>
        </w:tabs>
        <w:spacing w:before="263" w:line="237" w:lineRule="auto"/>
        <w:ind w:right="681" w:firstLine="0"/>
        <w:jc w:val="both"/>
      </w:pPr>
      <w:r>
        <w:t>The 2007 Final Report recommended that ‘public authorities’ be required to comply with human rights obligations. It then recommended that ‘public authority’ be defined broadly to include:</w:t>
      </w:r>
    </w:p>
    <w:p w14:paraId="7CB26087" w14:textId="77777777" w:rsidR="008A4099" w:rsidRDefault="006A6EE2">
      <w:pPr>
        <w:pStyle w:val="BodyText"/>
        <w:spacing w:before="239" w:line="276" w:lineRule="auto"/>
        <w:ind w:left="868" w:right="1343"/>
        <w:jc w:val="both"/>
      </w:pPr>
      <w:r>
        <w:t>tribunals, the courts, government departments, public officials, statutory authorities, government business enterprises, State owned companies, Tasmania Police, local government, Ministers, members of Parliamentary Committees when acting in an administrative capacity, anyone whom Parliament declares to be a public authority for the</w:t>
      </w:r>
      <w:r>
        <w:rPr>
          <w:spacing w:val="-1"/>
        </w:rPr>
        <w:t xml:space="preserve"> </w:t>
      </w:r>
      <w:r>
        <w:t>purposes</w:t>
      </w:r>
      <w:r>
        <w:rPr>
          <w:spacing w:val="-1"/>
        </w:rPr>
        <w:t xml:space="preserve"> </w:t>
      </w:r>
      <w:r>
        <w:t>of</w:t>
      </w:r>
      <w:r>
        <w:rPr>
          <w:spacing w:val="3"/>
        </w:rPr>
        <w:t xml:space="preserve"> </w:t>
      </w:r>
      <w:r>
        <w:t>the</w:t>
      </w:r>
      <w:r>
        <w:rPr>
          <w:spacing w:val="2"/>
        </w:rPr>
        <w:t xml:space="preserve"> </w:t>
      </w:r>
      <w:r>
        <w:t>Charter and an</w:t>
      </w:r>
      <w:r>
        <w:rPr>
          <w:spacing w:val="-1"/>
        </w:rPr>
        <w:t xml:space="preserve"> </w:t>
      </w:r>
      <w:r>
        <w:t>entity</w:t>
      </w:r>
      <w:r>
        <w:rPr>
          <w:spacing w:val="1"/>
        </w:rPr>
        <w:t xml:space="preserve"> </w:t>
      </w:r>
      <w:r>
        <w:t>whose functions</w:t>
      </w:r>
      <w:r>
        <w:rPr>
          <w:spacing w:val="2"/>
        </w:rPr>
        <w:t xml:space="preserve"> </w:t>
      </w:r>
      <w:r>
        <w:t>are</w:t>
      </w:r>
      <w:r>
        <w:rPr>
          <w:spacing w:val="-1"/>
        </w:rPr>
        <w:t xml:space="preserve"> </w:t>
      </w:r>
      <w:r>
        <w:t>or</w:t>
      </w:r>
      <w:r>
        <w:rPr>
          <w:spacing w:val="1"/>
        </w:rPr>
        <w:t xml:space="preserve"> </w:t>
      </w:r>
      <w:r>
        <w:t>include</w:t>
      </w:r>
      <w:r>
        <w:rPr>
          <w:spacing w:val="-1"/>
        </w:rPr>
        <w:t xml:space="preserve"> </w:t>
      </w:r>
      <w:r>
        <w:t>functions</w:t>
      </w:r>
      <w:r>
        <w:rPr>
          <w:spacing w:val="2"/>
        </w:rPr>
        <w:t xml:space="preserve"> </w:t>
      </w:r>
      <w:r>
        <w:t>of</w:t>
      </w:r>
      <w:r>
        <w:rPr>
          <w:spacing w:val="1"/>
        </w:rPr>
        <w:t xml:space="preserve"> </w:t>
      </w:r>
      <w:r>
        <w:rPr>
          <w:spacing w:val="-10"/>
        </w:rPr>
        <w:t>a</w:t>
      </w:r>
    </w:p>
    <w:p w14:paraId="7CB26088" w14:textId="77777777" w:rsidR="008A4099" w:rsidRDefault="008A4099">
      <w:pPr>
        <w:spacing w:line="276" w:lineRule="auto"/>
        <w:jc w:val="both"/>
        <w:sectPr w:rsidR="008A4099" w:rsidSect="00D43B2D">
          <w:pgSz w:w="11910" w:h="16840"/>
          <w:pgMar w:top="980" w:right="760" w:bottom="940" w:left="1280" w:header="718" w:footer="753" w:gutter="0"/>
          <w:cols w:space="720"/>
        </w:sectPr>
      </w:pPr>
    </w:p>
    <w:p w14:paraId="7CB26089" w14:textId="77777777" w:rsidR="008A4099" w:rsidRDefault="008A4099">
      <w:pPr>
        <w:pStyle w:val="BodyText"/>
        <w:spacing w:before="196"/>
      </w:pPr>
    </w:p>
    <w:p w14:paraId="7CB2608A" w14:textId="77777777" w:rsidR="008A4099" w:rsidRDefault="006A6EE2">
      <w:pPr>
        <w:pStyle w:val="BodyText"/>
        <w:spacing w:before="1" w:line="276" w:lineRule="auto"/>
        <w:ind w:left="868" w:right="823"/>
        <w:rPr>
          <w:sz w:val="13"/>
        </w:rPr>
      </w:pPr>
      <w:r>
        <w:t>public nature, when it is exercising those functions on behalf of the State or a public</w:t>
      </w:r>
      <w:r>
        <w:rPr>
          <w:spacing w:val="40"/>
        </w:rPr>
        <w:t xml:space="preserve"> </w:t>
      </w:r>
      <w:r>
        <w:t>authority (whether under contract or otherwise).</w:t>
      </w:r>
      <w:r>
        <w:rPr>
          <w:position w:val="7"/>
          <w:sz w:val="13"/>
        </w:rPr>
        <w:t>342</w:t>
      </w:r>
    </w:p>
    <w:p w14:paraId="7CB2608B" w14:textId="77777777" w:rsidR="008A4099" w:rsidRDefault="006A6EE2">
      <w:pPr>
        <w:pStyle w:val="ListParagraph"/>
        <w:numPr>
          <w:ilvl w:val="2"/>
          <w:numId w:val="3"/>
        </w:numPr>
        <w:tabs>
          <w:tab w:val="left" w:pos="879"/>
        </w:tabs>
        <w:spacing w:before="237"/>
        <w:ind w:right="674" w:firstLine="0"/>
        <w:jc w:val="both"/>
        <w:rPr>
          <w:sz w:val="13"/>
        </w:rPr>
      </w:pPr>
      <w:r>
        <w:t>The</w:t>
      </w:r>
      <w:r>
        <w:rPr>
          <w:spacing w:val="-14"/>
        </w:rPr>
        <w:t xml:space="preserve"> </w:t>
      </w:r>
      <w:r>
        <w:t>model</w:t>
      </w:r>
      <w:r>
        <w:rPr>
          <w:spacing w:val="-14"/>
        </w:rPr>
        <w:t xml:space="preserve"> </w:t>
      </w:r>
      <w:r>
        <w:t>proposed</w:t>
      </w:r>
      <w:r>
        <w:rPr>
          <w:spacing w:val="-14"/>
        </w:rPr>
        <w:t xml:space="preserve"> </w:t>
      </w:r>
      <w:r>
        <w:t>in</w:t>
      </w:r>
      <w:r>
        <w:rPr>
          <w:spacing w:val="-13"/>
        </w:rPr>
        <w:t xml:space="preserve"> </w:t>
      </w:r>
      <w:r>
        <w:t>the</w:t>
      </w:r>
      <w:r>
        <w:rPr>
          <w:spacing w:val="-14"/>
        </w:rPr>
        <w:t xml:space="preserve"> </w:t>
      </w:r>
      <w:r>
        <w:t>2010</w:t>
      </w:r>
      <w:r>
        <w:rPr>
          <w:spacing w:val="-14"/>
        </w:rPr>
        <w:t xml:space="preserve"> </w:t>
      </w:r>
      <w:r>
        <w:t>Tasmanian</w:t>
      </w:r>
      <w:r>
        <w:rPr>
          <w:spacing w:val="-14"/>
        </w:rPr>
        <w:t xml:space="preserve"> </w:t>
      </w:r>
      <w:r>
        <w:t>Government</w:t>
      </w:r>
      <w:r>
        <w:rPr>
          <w:spacing w:val="-13"/>
        </w:rPr>
        <w:t xml:space="preserve"> </w:t>
      </w:r>
      <w:r>
        <w:t>Directions</w:t>
      </w:r>
      <w:r>
        <w:rPr>
          <w:spacing w:val="-14"/>
        </w:rPr>
        <w:t xml:space="preserve"> </w:t>
      </w:r>
      <w:r>
        <w:t>Paper,</w:t>
      </w:r>
      <w:r>
        <w:rPr>
          <w:spacing w:val="-14"/>
        </w:rPr>
        <w:t xml:space="preserve"> </w:t>
      </w:r>
      <w:r>
        <w:rPr>
          <w:i/>
        </w:rPr>
        <w:t>A</w:t>
      </w:r>
      <w:r>
        <w:rPr>
          <w:i/>
          <w:spacing w:val="-14"/>
        </w:rPr>
        <w:t xml:space="preserve"> </w:t>
      </w:r>
      <w:r>
        <w:rPr>
          <w:i/>
        </w:rPr>
        <w:t>Charter</w:t>
      </w:r>
      <w:r>
        <w:rPr>
          <w:i/>
          <w:spacing w:val="-13"/>
        </w:rPr>
        <w:t xml:space="preserve"> </w:t>
      </w:r>
      <w:r>
        <w:rPr>
          <w:i/>
        </w:rPr>
        <w:t>of</w:t>
      </w:r>
      <w:r>
        <w:rPr>
          <w:i/>
          <w:spacing w:val="-14"/>
        </w:rPr>
        <w:t xml:space="preserve"> </w:t>
      </w:r>
      <w:r>
        <w:rPr>
          <w:i/>
        </w:rPr>
        <w:t xml:space="preserve">Human Rights and Responsibility for Tasmania </w:t>
      </w:r>
      <w:r>
        <w:t>(‘Directions Paper’),</w:t>
      </w:r>
      <w:r>
        <w:rPr>
          <w:position w:val="7"/>
          <w:sz w:val="13"/>
        </w:rPr>
        <w:t>343</w:t>
      </w:r>
      <w:r>
        <w:rPr>
          <w:spacing w:val="33"/>
          <w:position w:val="7"/>
          <w:sz w:val="13"/>
        </w:rPr>
        <w:t xml:space="preserve"> </w:t>
      </w:r>
      <w:r>
        <w:t>also recommended that organisations delivering services funded or controlled by a public body be required to comply with the Charter.</w:t>
      </w:r>
      <w:r>
        <w:rPr>
          <w:color w:val="201D1E"/>
          <w:position w:val="7"/>
          <w:sz w:val="13"/>
        </w:rPr>
        <w:t>344</w:t>
      </w:r>
    </w:p>
    <w:p w14:paraId="7CB2608C" w14:textId="77777777" w:rsidR="008A4099" w:rsidRDefault="006A6EE2">
      <w:pPr>
        <w:pStyle w:val="ListParagraph"/>
        <w:numPr>
          <w:ilvl w:val="2"/>
          <w:numId w:val="3"/>
        </w:numPr>
        <w:tabs>
          <w:tab w:val="left" w:pos="879"/>
        </w:tabs>
        <w:spacing w:before="216"/>
        <w:ind w:right="673" w:firstLine="0"/>
        <w:jc w:val="both"/>
        <w:rPr>
          <w:sz w:val="13"/>
        </w:rPr>
      </w:pPr>
      <w:r>
        <w:t>This approach is consistent with the position adopted in Victoria, the ACT, and Queensland, where human rights obligations are imposed on entities whose functions are (in whole or in part) of a public nature or when they are exercising the functions for the State, Territory or public authority.</w:t>
      </w:r>
      <w:r>
        <w:rPr>
          <w:position w:val="7"/>
          <w:sz w:val="13"/>
        </w:rPr>
        <w:t>345</w:t>
      </w:r>
      <w:r>
        <w:rPr>
          <w:spacing w:val="40"/>
          <w:position w:val="7"/>
          <w:sz w:val="13"/>
        </w:rPr>
        <w:t xml:space="preserve"> </w:t>
      </w:r>
      <w:r>
        <w:t>However, these jurisdictions have specified constraints on the scope of the definition of a ‘public authority’: (1) when a court is acting in a judicial capacity (see further discussion at [4.2.21]– [4.2.29]);</w:t>
      </w:r>
      <w:r>
        <w:rPr>
          <w:position w:val="7"/>
          <w:sz w:val="13"/>
        </w:rPr>
        <w:t>346</w:t>
      </w:r>
      <w:r>
        <w:rPr>
          <w:spacing w:val="40"/>
          <w:position w:val="7"/>
          <w:sz w:val="13"/>
        </w:rPr>
        <w:t xml:space="preserve"> </w:t>
      </w:r>
      <w:r>
        <w:t>(2) Parliament or a person exercising functions in connection with proceedings in Parliament;</w:t>
      </w:r>
      <w:r>
        <w:rPr>
          <w:position w:val="7"/>
          <w:sz w:val="13"/>
        </w:rPr>
        <w:t>347</w:t>
      </w:r>
      <w:r>
        <w:rPr>
          <w:spacing w:val="40"/>
          <w:position w:val="7"/>
          <w:sz w:val="13"/>
        </w:rPr>
        <w:t xml:space="preserve"> </w:t>
      </w:r>
      <w:r>
        <w:t>and (3)</w:t>
      </w:r>
      <w:r>
        <w:rPr>
          <w:spacing w:val="40"/>
        </w:rPr>
        <w:t xml:space="preserve"> </w:t>
      </w:r>
      <w:r>
        <w:t>if an entity is prescribed by regulation not to be a public entity (see further discussion at [4.2.30]–[4.2.33]).</w:t>
      </w:r>
      <w:r>
        <w:rPr>
          <w:position w:val="7"/>
          <w:sz w:val="13"/>
        </w:rPr>
        <w:t>348</w:t>
      </w:r>
    </w:p>
    <w:p w14:paraId="7CB2608D" w14:textId="77777777" w:rsidR="008A4099" w:rsidRDefault="006A6EE2">
      <w:pPr>
        <w:pStyle w:val="ListParagraph"/>
        <w:numPr>
          <w:ilvl w:val="2"/>
          <w:numId w:val="3"/>
        </w:numPr>
        <w:tabs>
          <w:tab w:val="left" w:pos="879"/>
        </w:tabs>
        <w:spacing w:before="217"/>
        <w:ind w:right="677" w:firstLine="0"/>
        <w:jc w:val="both"/>
      </w:pPr>
      <w:r>
        <w:t>The TLRI recommended in its 2007 Final Report that a human rights enactment include both statutory guidance on determining when an entity is performing functions of a public nature (as in s 4 of the Vic Human Rights Charter) and a non-exhaustive list of such functions.</w:t>
      </w:r>
      <w:r>
        <w:rPr>
          <w:position w:val="7"/>
          <w:sz w:val="13"/>
        </w:rPr>
        <w:t>349</w:t>
      </w:r>
      <w:r>
        <w:rPr>
          <w:spacing w:val="40"/>
          <w:position w:val="7"/>
          <w:sz w:val="13"/>
        </w:rPr>
        <w:t xml:space="preserve"> </w:t>
      </w:r>
      <w:r>
        <w:t>The ACT and Queensland Human Rights Acts provide a non-exhaustive list of functions that are taken to be ‘of a public nature’, including operating detention and correctional facilities, emergency services, public health, education, housing, and transport services.</w:t>
      </w:r>
      <w:r>
        <w:rPr>
          <w:position w:val="7"/>
          <w:sz w:val="13"/>
        </w:rPr>
        <w:t>350</w:t>
      </w:r>
      <w:r>
        <w:rPr>
          <w:spacing w:val="40"/>
          <w:position w:val="7"/>
          <w:sz w:val="13"/>
        </w:rPr>
        <w:t xml:space="preserve"> </w:t>
      </w:r>
      <w:r>
        <w:t>The ACT list includes utilities providers (also recommended in the TLRI 2007 Final Report),</w:t>
      </w:r>
      <w:r>
        <w:rPr>
          <w:position w:val="7"/>
          <w:sz w:val="13"/>
        </w:rPr>
        <w:t>351</w:t>
      </w:r>
      <w:r>
        <w:rPr>
          <w:spacing w:val="31"/>
          <w:position w:val="7"/>
          <w:sz w:val="13"/>
        </w:rPr>
        <w:t xml:space="preserve"> </w:t>
      </w:r>
      <w:r>
        <w:t xml:space="preserve">while the Queensland list includes public disability </w:t>
      </w:r>
      <w:r>
        <w:rPr>
          <w:spacing w:val="-2"/>
        </w:rPr>
        <w:t>services.</w:t>
      </w:r>
    </w:p>
    <w:p w14:paraId="7CB2608E" w14:textId="77777777" w:rsidR="008A4099" w:rsidRDefault="006A6EE2">
      <w:pPr>
        <w:pStyle w:val="ListParagraph"/>
        <w:numPr>
          <w:ilvl w:val="2"/>
          <w:numId w:val="3"/>
        </w:numPr>
        <w:tabs>
          <w:tab w:val="left" w:pos="879"/>
        </w:tabs>
        <w:spacing w:before="219" w:line="237" w:lineRule="auto"/>
        <w:ind w:right="674" w:firstLine="0"/>
        <w:jc w:val="both"/>
      </w:pPr>
      <w:r>
        <w:t>The</w:t>
      </w:r>
      <w:r>
        <w:rPr>
          <w:spacing w:val="-16"/>
        </w:rPr>
        <w:t xml:space="preserve"> </w:t>
      </w:r>
      <w:r>
        <w:t>Victorian</w:t>
      </w:r>
      <w:r>
        <w:rPr>
          <w:spacing w:val="-14"/>
        </w:rPr>
        <w:t xml:space="preserve"> </w:t>
      </w:r>
      <w:r>
        <w:t>legislation</w:t>
      </w:r>
      <w:r>
        <w:rPr>
          <w:spacing w:val="-14"/>
        </w:rPr>
        <w:t xml:space="preserve"> </w:t>
      </w:r>
      <w:r>
        <w:t>describes</w:t>
      </w:r>
      <w:r>
        <w:rPr>
          <w:spacing w:val="-13"/>
        </w:rPr>
        <w:t xml:space="preserve"> </w:t>
      </w:r>
      <w:r>
        <w:t>the</w:t>
      </w:r>
      <w:r>
        <w:rPr>
          <w:spacing w:val="-14"/>
        </w:rPr>
        <w:t xml:space="preserve"> </w:t>
      </w:r>
      <w:r>
        <w:t>factors</w:t>
      </w:r>
      <w:r>
        <w:rPr>
          <w:spacing w:val="-14"/>
        </w:rPr>
        <w:t xml:space="preserve"> </w:t>
      </w:r>
      <w:r>
        <w:t>that</w:t>
      </w:r>
      <w:r>
        <w:rPr>
          <w:spacing w:val="-14"/>
        </w:rPr>
        <w:t xml:space="preserve"> </w:t>
      </w:r>
      <w:r>
        <w:t>should</w:t>
      </w:r>
      <w:r>
        <w:rPr>
          <w:spacing w:val="-13"/>
        </w:rPr>
        <w:t xml:space="preserve"> </w:t>
      </w:r>
      <w:r>
        <w:t>be</w:t>
      </w:r>
      <w:r>
        <w:rPr>
          <w:spacing w:val="-14"/>
        </w:rPr>
        <w:t xml:space="preserve"> </w:t>
      </w:r>
      <w:r>
        <w:t>considered</w:t>
      </w:r>
      <w:r>
        <w:rPr>
          <w:spacing w:val="-14"/>
        </w:rPr>
        <w:t xml:space="preserve"> </w:t>
      </w:r>
      <w:r>
        <w:t>in</w:t>
      </w:r>
      <w:r>
        <w:rPr>
          <w:spacing w:val="-14"/>
        </w:rPr>
        <w:t xml:space="preserve"> </w:t>
      </w:r>
      <w:r>
        <w:t>determining</w:t>
      </w:r>
      <w:r>
        <w:rPr>
          <w:spacing w:val="-13"/>
        </w:rPr>
        <w:t xml:space="preserve"> </w:t>
      </w:r>
      <w:r>
        <w:t>whether an</w:t>
      </w:r>
      <w:r>
        <w:rPr>
          <w:spacing w:val="-3"/>
        </w:rPr>
        <w:t xml:space="preserve"> </w:t>
      </w:r>
      <w:r>
        <w:t>entity</w:t>
      </w:r>
      <w:r>
        <w:rPr>
          <w:spacing w:val="-4"/>
        </w:rPr>
        <w:t xml:space="preserve"> </w:t>
      </w:r>
      <w:r>
        <w:t>is</w:t>
      </w:r>
      <w:r>
        <w:rPr>
          <w:spacing w:val="-3"/>
        </w:rPr>
        <w:t xml:space="preserve"> </w:t>
      </w:r>
      <w:r>
        <w:t>undertaking</w:t>
      </w:r>
      <w:r>
        <w:rPr>
          <w:spacing w:val="-4"/>
        </w:rPr>
        <w:t xml:space="preserve"> </w:t>
      </w:r>
      <w:r>
        <w:t>functions</w:t>
      </w:r>
      <w:r>
        <w:rPr>
          <w:spacing w:val="-3"/>
        </w:rPr>
        <w:t xml:space="preserve"> </w:t>
      </w:r>
      <w:r>
        <w:t>of</w:t>
      </w:r>
      <w:r>
        <w:rPr>
          <w:spacing w:val="-3"/>
        </w:rPr>
        <w:t xml:space="preserve"> </w:t>
      </w:r>
      <w:r>
        <w:t>a</w:t>
      </w:r>
      <w:r>
        <w:rPr>
          <w:spacing w:val="-3"/>
        </w:rPr>
        <w:t xml:space="preserve"> </w:t>
      </w:r>
      <w:r>
        <w:t>public</w:t>
      </w:r>
      <w:r>
        <w:rPr>
          <w:spacing w:val="-3"/>
        </w:rPr>
        <w:t xml:space="preserve"> </w:t>
      </w:r>
      <w:r>
        <w:t>nature,</w:t>
      </w:r>
      <w:r>
        <w:rPr>
          <w:position w:val="7"/>
          <w:sz w:val="13"/>
        </w:rPr>
        <w:t>352</w:t>
      </w:r>
      <w:r>
        <w:rPr>
          <w:spacing w:val="19"/>
          <w:position w:val="7"/>
          <w:sz w:val="13"/>
        </w:rPr>
        <w:t xml:space="preserve"> </w:t>
      </w:r>
      <w:r>
        <w:t>but</w:t>
      </w:r>
      <w:r>
        <w:rPr>
          <w:spacing w:val="-3"/>
        </w:rPr>
        <w:t xml:space="preserve"> </w:t>
      </w:r>
      <w:r>
        <w:t>does</w:t>
      </w:r>
      <w:r>
        <w:rPr>
          <w:spacing w:val="-3"/>
        </w:rPr>
        <w:t xml:space="preserve"> </w:t>
      </w:r>
      <w:r>
        <w:t>not</w:t>
      </w:r>
      <w:r>
        <w:rPr>
          <w:spacing w:val="-3"/>
        </w:rPr>
        <w:t xml:space="preserve"> </w:t>
      </w:r>
      <w:r>
        <w:t>list</w:t>
      </w:r>
      <w:r>
        <w:rPr>
          <w:spacing w:val="-2"/>
        </w:rPr>
        <w:t xml:space="preserve"> </w:t>
      </w:r>
      <w:r>
        <w:t>examples.</w:t>
      </w:r>
      <w:r>
        <w:rPr>
          <w:spacing w:val="-3"/>
        </w:rPr>
        <w:t xml:space="preserve"> </w:t>
      </w:r>
      <w:r>
        <w:t>The</w:t>
      </w:r>
      <w:r>
        <w:rPr>
          <w:spacing w:val="-4"/>
        </w:rPr>
        <w:t xml:space="preserve"> </w:t>
      </w:r>
      <w:r>
        <w:t>2015</w:t>
      </w:r>
      <w:r>
        <w:rPr>
          <w:spacing w:val="-4"/>
        </w:rPr>
        <w:t xml:space="preserve"> </w:t>
      </w:r>
      <w:r>
        <w:t>Review</w:t>
      </w:r>
      <w:r>
        <w:rPr>
          <w:spacing w:val="-4"/>
        </w:rPr>
        <w:t xml:space="preserve"> </w:t>
      </w:r>
      <w:r>
        <w:t>of the</w:t>
      </w:r>
      <w:r>
        <w:rPr>
          <w:spacing w:val="-1"/>
        </w:rPr>
        <w:t xml:space="preserve"> </w:t>
      </w:r>
      <w:r>
        <w:t>Victorian</w:t>
      </w:r>
      <w:r>
        <w:rPr>
          <w:spacing w:val="-3"/>
        </w:rPr>
        <w:t xml:space="preserve"> </w:t>
      </w:r>
      <w:r>
        <w:t>Charter</w:t>
      </w:r>
      <w:r>
        <w:rPr>
          <w:spacing w:val="-3"/>
        </w:rPr>
        <w:t xml:space="preserve"> </w:t>
      </w:r>
      <w:r>
        <w:t>identified</w:t>
      </w:r>
      <w:r>
        <w:rPr>
          <w:spacing w:val="-3"/>
        </w:rPr>
        <w:t xml:space="preserve"> </w:t>
      </w:r>
      <w:r>
        <w:t>the</w:t>
      </w:r>
      <w:r>
        <w:rPr>
          <w:spacing w:val="-3"/>
        </w:rPr>
        <w:t xml:space="preserve"> </w:t>
      </w:r>
      <w:r>
        <w:t>need</w:t>
      </w:r>
      <w:r>
        <w:rPr>
          <w:spacing w:val="-4"/>
        </w:rPr>
        <w:t xml:space="preserve"> </w:t>
      </w:r>
      <w:r>
        <w:t>for</w:t>
      </w:r>
      <w:r>
        <w:rPr>
          <w:spacing w:val="-3"/>
        </w:rPr>
        <w:t xml:space="preserve"> </w:t>
      </w:r>
      <w:r>
        <w:t>greater</w:t>
      </w:r>
      <w:r>
        <w:rPr>
          <w:spacing w:val="-3"/>
        </w:rPr>
        <w:t xml:space="preserve"> </w:t>
      </w:r>
      <w:r>
        <w:t>clarity</w:t>
      </w:r>
      <w:r>
        <w:rPr>
          <w:spacing w:val="-4"/>
        </w:rPr>
        <w:t xml:space="preserve"> </w:t>
      </w:r>
      <w:r>
        <w:t>in</w:t>
      </w:r>
      <w:r>
        <w:rPr>
          <w:spacing w:val="-4"/>
        </w:rPr>
        <w:t xml:space="preserve"> </w:t>
      </w:r>
      <w:r>
        <w:t>this</w:t>
      </w:r>
      <w:r>
        <w:rPr>
          <w:spacing w:val="-3"/>
        </w:rPr>
        <w:t xml:space="preserve"> </w:t>
      </w:r>
      <w:r>
        <w:t>regard</w:t>
      </w:r>
      <w:r>
        <w:rPr>
          <w:spacing w:val="-4"/>
        </w:rPr>
        <w:t xml:space="preserve"> </w:t>
      </w:r>
      <w:r>
        <w:t>and</w:t>
      </w:r>
      <w:r>
        <w:rPr>
          <w:spacing w:val="-3"/>
        </w:rPr>
        <w:t xml:space="preserve"> </w:t>
      </w:r>
      <w:r>
        <w:t>recommended</w:t>
      </w:r>
      <w:r>
        <w:rPr>
          <w:spacing w:val="-4"/>
        </w:rPr>
        <w:t xml:space="preserve"> </w:t>
      </w:r>
      <w:r>
        <w:t>that</w:t>
      </w:r>
      <w:r>
        <w:rPr>
          <w:spacing w:val="-2"/>
        </w:rPr>
        <w:t xml:space="preserve"> </w:t>
      </w:r>
      <w:r>
        <w:t>a</w:t>
      </w:r>
      <w:r>
        <w:rPr>
          <w:spacing w:val="-3"/>
        </w:rPr>
        <w:t xml:space="preserve"> </w:t>
      </w:r>
      <w:r>
        <w:t>non- exhaustive list be added to the definition of public authority, including prisons and correctional facilities, public health services, public disability services, public education, public transport, public housing, and</w:t>
      </w:r>
      <w:r>
        <w:rPr>
          <w:spacing w:val="1"/>
        </w:rPr>
        <w:t xml:space="preserve"> </w:t>
      </w:r>
      <w:r>
        <w:t>utility</w:t>
      </w:r>
      <w:r>
        <w:rPr>
          <w:spacing w:val="1"/>
        </w:rPr>
        <w:t xml:space="preserve"> </w:t>
      </w:r>
      <w:r>
        <w:t>services.</w:t>
      </w:r>
      <w:r>
        <w:rPr>
          <w:position w:val="7"/>
          <w:sz w:val="13"/>
        </w:rPr>
        <w:t>353</w:t>
      </w:r>
      <w:r>
        <w:rPr>
          <w:spacing w:val="23"/>
          <w:position w:val="7"/>
          <w:sz w:val="13"/>
        </w:rPr>
        <w:t xml:space="preserve"> </w:t>
      </w:r>
      <w:r>
        <w:t>In</w:t>
      </w:r>
      <w:r>
        <w:rPr>
          <w:spacing w:val="1"/>
        </w:rPr>
        <w:t xml:space="preserve"> </w:t>
      </w:r>
      <w:r>
        <w:t>its</w:t>
      </w:r>
      <w:r>
        <w:rPr>
          <w:spacing w:val="1"/>
        </w:rPr>
        <w:t xml:space="preserve"> </w:t>
      </w:r>
      <w:r>
        <w:t>response,</w:t>
      </w:r>
      <w:r>
        <w:rPr>
          <w:spacing w:val="-2"/>
        </w:rPr>
        <w:t xml:space="preserve"> </w:t>
      </w:r>
      <w:r>
        <w:t>the</w:t>
      </w:r>
      <w:r>
        <w:rPr>
          <w:spacing w:val="2"/>
        </w:rPr>
        <w:t xml:space="preserve"> </w:t>
      </w:r>
      <w:r>
        <w:t>Victorian</w:t>
      </w:r>
      <w:r>
        <w:rPr>
          <w:spacing w:val="1"/>
        </w:rPr>
        <w:t xml:space="preserve"> </w:t>
      </w:r>
      <w:r>
        <w:t>Government</w:t>
      </w:r>
      <w:r>
        <w:rPr>
          <w:spacing w:val="1"/>
        </w:rPr>
        <w:t xml:space="preserve"> </w:t>
      </w:r>
      <w:r>
        <w:t>gave</w:t>
      </w:r>
      <w:r>
        <w:rPr>
          <w:spacing w:val="2"/>
        </w:rPr>
        <w:t xml:space="preserve"> </w:t>
      </w:r>
      <w:r>
        <w:t>in-principle</w:t>
      </w:r>
      <w:r>
        <w:rPr>
          <w:spacing w:val="1"/>
        </w:rPr>
        <w:t xml:space="preserve"> </w:t>
      </w:r>
      <w:r>
        <w:t>support</w:t>
      </w:r>
      <w:r>
        <w:rPr>
          <w:spacing w:val="2"/>
        </w:rPr>
        <w:t xml:space="preserve"> </w:t>
      </w:r>
      <w:r>
        <w:rPr>
          <w:spacing w:val="-5"/>
        </w:rPr>
        <w:t>to</w:t>
      </w:r>
    </w:p>
    <w:p w14:paraId="7CB2608F" w14:textId="77777777" w:rsidR="008A4099" w:rsidRDefault="006A6EE2">
      <w:pPr>
        <w:pStyle w:val="BodyText"/>
        <w:spacing w:before="67"/>
        <w:rPr>
          <w:sz w:val="20"/>
        </w:rPr>
      </w:pPr>
      <w:r>
        <w:rPr>
          <w:noProof/>
        </w:rPr>
        <mc:AlternateContent>
          <mc:Choice Requires="wps">
            <w:drawing>
              <wp:anchor distT="0" distB="0" distL="0" distR="0" simplePos="0" relativeHeight="487616512" behindDoc="1" locked="0" layoutInCell="1" allowOverlap="1" wp14:anchorId="7CB26649" wp14:editId="7CB2664A">
                <wp:simplePos x="0" y="0"/>
                <wp:positionH relativeFrom="page">
                  <wp:posOffset>914704</wp:posOffset>
                </wp:positionH>
                <wp:positionV relativeFrom="paragraph">
                  <wp:posOffset>204422</wp:posOffset>
                </wp:positionV>
                <wp:extent cx="1829435" cy="762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84DE2B" id="Graphic 104" o:spid="_x0000_s1026" style="position:absolute;margin-left:1in;margin-top:16.1pt;width:144.05pt;height:.6pt;z-index:-15699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" path="m1829054,l,,,7620r1829054,l1829054,xe" fillcolor="black" stroked="f">
                <v:path arrowok="t"/>
                <w10:wrap type="topAndBottom" anchorx="page"/>
              </v:shape>
            </w:pict>
          </mc:Fallback>
        </mc:AlternateContent>
      </w:r>
    </w:p>
    <w:p w14:paraId="7CB26090" w14:textId="77777777" w:rsidR="008A4099" w:rsidRDefault="006A6EE2">
      <w:pPr>
        <w:spacing w:before="112"/>
        <w:ind w:left="160"/>
        <w:jc w:val="both"/>
        <w:rPr>
          <w:sz w:val="18"/>
        </w:rPr>
      </w:pPr>
      <w:r>
        <w:rPr>
          <w:sz w:val="18"/>
          <w:vertAlign w:val="superscript"/>
        </w:rPr>
        <w:t>342</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8.</w:t>
      </w:r>
    </w:p>
    <w:p w14:paraId="7CB26091" w14:textId="77777777" w:rsidR="008A4099" w:rsidRDefault="006A6EE2">
      <w:pPr>
        <w:spacing w:before="24"/>
        <w:ind w:left="160" w:right="673"/>
        <w:jc w:val="both"/>
        <w:rPr>
          <w:sz w:val="18"/>
        </w:rPr>
      </w:pPr>
      <w:r>
        <w:rPr>
          <w:sz w:val="18"/>
          <w:vertAlign w:val="superscript"/>
        </w:rPr>
        <w:t>343</w:t>
      </w:r>
      <w:r>
        <w:rPr>
          <w:sz w:val="18"/>
        </w:rPr>
        <w:t xml:space="preserve"> Department of Justice (Tasmania), </w:t>
      </w:r>
      <w:r>
        <w:rPr>
          <w:i/>
          <w:sz w:val="18"/>
        </w:rPr>
        <w:t xml:space="preserve">A Charter of Human Rights and Responsibility for Tasmania (Human Rights Charter Legislative Project Directions Paper </w:t>
      </w:r>
      <w:r>
        <w:rPr>
          <w:sz w:val="18"/>
        </w:rPr>
        <w:t xml:space="preserve">(Department of Justice, 2010) (‘Directions Paper’). The Directions Paper was accompanied by two other resources: </w:t>
      </w:r>
      <w:r>
        <w:rPr>
          <w:i/>
          <w:sz w:val="18"/>
        </w:rPr>
        <w:t>A Charter of Human Rights and Responsibility for Tasmania (Guide to the Directions Paper, 2010</w:t>
      </w:r>
      <w:r>
        <w:rPr>
          <w:sz w:val="18"/>
        </w:rPr>
        <w:t xml:space="preserve">) and </w:t>
      </w:r>
      <w:r>
        <w:rPr>
          <w:i/>
          <w:sz w:val="18"/>
        </w:rPr>
        <w:t>A Charter of Human Rights and Responsibility for Tasmania (Community Consultation, 2010</w:t>
      </w:r>
      <w:r>
        <w:rPr>
          <w:sz w:val="18"/>
        </w:rPr>
        <w:t xml:space="preserve">). See also ‘Charter of Rights A Step closer’, </w:t>
      </w:r>
      <w:r>
        <w:rPr>
          <w:i/>
          <w:sz w:val="18"/>
        </w:rPr>
        <w:t xml:space="preserve">ABC News </w:t>
      </w:r>
      <w:r>
        <w:rPr>
          <w:sz w:val="18"/>
        </w:rPr>
        <w:t>(online, 21 October 2010) &lt;https://</w:t>
      </w:r>
      <w:hyperlink r:id="rId131">
        <w:r>
          <w:rPr>
            <w:sz w:val="18"/>
          </w:rPr>
          <w:t>www.abc.net.au/news/2010-10-21/charter-</w:t>
        </w:r>
      </w:hyperlink>
      <w:r>
        <w:rPr>
          <w:sz w:val="18"/>
        </w:rPr>
        <w:t xml:space="preserve"> </w:t>
      </w:r>
      <w:r>
        <w:rPr>
          <w:spacing w:val="-2"/>
          <w:sz w:val="18"/>
        </w:rPr>
        <w:t>of-rights-a-step-closer/2306028&gt;.</w:t>
      </w:r>
    </w:p>
    <w:p w14:paraId="7CB26092" w14:textId="77777777" w:rsidR="008A4099" w:rsidRDefault="006A6EE2">
      <w:pPr>
        <w:spacing w:before="23" w:line="242" w:lineRule="auto"/>
        <w:ind w:left="160" w:right="681"/>
        <w:jc w:val="both"/>
        <w:rPr>
          <w:sz w:val="18"/>
        </w:rPr>
      </w:pPr>
      <w:r>
        <w:rPr>
          <w:sz w:val="18"/>
          <w:vertAlign w:val="superscript"/>
        </w:rPr>
        <w:t>344</w:t>
      </w:r>
      <w:r>
        <w:rPr>
          <w:spacing w:val="29"/>
          <w:sz w:val="18"/>
        </w:rPr>
        <w:t xml:space="preserve"> </w:t>
      </w:r>
      <w:r>
        <w:rPr>
          <w:sz w:val="18"/>
        </w:rPr>
        <w:t>Directions</w:t>
      </w:r>
      <w:r>
        <w:rPr>
          <w:spacing w:val="-11"/>
          <w:sz w:val="18"/>
        </w:rPr>
        <w:t xml:space="preserve"> </w:t>
      </w:r>
      <w:r>
        <w:rPr>
          <w:sz w:val="18"/>
        </w:rPr>
        <w:t>Paper</w:t>
      </w:r>
      <w:r>
        <w:rPr>
          <w:spacing w:val="-10"/>
          <w:sz w:val="18"/>
        </w:rPr>
        <w:t xml:space="preserve"> </w:t>
      </w:r>
      <w:r>
        <w:rPr>
          <w:sz w:val="18"/>
        </w:rPr>
        <w:t>36.</w:t>
      </w:r>
      <w:r>
        <w:rPr>
          <w:spacing w:val="-10"/>
          <w:sz w:val="18"/>
        </w:rPr>
        <w:t xml:space="preserve"> </w:t>
      </w:r>
      <w:r>
        <w:rPr>
          <w:sz w:val="18"/>
        </w:rPr>
        <w:t>See</w:t>
      </w:r>
      <w:r>
        <w:rPr>
          <w:spacing w:val="-9"/>
          <w:sz w:val="18"/>
        </w:rPr>
        <w:t xml:space="preserve"> </w:t>
      </w:r>
      <w:r>
        <w:rPr>
          <w:sz w:val="18"/>
        </w:rPr>
        <w:t>also</w:t>
      </w:r>
      <w:r>
        <w:rPr>
          <w:spacing w:val="-10"/>
          <w:sz w:val="18"/>
        </w:rPr>
        <w:t xml:space="preserve"> </w:t>
      </w:r>
      <w:r>
        <w:rPr>
          <w:sz w:val="18"/>
        </w:rPr>
        <w:t>TLRI</w:t>
      </w:r>
      <w:r>
        <w:rPr>
          <w:spacing w:val="-8"/>
          <w:sz w:val="18"/>
        </w:rPr>
        <w:t xml:space="preserve"> </w:t>
      </w:r>
      <w:r>
        <w:rPr>
          <w:sz w:val="18"/>
        </w:rPr>
        <w:t>2007</w:t>
      </w:r>
      <w:r>
        <w:rPr>
          <w:spacing w:val="-9"/>
          <w:sz w:val="18"/>
        </w:rPr>
        <w:t xml:space="preserve"> </w:t>
      </w:r>
      <w:r>
        <w:rPr>
          <w:sz w:val="18"/>
        </w:rPr>
        <w:t>Final</w:t>
      </w:r>
      <w:r>
        <w:rPr>
          <w:spacing w:val="-8"/>
          <w:sz w:val="18"/>
        </w:rPr>
        <w:t xml:space="preserve"> </w:t>
      </w:r>
      <w:r>
        <w:rPr>
          <w:sz w:val="18"/>
        </w:rPr>
        <w:t>Report</w:t>
      </w:r>
      <w:r>
        <w:rPr>
          <w:spacing w:val="-8"/>
          <w:sz w:val="18"/>
        </w:rPr>
        <w:t xml:space="preserve"> </w:t>
      </w:r>
      <w:r>
        <w:rPr>
          <w:sz w:val="18"/>
        </w:rPr>
        <w:t>at</w:t>
      </w:r>
      <w:r>
        <w:rPr>
          <w:spacing w:val="-8"/>
          <w:sz w:val="18"/>
        </w:rPr>
        <w:t xml:space="preserve"> </w:t>
      </w:r>
      <w:r>
        <w:rPr>
          <w:sz w:val="18"/>
        </w:rPr>
        <w:t>[4.7.18],</w:t>
      </w:r>
      <w:r>
        <w:rPr>
          <w:spacing w:val="-10"/>
          <w:sz w:val="18"/>
        </w:rPr>
        <w:t xml:space="preserve"> </w:t>
      </w:r>
      <w:r>
        <w:rPr>
          <w:sz w:val="18"/>
        </w:rPr>
        <w:t>which</w:t>
      </w:r>
      <w:r>
        <w:rPr>
          <w:spacing w:val="-7"/>
          <w:sz w:val="18"/>
        </w:rPr>
        <w:t xml:space="preserve"> </w:t>
      </w:r>
      <w:r>
        <w:rPr>
          <w:sz w:val="18"/>
        </w:rPr>
        <w:t>suggested</w:t>
      </w:r>
      <w:r>
        <w:rPr>
          <w:spacing w:val="-9"/>
          <w:sz w:val="18"/>
        </w:rPr>
        <w:t xml:space="preserve"> </w:t>
      </w:r>
      <w:r>
        <w:rPr>
          <w:sz w:val="18"/>
        </w:rPr>
        <w:t>that</w:t>
      </w:r>
      <w:r>
        <w:rPr>
          <w:spacing w:val="-10"/>
          <w:sz w:val="18"/>
        </w:rPr>
        <w:t xml:space="preserve"> </w:t>
      </w:r>
      <w:r>
        <w:rPr>
          <w:sz w:val="18"/>
        </w:rPr>
        <w:t>future</w:t>
      </w:r>
      <w:r>
        <w:rPr>
          <w:spacing w:val="-9"/>
          <w:sz w:val="18"/>
        </w:rPr>
        <w:t xml:space="preserve"> </w:t>
      </w:r>
      <w:r>
        <w:rPr>
          <w:sz w:val="18"/>
        </w:rPr>
        <w:t>reviews</w:t>
      </w:r>
      <w:r>
        <w:rPr>
          <w:spacing w:val="-9"/>
          <w:sz w:val="18"/>
        </w:rPr>
        <w:t xml:space="preserve"> </w:t>
      </w:r>
      <w:r>
        <w:rPr>
          <w:sz w:val="18"/>
        </w:rPr>
        <w:t>‘consider’</w:t>
      </w:r>
      <w:r>
        <w:rPr>
          <w:spacing w:val="-8"/>
          <w:sz w:val="18"/>
        </w:rPr>
        <w:t xml:space="preserve"> </w:t>
      </w:r>
      <w:r>
        <w:rPr>
          <w:sz w:val="18"/>
        </w:rPr>
        <w:t>including in the definition of ‘public authority’ bodies receiving public funding (and whose services have public benefit). The recommendation did not include bodies which are ‘controlled’ by public authorities.</w:t>
      </w:r>
    </w:p>
    <w:p w14:paraId="7CB26093" w14:textId="77777777" w:rsidR="008A4099" w:rsidRDefault="006A6EE2">
      <w:pPr>
        <w:spacing w:before="18"/>
        <w:ind w:left="160" w:right="674"/>
        <w:jc w:val="both"/>
        <w:rPr>
          <w:sz w:val="18"/>
        </w:rPr>
      </w:pPr>
      <w:r>
        <w:rPr>
          <w:sz w:val="18"/>
          <w:vertAlign w:val="superscript"/>
        </w:rPr>
        <w:t>345</w:t>
      </w:r>
      <w:r>
        <w:rPr>
          <w:spacing w:val="-6"/>
          <w:sz w:val="18"/>
        </w:rPr>
        <w:t xml:space="preserve"> </w:t>
      </w:r>
      <w:r>
        <w:rPr>
          <w:i/>
          <w:sz w:val="18"/>
        </w:rPr>
        <w:t>Human</w:t>
      </w:r>
      <w:r>
        <w:rPr>
          <w:i/>
          <w:spacing w:val="-5"/>
          <w:sz w:val="18"/>
        </w:rPr>
        <w:t xml:space="preserve"> </w:t>
      </w:r>
      <w:r>
        <w:rPr>
          <w:i/>
          <w:sz w:val="18"/>
        </w:rPr>
        <w:t>Rights</w:t>
      </w:r>
      <w:r>
        <w:rPr>
          <w:i/>
          <w:spacing w:val="-6"/>
          <w:sz w:val="18"/>
        </w:rPr>
        <w:t xml:space="preserve"> </w:t>
      </w:r>
      <w:r>
        <w:rPr>
          <w:i/>
          <w:sz w:val="18"/>
        </w:rPr>
        <w:t>Act</w:t>
      </w:r>
      <w:r>
        <w:rPr>
          <w:i/>
          <w:spacing w:val="-5"/>
          <w:sz w:val="18"/>
        </w:rPr>
        <w:t xml:space="preserve"> </w:t>
      </w:r>
      <w:r>
        <w:rPr>
          <w:i/>
          <w:sz w:val="18"/>
        </w:rPr>
        <w:t>2004</w:t>
      </w:r>
      <w:r>
        <w:rPr>
          <w:i/>
          <w:spacing w:val="-4"/>
          <w:sz w:val="18"/>
        </w:rPr>
        <w:t xml:space="preserve"> </w:t>
      </w:r>
      <w:r>
        <w:rPr>
          <w:sz w:val="18"/>
        </w:rPr>
        <w:t>(ACT)</w:t>
      </w:r>
      <w:r>
        <w:rPr>
          <w:spacing w:val="-6"/>
          <w:sz w:val="18"/>
        </w:rPr>
        <w:t xml:space="preserve"> </w:t>
      </w:r>
      <w:r>
        <w:rPr>
          <w:sz w:val="18"/>
        </w:rPr>
        <w:t>s</w:t>
      </w:r>
      <w:r>
        <w:rPr>
          <w:spacing w:val="-6"/>
          <w:sz w:val="18"/>
        </w:rPr>
        <w:t xml:space="preserve"> </w:t>
      </w:r>
      <w:r>
        <w:rPr>
          <w:sz w:val="18"/>
        </w:rPr>
        <w:t>40(g);</w:t>
      </w:r>
      <w:r>
        <w:rPr>
          <w:spacing w:val="-4"/>
          <w:sz w:val="18"/>
        </w:rPr>
        <w:t xml:space="preserve"> </w:t>
      </w:r>
      <w:r>
        <w:rPr>
          <w:i/>
          <w:sz w:val="18"/>
        </w:rPr>
        <w:t>Charter</w:t>
      </w:r>
      <w:r>
        <w:rPr>
          <w:i/>
          <w:spacing w:val="-6"/>
          <w:sz w:val="18"/>
        </w:rPr>
        <w:t xml:space="preserve"> </w:t>
      </w:r>
      <w:r>
        <w:rPr>
          <w:i/>
          <w:sz w:val="18"/>
        </w:rPr>
        <w:t>of</w:t>
      </w:r>
      <w:r>
        <w:rPr>
          <w:i/>
          <w:spacing w:val="-5"/>
          <w:sz w:val="18"/>
        </w:rPr>
        <w:t xml:space="preserve"> </w:t>
      </w:r>
      <w:r>
        <w:rPr>
          <w:i/>
          <w:sz w:val="18"/>
        </w:rPr>
        <w:t>Human</w:t>
      </w:r>
      <w:r>
        <w:rPr>
          <w:i/>
          <w:spacing w:val="-5"/>
          <w:sz w:val="18"/>
        </w:rPr>
        <w:t xml:space="preserve"> </w:t>
      </w:r>
      <w:r>
        <w:rPr>
          <w:i/>
          <w:sz w:val="18"/>
        </w:rPr>
        <w:t>Rights</w:t>
      </w:r>
      <w:r>
        <w:rPr>
          <w:i/>
          <w:spacing w:val="-6"/>
          <w:sz w:val="18"/>
        </w:rPr>
        <w:t xml:space="preserve"> </w:t>
      </w:r>
      <w:r>
        <w:rPr>
          <w:i/>
          <w:sz w:val="18"/>
        </w:rPr>
        <w:t>and</w:t>
      </w:r>
      <w:r>
        <w:rPr>
          <w:i/>
          <w:spacing w:val="-5"/>
          <w:sz w:val="18"/>
        </w:rPr>
        <w:t xml:space="preserve"> </w:t>
      </w:r>
      <w:r>
        <w:rPr>
          <w:i/>
          <w:sz w:val="18"/>
        </w:rPr>
        <w:t>Responsibilities</w:t>
      </w:r>
      <w:r>
        <w:rPr>
          <w:i/>
          <w:spacing w:val="-6"/>
          <w:sz w:val="18"/>
        </w:rPr>
        <w:t xml:space="preserve"> </w:t>
      </w:r>
      <w:r>
        <w:rPr>
          <w:i/>
          <w:sz w:val="18"/>
        </w:rPr>
        <w:t>Act</w:t>
      </w:r>
      <w:r>
        <w:rPr>
          <w:i/>
          <w:spacing w:val="-6"/>
          <w:sz w:val="18"/>
        </w:rPr>
        <w:t xml:space="preserve"> </w:t>
      </w:r>
      <w:r>
        <w:rPr>
          <w:i/>
          <w:sz w:val="18"/>
        </w:rPr>
        <w:t>2006</w:t>
      </w:r>
      <w:r>
        <w:rPr>
          <w:i/>
          <w:spacing w:val="-2"/>
          <w:sz w:val="18"/>
        </w:rPr>
        <w:t xml:space="preserve"> </w:t>
      </w:r>
      <w:r>
        <w:rPr>
          <w:sz w:val="18"/>
        </w:rPr>
        <w:t>(Vic)</w:t>
      </w:r>
      <w:r>
        <w:rPr>
          <w:spacing w:val="-6"/>
          <w:sz w:val="18"/>
        </w:rPr>
        <w:t xml:space="preserve"> </w:t>
      </w:r>
      <w:r>
        <w:rPr>
          <w:sz w:val="18"/>
        </w:rPr>
        <w:t>(‘Vic</w:t>
      </w:r>
      <w:r>
        <w:rPr>
          <w:spacing w:val="-6"/>
          <w:sz w:val="18"/>
        </w:rPr>
        <w:t xml:space="preserve"> </w:t>
      </w:r>
      <w:r>
        <w:rPr>
          <w:sz w:val="18"/>
        </w:rPr>
        <w:t>Human</w:t>
      </w:r>
      <w:r>
        <w:rPr>
          <w:spacing w:val="-5"/>
          <w:sz w:val="18"/>
        </w:rPr>
        <w:t xml:space="preserve"> </w:t>
      </w:r>
      <w:r>
        <w:rPr>
          <w:sz w:val="18"/>
        </w:rPr>
        <w:t xml:space="preserve">Rights Charter’) s 4(c); </w:t>
      </w:r>
      <w:r>
        <w:rPr>
          <w:i/>
          <w:sz w:val="18"/>
        </w:rPr>
        <w:t xml:space="preserve">Human Rights Act 2019 </w:t>
      </w:r>
      <w:r>
        <w:rPr>
          <w:sz w:val="18"/>
        </w:rPr>
        <w:t>(Qld) s</w:t>
      </w:r>
      <w:r>
        <w:rPr>
          <w:spacing w:val="-2"/>
          <w:sz w:val="18"/>
        </w:rPr>
        <w:t xml:space="preserve"> </w:t>
      </w:r>
      <w:r>
        <w:rPr>
          <w:sz w:val="18"/>
        </w:rPr>
        <w:t>10(h)</w:t>
      </w:r>
      <w:r>
        <w:rPr>
          <w:i/>
          <w:sz w:val="18"/>
        </w:rPr>
        <w:t xml:space="preserve">. </w:t>
      </w:r>
      <w:r>
        <w:rPr>
          <w:sz w:val="18"/>
        </w:rPr>
        <w:t>Queensland distinguishes between State agencies as ‘core public entities’ and ‘functional public entities’, which only fall within the definition of a public entity when they are performing functions</w:t>
      </w:r>
      <w:r>
        <w:rPr>
          <w:spacing w:val="-7"/>
          <w:sz w:val="18"/>
        </w:rPr>
        <w:t xml:space="preserve"> </w:t>
      </w:r>
      <w:r>
        <w:rPr>
          <w:sz w:val="18"/>
        </w:rPr>
        <w:t>of</w:t>
      </w:r>
      <w:r>
        <w:rPr>
          <w:spacing w:val="-4"/>
          <w:sz w:val="18"/>
        </w:rPr>
        <w:t xml:space="preserve"> </w:t>
      </w:r>
      <w:r>
        <w:rPr>
          <w:sz w:val="18"/>
        </w:rPr>
        <w:t>a</w:t>
      </w:r>
      <w:r>
        <w:rPr>
          <w:spacing w:val="-5"/>
          <w:sz w:val="18"/>
        </w:rPr>
        <w:t xml:space="preserve"> </w:t>
      </w:r>
      <w:r>
        <w:rPr>
          <w:sz w:val="18"/>
        </w:rPr>
        <w:t>public</w:t>
      </w:r>
      <w:r>
        <w:rPr>
          <w:spacing w:val="-5"/>
          <w:sz w:val="18"/>
        </w:rPr>
        <w:t xml:space="preserve"> </w:t>
      </w:r>
      <w:r>
        <w:rPr>
          <w:sz w:val="18"/>
        </w:rPr>
        <w:t>nature</w:t>
      </w:r>
      <w:r>
        <w:rPr>
          <w:spacing w:val="-7"/>
          <w:sz w:val="18"/>
        </w:rPr>
        <w:t xml:space="preserve"> </w:t>
      </w:r>
      <w:r>
        <w:rPr>
          <w:sz w:val="18"/>
        </w:rPr>
        <w:t>on</w:t>
      </w:r>
      <w:r>
        <w:rPr>
          <w:spacing w:val="-6"/>
          <w:sz w:val="18"/>
        </w:rPr>
        <w:t xml:space="preserve"> </w:t>
      </w:r>
      <w:r>
        <w:rPr>
          <w:sz w:val="18"/>
        </w:rPr>
        <w:t>behalf</w:t>
      </w:r>
      <w:r>
        <w:rPr>
          <w:spacing w:val="-4"/>
          <w:sz w:val="18"/>
        </w:rPr>
        <w:t xml:space="preserve"> </w:t>
      </w:r>
      <w:r>
        <w:rPr>
          <w:sz w:val="18"/>
        </w:rPr>
        <w:t>of</w:t>
      </w:r>
      <w:r>
        <w:rPr>
          <w:spacing w:val="-7"/>
          <w:sz w:val="18"/>
        </w:rPr>
        <w:t xml:space="preserve"> </w:t>
      </w:r>
      <w:r>
        <w:rPr>
          <w:sz w:val="18"/>
        </w:rPr>
        <w:t>the</w:t>
      </w:r>
      <w:r>
        <w:rPr>
          <w:spacing w:val="-5"/>
          <w:sz w:val="18"/>
        </w:rPr>
        <w:t xml:space="preserve"> </w:t>
      </w:r>
      <w:r>
        <w:rPr>
          <w:sz w:val="18"/>
        </w:rPr>
        <w:t>State.</w:t>
      </w:r>
      <w:r>
        <w:rPr>
          <w:spacing w:val="-3"/>
          <w:sz w:val="18"/>
        </w:rPr>
        <w:t xml:space="preserve"> </w:t>
      </w:r>
      <w:r>
        <w:rPr>
          <w:sz w:val="18"/>
        </w:rPr>
        <w:t>The</w:t>
      </w:r>
      <w:r>
        <w:rPr>
          <w:spacing w:val="-5"/>
          <w:sz w:val="18"/>
        </w:rPr>
        <w:t xml:space="preserve"> </w:t>
      </w:r>
      <w:r>
        <w:rPr>
          <w:i/>
          <w:sz w:val="18"/>
        </w:rPr>
        <w:t>Human</w:t>
      </w:r>
      <w:r>
        <w:rPr>
          <w:i/>
          <w:spacing w:val="-6"/>
          <w:sz w:val="18"/>
        </w:rPr>
        <w:t xml:space="preserve"> </w:t>
      </w:r>
      <w:r>
        <w:rPr>
          <w:i/>
          <w:sz w:val="18"/>
        </w:rPr>
        <w:t>Rights</w:t>
      </w:r>
      <w:r>
        <w:rPr>
          <w:i/>
          <w:spacing w:val="-4"/>
          <w:sz w:val="18"/>
        </w:rPr>
        <w:t xml:space="preserve"> </w:t>
      </w:r>
      <w:r>
        <w:rPr>
          <w:i/>
          <w:sz w:val="18"/>
        </w:rPr>
        <w:t>Act</w:t>
      </w:r>
      <w:r>
        <w:rPr>
          <w:i/>
          <w:spacing w:val="-4"/>
          <w:sz w:val="18"/>
        </w:rPr>
        <w:t xml:space="preserve"> </w:t>
      </w:r>
      <w:r>
        <w:rPr>
          <w:i/>
          <w:sz w:val="18"/>
        </w:rPr>
        <w:t>2019</w:t>
      </w:r>
      <w:r>
        <w:rPr>
          <w:i/>
          <w:spacing w:val="-2"/>
          <w:sz w:val="18"/>
        </w:rPr>
        <w:t xml:space="preserve"> </w:t>
      </w:r>
      <w:r>
        <w:rPr>
          <w:sz w:val="18"/>
        </w:rPr>
        <w:t>(Qld)</w:t>
      </w:r>
      <w:r>
        <w:rPr>
          <w:spacing w:val="-4"/>
          <w:sz w:val="18"/>
        </w:rPr>
        <w:t xml:space="preserve"> </w:t>
      </w:r>
      <w:r>
        <w:rPr>
          <w:sz w:val="18"/>
        </w:rPr>
        <w:t>also</w:t>
      </w:r>
      <w:r>
        <w:rPr>
          <w:spacing w:val="-3"/>
          <w:sz w:val="18"/>
        </w:rPr>
        <w:t xml:space="preserve"> </w:t>
      </w:r>
      <w:r>
        <w:rPr>
          <w:sz w:val="18"/>
        </w:rPr>
        <w:t>specifically</w:t>
      </w:r>
      <w:r>
        <w:rPr>
          <w:spacing w:val="-3"/>
          <w:sz w:val="18"/>
        </w:rPr>
        <w:t xml:space="preserve"> </w:t>
      </w:r>
      <w:r>
        <w:rPr>
          <w:sz w:val="18"/>
        </w:rPr>
        <w:t>confines</w:t>
      </w:r>
      <w:r>
        <w:rPr>
          <w:spacing w:val="-5"/>
          <w:sz w:val="18"/>
        </w:rPr>
        <w:t xml:space="preserve"> </w:t>
      </w:r>
      <w:r>
        <w:rPr>
          <w:sz w:val="18"/>
        </w:rPr>
        <w:t>‘public</w:t>
      </w:r>
      <w:r>
        <w:rPr>
          <w:spacing w:val="-5"/>
          <w:sz w:val="18"/>
        </w:rPr>
        <w:t xml:space="preserve"> </w:t>
      </w:r>
      <w:r>
        <w:rPr>
          <w:sz w:val="18"/>
        </w:rPr>
        <w:t>entity’ to an entity ‘in and for Queensland’, confirming that federal authorities will not be covered by the Act.</w:t>
      </w:r>
    </w:p>
    <w:p w14:paraId="7CB26094" w14:textId="77777777" w:rsidR="008A4099" w:rsidRDefault="006A6EE2">
      <w:pPr>
        <w:spacing w:before="22"/>
        <w:ind w:left="160"/>
        <w:rPr>
          <w:sz w:val="18"/>
        </w:rPr>
      </w:pPr>
      <w:r>
        <w:rPr>
          <w:sz w:val="18"/>
          <w:vertAlign w:val="superscript"/>
        </w:rPr>
        <w:t>346</w:t>
      </w:r>
      <w:r>
        <w:rPr>
          <w:sz w:val="18"/>
        </w:rPr>
        <w:t xml:space="preserve"> This</w:t>
      </w:r>
      <w:r>
        <w:rPr>
          <w:spacing w:val="1"/>
          <w:sz w:val="18"/>
        </w:rPr>
        <w:t xml:space="preserve"> </w:t>
      </w:r>
      <w:r>
        <w:rPr>
          <w:sz w:val="18"/>
        </w:rPr>
        <w:t>is</w:t>
      </w:r>
      <w:r>
        <w:rPr>
          <w:spacing w:val="-2"/>
          <w:sz w:val="18"/>
        </w:rPr>
        <w:t xml:space="preserve"> </w:t>
      </w:r>
      <w:r>
        <w:rPr>
          <w:sz w:val="18"/>
        </w:rPr>
        <w:t>the case</w:t>
      </w:r>
      <w:r>
        <w:rPr>
          <w:spacing w:val="-1"/>
          <w:sz w:val="18"/>
        </w:rPr>
        <w:t xml:space="preserve"> </w:t>
      </w:r>
      <w:r>
        <w:rPr>
          <w:sz w:val="18"/>
        </w:rPr>
        <w:t>in</w:t>
      </w:r>
      <w:r>
        <w:rPr>
          <w:spacing w:val="2"/>
          <w:sz w:val="18"/>
        </w:rPr>
        <w:t xml:space="preserve"> </w:t>
      </w:r>
      <w:r>
        <w:rPr>
          <w:sz w:val="18"/>
        </w:rPr>
        <w:t>Victoria,</w:t>
      </w:r>
      <w:r>
        <w:rPr>
          <w:spacing w:val="1"/>
          <w:sz w:val="18"/>
        </w:rPr>
        <w:t xml:space="preserve"> </w:t>
      </w:r>
      <w:r>
        <w:rPr>
          <w:sz w:val="18"/>
        </w:rPr>
        <w:t>the ACT,</w:t>
      </w:r>
      <w:r>
        <w:rPr>
          <w:spacing w:val="1"/>
          <w:sz w:val="18"/>
        </w:rPr>
        <w:t xml:space="preserve"> </w:t>
      </w:r>
      <w:r>
        <w:rPr>
          <w:sz w:val="18"/>
        </w:rPr>
        <w:t xml:space="preserve">and </w:t>
      </w:r>
      <w:r>
        <w:rPr>
          <w:spacing w:val="-2"/>
          <w:sz w:val="18"/>
        </w:rPr>
        <w:t>Queensland.</w:t>
      </w:r>
    </w:p>
    <w:p w14:paraId="7CB26095" w14:textId="77777777" w:rsidR="008A4099" w:rsidRDefault="006A6EE2">
      <w:pPr>
        <w:spacing w:before="23"/>
        <w:ind w:left="160"/>
        <w:rPr>
          <w:sz w:val="18"/>
        </w:rPr>
      </w:pPr>
      <w:r>
        <w:rPr>
          <w:sz w:val="18"/>
          <w:vertAlign w:val="superscript"/>
        </w:rPr>
        <w:t>347</w:t>
      </w:r>
      <w:r>
        <w:rPr>
          <w:sz w:val="18"/>
        </w:rPr>
        <w:t xml:space="preserve"> This</w:t>
      </w:r>
      <w:r>
        <w:rPr>
          <w:spacing w:val="1"/>
          <w:sz w:val="18"/>
        </w:rPr>
        <w:t xml:space="preserve"> </w:t>
      </w:r>
      <w:r>
        <w:rPr>
          <w:sz w:val="18"/>
        </w:rPr>
        <w:t>is</w:t>
      </w:r>
      <w:r>
        <w:rPr>
          <w:spacing w:val="-2"/>
          <w:sz w:val="18"/>
        </w:rPr>
        <w:t xml:space="preserve"> </w:t>
      </w:r>
      <w:r>
        <w:rPr>
          <w:sz w:val="18"/>
        </w:rPr>
        <w:t>the case</w:t>
      </w:r>
      <w:r>
        <w:rPr>
          <w:spacing w:val="-1"/>
          <w:sz w:val="18"/>
        </w:rPr>
        <w:t xml:space="preserve"> </w:t>
      </w:r>
      <w:r>
        <w:rPr>
          <w:sz w:val="18"/>
        </w:rPr>
        <w:t>in</w:t>
      </w:r>
      <w:r>
        <w:rPr>
          <w:spacing w:val="2"/>
          <w:sz w:val="18"/>
        </w:rPr>
        <w:t xml:space="preserve"> </w:t>
      </w:r>
      <w:r>
        <w:rPr>
          <w:sz w:val="18"/>
        </w:rPr>
        <w:t>Victoria,</w:t>
      </w:r>
      <w:r>
        <w:rPr>
          <w:spacing w:val="1"/>
          <w:sz w:val="18"/>
        </w:rPr>
        <w:t xml:space="preserve"> </w:t>
      </w:r>
      <w:r>
        <w:rPr>
          <w:sz w:val="18"/>
        </w:rPr>
        <w:t>the ACT,</w:t>
      </w:r>
      <w:r>
        <w:rPr>
          <w:spacing w:val="1"/>
          <w:sz w:val="18"/>
        </w:rPr>
        <w:t xml:space="preserve"> </w:t>
      </w:r>
      <w:r>
        <w:rPr>
          <w:sz w:val="18"/>
        </w:rPr>
        <w:t xml:space="preserve">and </w:t>
      </w:r>
      <w:r>
        <w:rPr>
          <w:spacing w:val="-2"/>
          <w:sz w:val="18"/>
        </w:rPr>
        <w:t>Queensland.</w:t>
      </w:r>
    </w:p>
    <w:p w14:paraId="7CB26096" w14:textId="77777777" w:rsidR="008A4099" w:rsidRDefault="006A6EE2">
      <w:pPr>
        <w:spacing w:before="24"/>
        <w:ind w:left="160"/>
        <w:rPr>
          <w:sz w:val="18"/>
        </w:rPr>
      </w:pPr>
      <w:r>
        <w:rPr>
          <w:sz w:val="18"/>
          <w:vertAlign w:val="superscript"/>
        </w:rPr>
        <w:t>348</w:t>
      </w:r>
      <w:r>
        <w:rPr>
          <w:spacing w:val="1"/>
          <w:sz w:val="18"/>
        </w:rPr>
        <w:t xml:space="preserve"> </w:t>
      </w:r>
      <w:r>
        <w:rPr>
          <w:sz w:val="18"/>
        </w:rPr>
        <w:t>This</w:t>
      </w:r>
      <w:r>
        <w:rPr>
          <w:spacing w:val="1"/>
          <w:sz w:val="18"/>
        </w:rPr>
        <w:t xml:space="preserve"> </w:t>
      </w:r>
      <w:r>
        <w:rPr>
          <w:sz w:val="18"/>
        </w:rPr>
        <w:t>is</w:t>
      </w:r>
      <w:r>
        <w:rPr>
          <w:spacing w:val="-2"/>
          <w:sz w:val="18"/>
        </w:rPr>
        <w:t xml:space="preserve"> </w:t>
      </w:r>
      <w:r>
        <w:rPr>
          <w:sz w:val="18"/>
        </w:rPr>
        <w:t>the case in</w:t>
      </w:r>
      <w:r>
        <w:rPr>
          <w:spacing w:val="3"/>
          <w:sz w:val="18"/>
        </w:rPr>
        <w:t xml:space="preserve"> </w:t>
      </w:r>
      <w:r>
        <w:rPr>
          <w:sz w:val="18"/>
        </w:rPr>
        <w:t>Victoria</w:t>
      </w:r>
      <w:r>
        <w:rPr>
          <w:spacing w:val="1"/>
          <w:sz w:val="18"/>
        </w:rPr>
        <w:t xml:space="preserve"> </w:t>
      </w:r>
      <w:r>
        <w:rPr>
          <w:sz w:val="18"/>
        </w:rPr>
        <w:t xml:space="preserve">and </w:t>
      </w:r>
      <w:r>
        <w:rPr>
          <w:spacing w:val="-2"/>
          <w:sz w:val="18"/>
        </w:rPr>
        <w:t>Queensland.</w:t>
      </w:r>
    </w:p>
    <w:p w14:paraId="7CB26097" w14:textId="77777777" w:rsidR="008A4099" w:rsidRDefault="006A6EE2">
      <w:pPr>
        <w:spacing w:before="23"/>
        <w:ind w:left="160"/>
        <w:rPr>
          <w:sz w:val="18"/>
        </w:rPr>
      </w:pPr>
      <w:r>
        <w:rPr>
          <w:sz w:val="18"/>
          <w:vertAlign w:val="superscript"/>
        </w:rPr>
        <w:t>349</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8.</w:t>
      </w:r>
    </w:p>
    <w:p w14:paraId="7CB26098" w14:textId="77777777" w:rsidR="008A4099" w:rsidRDefault="006A6EE2">
      <w:pPr>
        <w:spacing w:before="24"/>
        <w:ind w:left="160"/>
        <w:rPr>
          <w:sz w:val="18"/>
        </w:rPr>
      </w:pPr>
      <w:r>
        <w:rPr>
          <w:sz w:val="18"/>
          <w:vertAlign w:val="superscript"/>
        </w:rPr>
        <w:t>350</w:t>
      </w:r>
      <w:r>
        <w:rPr>
          <w:spacing w:val="-1"/>
          <w:sz w:val="18"/>
        </w:rPr>
        <w:t xml:space="preserve"> </w:t>
      </w:r>
      <w:r>
        <w:rPr>
          <w:i/>
          <w:sz w:val="18"/>
        </w:rPr>
        <w:t>Human</w:t>
      </w:r>
      <w:r>
        <w:rPr>
          <w:i/>
          <w:spacing w:val="-1"/>
          <w:sz w:val="18"/>
        </w:rPr>
        <w:t xml:space="preserve"> </w:t>
      </w:r>
      <w:r>
        <w:rPr>
          <w:i/>
          <w:sz w:val="18"/>
        </w:rPr>
        <w:t>Rights Act</w:t>
      </w:r>
      <w:r>
        <w:rPr>
          <w:i/>
          <w:spacing w:val="-1"/>
          <w:sz w:val="18"/>
        </w:rPr>
        <w:t xml:space="preserve"> </w:t>
      </w:r>
      <w:r>
        <w:rPr>
          <w:i/>
          <w:sz w:val="18"/>
        </w:rPr>
        <w:t>2004</w:t>
      </w:r>
      <w:r>
        <w:rPr>
          <w:i/>
          <w:spacing w:val="2"/>
          <w:sz w:val="18"/>
        </w:rPr>
        <w:t xml:space="preserve"> </w:t>
      </w:r>
      <w:r>
        <w:rPr>
          <w:sz w:val="18"/>
        </w:rPr>
        <w:t>(ACT) s</w:t>
      </w:r>
      <w:r>
        <w:rPr>
          <w:spacing w:val="-3"/>
          <w:sz w:val="18"/>
        </w:rPr>
        <w:t xml:space="preserve"> </w:t>
      </w:r>
      <w:r>
        <w:rPr>
          <w:sz w:val="18"/>
        </w:rPr>
        <w:t>40A(3);</w:t>
      </w:r>
      <w:r>
        <w:rPr>
          <w:spacing w:val="2"/>
          <w:sz w:val="18"/>
        </w:rPr>
        <w:t xml:space="preserve"> </w:t>
      </w:r>
      <w:r>
        <w:rPr>
          <w:i/>
          <w:sz w:val="18"/>
        </w:rPr>
        <w:t>Human</w:t>
      </w:r>
      <w:r>
        <w:rPr>
          <w:i/>
          <w:spacing w:val="1"/>
          <w:sz w:val="18"/>
        </w:rPr>
        <w:t xml:space="preserve"> </w:t>
      </w:r>
      <w:r>
        <w:rPr>
          <w:i/>
          <w:sz w:val="18"/>
        </w:rPr>
        <w:t>Rights Act</w:t>
      </w:r>
      <w:r>
        <w:rPr>
          <w:i/>
          <w:spacing w:val="-2"/>
          <w:sz w:val="18"/>
        </w:rPr>
        <w:t xml:space="preserve"> </w:t>
      </w:r>
      <w:r>
        <w:rPr>
          <w:i/>
          <w:sz w:val="18"/>
        </w:rPr>
        <w:t>2019</w:t>
      </w:r>
      <w:r>
        <w:rPr>
          <w:i/>
          <w:spacing w:val="3"/>
          <w:sz w:val="18"/>
        </w:rPr>
        <w:t xml:space="preserve"> </w:t>
      </w:r>
      <w:r>
        <w:rPr>
          <w:sz w:val="18"/>
        </w:rPr>
        <w:t xml:space="preserve">(Qld) s </w:t>
      </w:r>
      <w:r>
        <w:rPr>
          <w:spacing w:val="-2"/>
          <w:sz w:val="18"/>
        </w:rPr>
        <w:t>10(3).</w:t>
      </w:r>
    </w:p>
    <w:p w14:paraId="7CB26099" w14:textId="77777777" w:rsidR="008A4099" w:rsidRDefault="006A6EE2">
      <w:pPr>
        <w:spacing w:before="21"/>
        <w:ind w:left="160"/>
        <w:rPr>
          <w:sz w:val="18"/>
        </w:rPr>
      </w:pPr>
      <w:r>
        <w:rPr>
          <w:sz w:val="18"/>
          <w:vertAlign w:val="superscript"/>
        </w:rPr>
        <w:t>351</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8.</w:t>
      </w:r>
    </w:p>
    <w:p w14:paraId="7CB2609A" w14:textId="77777777" w:rsidR="008A4099" w:rsidRDefault="006A6EE2">
      <w:pPr>
        <w:spacing w:before="23"/>
        <w:ind w:left="160"/>
        <w:rPr>
          <w:sz w:val="18"/>
        </w:rPr>
      </w:pPr>
      <w:r>
        <w:rPr>
          <w:sz w:val="18"/>
          <w:vertAlign w:val="superscript"/>
        </w:rPr>
        <w:t>352</w:t>
      </w:r>
      <w:r>
        <w:rPr>
          <w:spacing w:val="1"/>
          <w:sz w:val="18"/>
        </w:rPr>
        <w:t xml:space="preserve"> </w:t>
      </w:r>
      <w:r>
        <w:rPr>
          <w:sz w:val="18"/>
        </w:rPr>
        <w:t>Vic</w:t>
      </w:r>
      <w:r>
        <w:rPr>
          <w:spacing w:val="1"/>
          <w:sz w:val="18"/>
        </w:rPr>
        <w:t xml:space="preserve"> </w:t>
      </w:r>
      <w:r>
        <w:rPr>
          <w:sz w:val="18"/>
        </w:rPr>
        <w:t>Human</w:t>
      </w:r>
      <w:r>
        <w:rPr>
          <w:spacing w:val="3"/>
          <w:sz w:val="18"/>
        </w:rPr>
        <w:t xml:space="preserve"> </w:t>
      </w:r>
      <w:r>
        <w:rPr>
          <w:sz w:val="18"/>
        </w:rPr>
        <w:t>Rights</w:t>
      </w:r>
      <w:r>
        <w:rPr>
          <w:spacing w:val="2"/>
          <w:sz w:val="18"/>
        </w:rPr>
        <w:t xml:space="preserve"> </w:t>
      </w:r>
      <w:r>
        <w:rPr>
          <w:sz w:val="18"/>
        </w:rPr>
        <w:t>Charter</w:t>
      </w:r>
      <w:r>
        <w:rPr>
          <w:spacing w:val="1"/>
          <w:sz w:val="18"/>
        </w:rPr>
        <w:t xml:space="preserve"> </w:t>
      </w:r>
      <w:r>
        <w:rPr>
          <w:sz w:val="18"/>
        </w:rPr>
        <w:t xml:space="preserve">s </w:t>
      </w:r>
      <w:r>
        <w:rPr>
          <w:spacing w:val="-5"/>
          <w:sz w:val="18"/>
        </w:rPr>
        <w:t>4.</w:t>
      </w:r>
    </w:p>
    <w:p w14:paraId="7CB2609B" w14:textId="77777777" w:rsidR="008A4099" w:rsidRDefault="006A6EE2">
      <w:pPr>
        <w:spacing w:before="23" w:line="242" w:lineRule="auto"/>
        <w:ind w:left="160" w:right="682"/>
        <w:jc w:val="both"/>
        <w:rPr>
          <w:sz w:val="18"/>
        </w:rPr>
      </w:pPr>
      <w:r>
        <w:rPr>
          <w:sz w:val="18"/>
          <w:vertAlign w:val="superscript"/>
        </w:rPr>
        <w:t>353</w:t>
      </w:r>
      <w:r>
        <w:rPr>
          <w:sz w:val="18"/>
        </w:rPr>
        <w:t xml:space="preserve"> Brett Young, </w:t>
      </w:r>
      <w:r>
        <w:rPr>
          <w:i/>
          <w:sz w:val="18"/>
        </w:rPr>
        <w:t>From Commitment to Culture</w:t>
      </w:r>
      <w:r>
        <w:rPr>
          <w:sz w:val="18"/>
        </w:rPr>
        <w:t>, Recommendation 12. The Review also recommended that all government contracts include terms that contracted service providers will have public authority obligations when performing particular functions under the contract, and that the Act be amended to enable this. The government agreed;</w:t>
      </w:r>
      <w:r>
        <w:rPr>
          <w:spacing w:val="-1"/>
          <w:sz w:val="18"/>
        </w:rPr>
        <w:t xml:space="preserve"> </w:t>
      </w:r>
      <w:r>
        <w:rPr>
          <w:sz w:val="18"/>
        </w:rPr>
        <w:t>no amendments have been made to date.</w:t>
      </w:r>
    </w:p>
    <w:p w14:paraId="7CB2609C" w14:textId="77777777" w:rsidR="008A4099" w:rsidRDefault="008A4099">
      <w:pPr>
        <w:spacing w:line="242" w:lineRule="auto"/>
        <w:jc w:val="both"/>
        <w:rPr>
          <w:sz w:val="18"/>
        </w:rPr>
        <w:sectPr w:rsidR="008A4099" w:rsidSect="00D43B2D">
          <w:headerReference w:type="even" r:id="rId132"/>
          <w:headerReference w:type="default" r:id="rId133"/>
          <w:footerReference w:type="even" r:id="rId134"/>
          <w:footerReference w:type="default" r:id="rId135"/>
          <w:pgSz w:w="11910" w:h="16840"/>
          <w:pgMar w:top="980" w:right="760" w:bottom="940" w:left="1280" w:header="718" w:footer="753" w:gutter="0"/>
          <w:pgNumType w:start="50"/>
          <w:cols w:space="720"/>
        </w:sectPr>
      </w:pPr>
    </w:p>
    <w:p w14:paraId="7CB2609D" w14:textId="77777777" w:rsidR="008A4099" w:rsidRDefault="008A4099">
      <w:pPr>
        <w:pStyle w:val="BodyText"/>
        <w:spacing w:before="194"/>
      </w:pPr>
    </w:p>
    <w:p w14:paraId="7CB2609E" w14:textId="77777777" w:rsidR="008A4099" w:rsidRDefault="006A6EE2">
      <w:pPr>
        <w:pStyle w:val="BodyText"/>
        <w:spacing w:line="242" w:lineRule="auto"/>
        <w:ind w:left="160" w:right="673"/>
        <w:jc w:val="both"/>
      </w:pPr>
      <w:r>
        <w:t>this recommendation, noting that any amendments would need to ‘ensure that the definition remains sufficiently flexible to reflect the variety of ways in which government services are delivered’.</w:t>
      </w:r>
      <w:r>
        <w:rPr>
          <w:position w:val="7"/>
          <w:sz w:val="13"/>
        </w:rPr>
        <w:t>354</w:t>
      </w:r>
      <w:r>
        <w:rPr>
          <w:spacing w:val="35"/>
          <w:position w:val="7"/>
          <w:sz w:val="13"/>
        </w:rPr>
        <w:t xml:space="preserve"> </w:t>
      </w:r>
      <w:r>
        <w:t>To date, no such amendments have been made.</w:t>
      </w:r>
    </w:p>
    <w:p w14:paraId="7CB2609F" w14:textId="77777777" w:rsidR="008A4099" w:rsidRDefault="006A6EE2">
      <w:pPr>
        <w:pStyle w:val="ListParagraph"/>
        <w:numPr>
          <w:ilvl w:val="2"/>
          <w:numId w:val="3"/>
        </w:numPr>
        <w:tabs>
          <w:tab w:val="left" w:pos="879"/>
        </w:tabs>
        <w:spacing w:before="214"/>
        <w:ind w:right="679" w:firstLine="0"/>
        <w:jc w:val="both"/>
        <w:rPr>
          <w:sz w:val="13"/>
        </w:rPr>
      </w:pPr>
      <w:r>
        <w:t>Members of Parliamentary Committees are also subject to the Victorian and Queensland Human Rights Acts when acting in an administrative capacity. Consistent with the TLRI’s 2007 recommendation, this approach should be replicated in Tasmania to ensure the conduct of Committee proceedings is in line with human rights principles.</w:t>
      </w:r>
      <w:r>
        <w:rPr>
          <w:position w:val="7"/>
          <w:sz w:val="13"/>
        </w:rPr>
        <w:t>355</w:t>
      </w:r>
    </w:p>
    <w:p w14:paraId="7CB260A0" w14:textId="77777777" w:rsidR="008A4099" w:rsidRDefault="006A6EE2">
      <w:pPr>
        <w:pStyle w:val="ListParagraph"/>
        <w:numPr>
          <w:ilvl w:val="2"/>
          <w:numId w:val="3"/>
        </w:numPr>
        <w:tabs>
          <w:tab w:val="left" w:pos="879"/>
        </w:tabs>
        <w:spacing w:before="215"/>
        <w:ind w:right="676" w:firstLine="0"/>
        <w:jc w:val="both"/>
      </w:pPr>
      <w:r>
        <w:t>The Queensland and ACT Human Rights Acts also explicitly allow entities that are not otherwise captured by the definition of ‘public entity’ or ‘public authority’ to elect to be characterised as</w:t>
      </w:r>
      <w:r>
        <w:rPr>
          <w:spacing w:val="-11"/>
        </w:rPr>
        <w:t xml:space="preserve"> </w:t>
      </w:r>
      <w:r>
        <w:t>such</w:t>
      </w:r>
      <w:r>
        <w:rPr>
          <w:spacing w:val="-12"/>
        </w:rPr>
        <w:t xml:space="preserve"> </w:t>
      </w:r>
      <w:r>
        <w:t>and</w:t>
      </w:r>
      <w:r>
        <w:rPr>
          <w:spacing w:val="-11"/>
        </w:rPr>
        <w:t xml:space="preserve"> </w:t>
      </w:r>
      <w:r>
        <w:t>thus</w:t>
      </w:r>
      <w:r>
        <w:rPr>
          <w:spacing w:val="-11"/>
        </w:rPr>
        <w:t xml:space="preserve"> </w:t>
      </w:r>
      <w:r>
        <w:t>subject</w:t>
      </w:r>
      <w:r>
        <w:rPr>
          <w:spacing w:val="-11"/>
        </w:rPr>
        <w:t xml:space="preserve"> </w:t>
      </w:r>
      <w:r>
        <w:t>to</w:t>
      </w:r>
      <w:r>
        <w:rPr>
          <w:spacing w:val="-12"/>
        </w:rPr>
        <w:t xml:space="preserve"> </w:t>
      </w:r>
      <w:r>
        <w:t>the</w:t>
      </w:r>
      <w:r>
        <w:rPr>
          <w:spacing w:val="-9"/>
        </w:rPr>
        <w:t xml:space="preserve"> </w:t>
      </w:r>
      <w:r>
        <w:t>Act.</w:t>
      </w:r>
      <w:r>
        <w:rPr>
          <w:position w:val="7"/>
          <w:sz w:val="13"/>
        </w:rPr>
        <w:t>356</w:t>
      </w:r>
      <w:r>
        <w:rPr>
          <w:spacing w:val="13"/>
          <w:position w:val="7"/>
          <w:sz w:val="13"/>
        </w:rPr>
        <w:t xml:space="preserve"> </w:t>
      </w:r>
      <w:r>
        <w:t>The</w:t>
      </w:r>
      <w:r>
        <w:rPr>
          <w:spacing w:val="-10"/>
        </w:rPr>
        <w:t xml:space="preserve"> </w:t>
      </w:r>
      <w:r>
        <w:t>Queensland</w:t>
      </w:r>
      <w:r>
        <w:rPr>
          <w:spacing w:val="-10"/>
        </w:rPr>
        <w:t xml:space="preserve"> </w:t>
      </w:r>
      <w:r>
        <w:t>Government</w:t>
      </w:r>
      <w:r>
        <w:rPr>
          <w:spacing w:val="-11"/>
        </w:rPr>
        <w:t xml:space="preserve"> </w:t>
      </w:r>
      <w:r>
        <w:t>describes</w:t>
      </w:r>
      <w:r>
        <w:rPr>
          <w:spacing w:val="-11"/>
        </w:rPr>
        <w:t xml:space="preserve"> </w:t>
      </w:r>
      <w:r>
        <w:t>the</w:t>
      </w:r>
      <w:r>
        <w:rPr>
          <w:spacing w:val="-12"/>
        </w:rPr>
        <w:t xml:space="preserve"> </w:t>
      </w:r>
      <w:r>
        <w:t>provisions</w:t>
      </w:r>
      <w:r>
        <w:rPr>
          <w:spacing w:val="-12"/>
        </w:rPr>
        <w:t xml:space="preserve"> </w:t>
      </w:r>
      <w:r>
        <w:t>as</w:t>
      </w:r>
      <w:r>
        <w:rPr>
          <w:spacing w:val="-11"/>
        </w:rPr>
        <w:t xml:space="preserve"> </w:t>
      </w:r>
      <w:r>
        <w:t>enabling entities</w:t>
      </w:r>
      <w:r>
        <w:rPr>
          <w:spacing w:val="-8"/>
        </w:rPr>
        <w:t xml:space="preserve"> </w:t>
      </w:r>
      <w:r>
        <w:t>‘to</w:t>
      </w:r>
      <w:r>
        <w:rPr>
          <w:spacing w:val="-6"/>
        </w:rPr>
        <w:t xml:space="preserve"> </w:t>
      </w:r>
      <w:r>
        <w:t>commit</w:t>
      </w:r>
      <w:r>
        <w:rPr>
          <w:spacing w:val="-5"/>
        </w:rPr>
        <w:t xml:space="preserve"> </w:t>
      </w:r>
      <w:r>
        <w:t>publicly</w:t>
      </w:r>
      <w:r>
        <w:rPr>
          <w:spacing w:val="-9"/>
        </w:rPr>
        <w:t xml:space="preserve"> </w:t>
      </w:r>
      <w:r>
        <w:t>and</w:t>
      </w:r>
      <w:r>
        <w:rPr>
          <w:spacing w:val="-6"/>
        </w:rPr>
        <w:t xml:space="preserve"> </w:t>
      </w:r>
      <w:r>
        <w:t>voluntarily</w:t>
      </w:r>
      <w:r>
        <w:rPr>
          <w:spacing w:val="-6"/>
        </w:rPr>
        <w:t xml:space="preserve"> </w:t>
      </w:r>
      <w:r>
        <w:t>to</w:t>
      </w:r>
      <w:r>
        <w:rPr>
          <w:spacing w:val="-6"/>
        </w:rPr>
        <w:t xml:space="preserve"> </w:t>
      </w:r>
      <w:r>
        <w:t>acting</w:t>
      </w:r>
      <w:r>
        <w:rPr>
          <w:spacing w:val="-9"/>
        </w:rPr>
        <w:t xml:space="preserve"> </w:t>
      </w:r>
      <w:r>
        <w:t>compatibly</w:t>
      </w:r>
      <w:r>
        <w:rPr>
          <w:spacing w:val="-6"/>
        </w:rPr>
        <w:t xml:space="preserve"> </w:t>
      </w:r>
      <w:r>
        <w:t>with</w:t>
      </w:r>
      <w:r>
        <w:rPr>
          <w:spacing w:val="-6"/>
        </w:rPr>
        <w:t xml:space="preserve"> </w:t>
      </w:r>
      <w:r>
        <w:t>human</w:t>
      </w:r>
      <w:r>
        <w:rPr>
          <w:spacing w:val="-8"/>
        </w:rPr>
        <w:t xml:space="preserve"> </w:t>
      </w:r>
      <w:r>
        <w:t>rights,</w:t>
      </w:r>
      <w:r>
        <w:rPr>
          <w:spacing w:val="-6"/>
        </w:rPr>
        <w:t xml:space="preserve"> </w:t>
      </w:r>
      <w:r>
        <w:t>contributing</w:t>
      </w:r>
      <w:r>
        <w:rPr>
          <w:spacing w:val="-6"/>
        </w:rPr>
        <w:t xml:space="preserve"> </w:t>
      </w:r>
      <w:r>
        <w:t>to</w:t>
      </w:r>
      <w:r>
        <w:rPr>
          <w:spacing w:val="-9"/>
        </w:rPr>
        <w:t xml:space="preserve"> </w:t>
      </w:r>
      <w:r>
        <w:t>the dialogue</w:t>
      </w:r>
      <w:r>
        <w:rPr>
          <w:spacing w:val="-14"/>
        </w:rPr>
        <w:t xml:space="preserve"> </w:t>
      </w:r>
      <w:r>
        <w:t>of</w:t>
      </w:r>
      <w:r>
        <w:rPr>
          <w:spacing w:val="-14"/>
        </w:rPr>
        <w:t xml:space="preserve"> </w:t>
      </w:r>
      <w:r>
        <w:t>corporate</w:t>
      </w:r>
      <w:r>
        <w:rPr>
          <w:spacing w:val="-14"/>
        </w:rPr>
        <w:t xml:space="preserve"> </w:t>
      </w:r>
      <w:r>
        <w:t>social</w:t>
      </w:r>
      <w:r>
        <w:rPr>
          <w:spacing w:val="-13"/>
        </w:rPr>
        <w:t xml:space="preserve"> </w:t>
      </w:r>
      <w:r>
        <w:t>responsibility</w:t>
      </w:r>
      <w:r>
        <w:rPr>
          <w:spacing w:val="-14"/>
        </w:rPr>
        <w:t xml:space="preserve"> </w:t>
      </w:r>
      <w:r>
        <w:t>and</w:t>
      </w:r>
      <w:r>
        <w:rPr>
          <w:spacing w:val="-14"/>
        </w:rPr>
        <w:t xml:space="preserve"> </w:t>
      </w:r>
      <w:r>
        <w:t>helping</w:t>
      </w:r>
      <w:r>
        <w:rPr>
          <w:spacing w:val="-14"/>
        </w:rPr>
        <w:t xml:space="preserve"> </w:t>
      </w:r>
      <w:r>
        <w:t>to</w:t>
      </w:r>
      <w:r>
        <w:rPr>
          <w:spacing w:val="-13"/>
        </w:rPr>
        <w:t xml:space="preserve"> </w:t>
      </w:r>
      <w:r>
        <w:t>build</w:t>
      </w:r>
      <w:r>
        <w:rPr>
          <w:spacing w:val="-14"/>
        </w:rPr>
        <w:t xml:space="preserve"> </w:t>
      </w:r>
      <w:r>
        <w:t>a</w:t>
      </w:r>
      <w:r>
        <w:rPr>
          <w:spacing w:val="-14"/>
        </w:rPr>
        <w:t xml:space="preserve"> </w:t>
      </w:r>
      <w:r>
        <w:t>human</w:t>
      </w:r>
      <w:r>
        <w:rPr>
          <w:spacing w:val="-14"/>
        </w:rPr>
        <w:t xml:space="preserve"> </w:t>
      </w:r>
      <w:r>
        <w:t>rights</w:t>
      </w:r>
      <w:r>
        <w:rPr>
          <w:spacing w:val="-13"/>
        </w:rPr>
        <w:t xml:space="preserve"> </w:t>
      </w:r>
      <w:r>
        <w:t>culture</w:t>
      </w:r>
      <w:r>
        <w:rPr>
          <w:spacing w:val="-14"/>
        </w:rPr>
        <w:t xml:space="preserve"> </w:t>
      </w:r>
      <w:r>
        <w:t>in</w:t>
      </w:r>
      <w:r>
        <w:rPr>
          <w:spacing w:val="-14"/>
        </w:rPr>
        <w:t xml:space="preserve"> </w:t>
      </w:r>
      <w:r>
        <w:t>Queensland’.</w:t>
      </w:r>
      <w:r>
        <w:rPr>
          <w:position w:val="7"/>
          <w:sz w:val="13"/>
        </w:rPr>
        <w:t>357</w:t>
      </w:r>
      <w:r>
        <w:rPr>
          <w:spacing w:val="40"/>
          <w:position w:val="7"/>
          <w:sz w:val="13"/>
        </w:rPr>
        <w:t xml:space="preserve"> </w:t>
      </w:r>
      <w:r>
        <w:t>To date, no entities have opted in as public entities.</w:t>
      </w:r>
    </w:p>
    <w:p w14:paraId="7CB260A1" w14:textId="77777777" w:rsidR="008A4099" w:rsidRDefault="006A6EE2">
      <w:pPr>
        <w:pStyle w:val="ListParagraph"/>
        <w:numPr>
          <w:ilvl w:val="2"/>
          <w:numId w:val="3"/>
        </w:numPr>
        <w:tabs>
          <w:tab w:val="left" w:pos="879"/>
        </w:tabs>
        <w:spacing w:before="219" w:line="237" w:lineRule="auto"/>
        <w:ind w:right="672" w:firstLine="0"/>
        <w:jc w:val="both"/>
      </w:pPr>
      <w:r>
        <w:t>The 2015 Review of the Vic Human Rights Charter recommended that Victoria adopt an opt- in provision.</w:t>
      </w:r>
      <w:r>
        <w:rPr>
          <w:position w:val="7"/>
          <w:sz w:val="13"/>
        </w:rPr>
        <w:t>358</w:t>
      </w:r>
      <w:r>
        <w:rPr>
          <w:spacing w:val="40"/>
          <w:position w:val="7"/>
          <w:sz w:val="13"/>
        </w:rPr>
        <w:t xml:space="preserve"> </w:t>
      </w:r>
      <w:r>
        <w:t>While the Victorian Government supported the recommendation,</w:t>
      </w:r>
      <w:r>
        <w:rPr>
          <w:position w:val="7"/>
          <w:sz w:val="13"/>
        </w:rPr>
        <w:t>359</w:t>
      </w:r>
      <w:r>
        <w:rPr>
          <w:spacing w:val="40"/>
          <w:position w:val="7"/>
          <w:sz w:val="13"/>
        </w:rPr>
        <w:t xml:space="preserve"> </w:t>
      </w:r>
      <w:r>
        <w:t xml:space="preserve">it is yet to be </w:t>
      </w:r>
      <w:r>
        <w:rPr>
          <w:spacing w:val="-2"/>
        </w:rPr>
        <w:t>implemented.</w:t>
      </w:r>
    </w:p>
    <w:p w14:paraId="7CB260A2" w14:textId="77777777" w:rsidR="008A4099" w:rsidRDefault="006A6EE2">
      <w:pPr>
        <w:pStyle w:val="ListParagraph"/>
        <w:numPr>
          <w:ilvl w:val="2"/>
          <w:numId w:val="3"/>
        </w:numPr>
        <w:tabs>
          <w:tab w:val="left" w:pos="879"/>
        </w:tabs>
        <w:spacing w:before="222"/>
        <w:ind w:right="675" w:firstLine="0"/>
        <w:jc w:val="both"/>
        <w:rPr>
          <w:sz w:val="13"/>
        </w:rPr>
      </w:pPr>
      <w:r>
        <w:t>The</w:t>
      </w:r>
      <w:r>
        <w:rPr>
          <w:spacing w:val="-2"/>
        </w:rPr>
        <w:t xml:space="preserve"> </w:t>
      </w:r>
      <w:r>
        <w:t>TLRI</w:t>
      </w:r>
      <w:r>
        <w:rPr>
          <w:spacing w:val="-4"/>
        </w:rPr>
        <w:t xml:space="preserve"> </w:t>
      </w:r>
      <w:r>
        <w:t>also</w:t>
      </w:r>
      <w:r>
        <w:rPr>
          <w:spacing w:val="-4"/>
        </w:rPr>
        <w:t xml:space="preserve"> </w:t>
      </w:r>
      <w:r>
        <w:t>recommended</w:t>
      </w:r>
      <w:r>
        <w:rPr>
          <w:spacing w:val="-2"/>
        </w:rPr>
        <w:t xml:space="preserve"> </w:t>
      </w:r>
      <w:r>
        <w:t>in</w:t>
      </w:r>
      <w:r>
        <w:rPr>
          <w:spacing w:val="-5"/>
        </w:rPr>
        <w:t xml:space="preserve"> </w:t>
      </w:r>
      <w:r>
        <w:t>the</w:t>
      </w:r>
      <w:r>
        <w:rPr>
          <w:spacing w:val="-2"/>
        </w:rPr>
        <w:t xml:space="preserve"> </w:t>
      </w:r>
      <w:r>
        <w:t>2007</w:t>
      </w:r>
      <w:r>
        <w:rPr>
          <w:spacing w:val="-4"/>
        </w:rPr>
        <w:t xml:space="preserve"> </w:t>
      </w:r>
      <w:r>
        <w:t>Final</w:t>
      </w:r>
      <w:r>
        <w:rPr>
          <w:spacing w:val="-1"/>
        </w:rPr>
        <w:t xml:space="preserve"> </w:t>
      </w:r>
      <w:r>
        <w:t>Report</w:t>
      </w:r>
      <w:r>
        <w:rPr>
          <w:spacing w:val="-4"/>
        </w:rPr>
        <w:t xml:space="preserve"> </w:t>
      </w:r>
      <w:r>
        <w:t>that</w:t>
      </w:r>
      <w:r>
        <w:rPr>
          <w:spacing w:val="-1"/>
        </w:rPr>
        <w:t xml:space="preserve"> </w:t>
      </w:r>
      <w:r>
        <w:t>the</w:t>
      </w:r>
      <w:r>
        <w:rPr>
          <w:spacing w:val="-4"/>
        </w:rPr>
        <w:t xml:space="preserve"> </w:t>
      </w:r>
      <w:r>
        <w:t>term</w:t>
      </w:r>
      <w:r>
        <w:rPr>
          <w:spacing w:val="-4"/>
        </w:rPr>
        <w:t xml:space="preserve"> </w:t>
      </w:r>
      <w:r>
        <w:t>‘public</w:t>
      </w:r>
      <w:r>
        <w:rPr>
          <w:spacing w:val="-2"/>
        </w:rPr>
        <w:t xml:space="preserve"> </w:t>
      </w:r>
      <w:r>
        <w:t>authority’</w:t>
      </w:r>
      <w:r>
        <w:rPr>
          <w:spacing w:val="-4"/>
        </w:rPr>
        <w:t xml:space="preserve"> </w:t>
      </w:r>
      <w:r>
        <w:t>initially exclude non-government schools and health services, but that subsequent reviews consider whether to extend</w:t>
      </w:r>
      <w:r>
        <w:rPr>
          <w:spacing w:val="-2"/>
        </w:rPr>
        <w:t xml:space="preserve"> </w:t>
      </w:r>
      <w:r>
        <w:t>the</w:t>
      </w:r>
      <w:r>
        <w:rPr>
          <w:spacing w:val="-2"/>
        </w:rPr>
        <w:t xml:space="preserve"> </w:t>
      </w:r>
      <w:r>
        <w:t>definition</w:t>
      </w:r>
      <w:r>
        <w:rPr>
          <w:spacing w:val="-2"/>
        </w:rPr>
        <w:t xml:space="preserve"> </w:t>
      </w:r>
      <w:r>
        <w:t>to</w:t>
      </w:r>
      <w:r>
        <w:rPr>
          <w:spacing w:val="-5"/>
        </w:rPr>
        <w:t xml:space="preserve"> </w:t>
      </w:r>
      <w:r>
        <w:t>include</w:t>
      </w:r>
      <w:r>
        <w:rPr>
          <w:spacing w:val="-2"/>
        </w:rPr>
        <w:t xml:space="preserve"> </w:t>
      </w:r>
      <w:r>
        <w:t>‘private</w:t>
      </w:r>
      <w:r>
        <w:rPr>
          <w:spacing w:val="-2"/>
        </w:rPr>
        <w:t xml:space="preserve"> </w:t>
      </w:r>
      <w:r>
        <w:t>businesses</w:t>
      </w:r>
      <w:r>
        <w:rPr>
          <w:spacing w:val="-2"/>
        </w:rPr>
        <w:t xml:space="preserve"> </w:t>
      </w:r>
      <w:r>
        <w:t>and</w:t>
      </w:r>
      <w:r>
        <w:rPr>
          <w:spacing w:val="-5"/>
        </w:rPr>
        <w:t xml:space="preserve"> </w:t>
      </w:r>
      <w:r>
        <w:t>enterprises</w:t>
      </w:r>
      <w:r>
        <w:rPr>
          <w:spacing w:val="-4"/>
        </w:rPr>
        <w:t xml:space="preserve"> </w:t>
      </w:r>
      <w:r>
        <w:t>that</w:t>
      </w:r>
      <w:r>
        <w:rPr>
          <w:spacing w:val="-1"/>
        </w:rPr>
        <w:t xml:space="preserve"> </w:t>
      </w:r>
      <w:r>
        <w:t>receive</w:t>
      </w:r>
      <w:r>
        <w:rPr>
          <w:spacing w:val="-4"/>
        </w:rPr>
        <w:t xml:space="preserve"> </w:t>
      </w:r>
      <w:r>
        <w:t>public</w:t>
      </w:r>
      <w:r>
        <w:rPr>
          <w:spacing w:val="-2"/>
        </w:rPr>
        <w:t xml:space="preserve"> </w:t>
      </w:r>
      <w:r>
        <w:t>funding</w:t>
      </w:r>
      <w:r>
        <w:rPr>
          <w:spacing w:val="-2"/>
        </w:rPr>
        <w:t xml:space="preserve"> </w:t>
      </w:r>
      <w:r>
        <w:t>and</w:t>
      </w:r>
      <w:r>
        <w:rPr>
          <w:spacing w:val="-4"/>
        </w:rPr>
        <w:t xml:space="preserve"> </w:t>
      </w:r>
      <w:r>
        <w:t>that carry</w:t>
      </w:r>
      <w:r>
        <w:rPr>
          <w:spacing w:val="-10"/>
        </w:rPr>
        <w:t xml:space="preserve"> </w:t>
      </w:r>
      <w:r>
        <w:t>out</w:t>
      </w:r>
      <w:r>
        <w:rPr>
          <w:spacing w:val="-9"/>
        </w:rPr>
        <w:t xml:space="preserve"> </w:t>
      </w:r>
      <w:r>
        <w:t>functions</w:t>
      </w:r>
      <w:r>
        <w:rPr>
          <w:spacing w:val="-9"/>
        </w:rPr>
        <w:t xml:space="preserve"> </w:t>
      </w:r>
      <w:r>
        <w:t>that</w:t>
      </w:r>
      <w:r>
        <w:rPr>
          <w:spacing w:val="-9"/>
        </w:rPr>
        <w:t xml:space="preserve"> </w:t>
      </w:r>
      <w:r>
        <w:t>have</w:t>
      </w:r>
      <w:r>
        <w:rPr>
          <w:spacing w:val="-9"/>
        </w:rPr>
        <w:t xml:space="preserve"> </w:t>
      </w:r>
      <w:r>
        <w:t>a</w:t>
      </w:r>
      <w:r>
        <w:rPr>
          <w:spacing w:val="-9"/>
        </w:rPr>
        <w:t xml:space="preserve"> </w:t>
      </w:r>
      <w:r>
        <w:t>public</w:t>
      </w:r>
      <w:r>
        <w:rPr>
          <w:spacing w:val="-9"/>
        </w:rPr>
        <w:t xml:space="preserve"> </w:t>
      </w:r>
      <w:r>
        <w:t>benefit’.</w:t>
      </w:r>
      <w:r>
        <w:rPr>
          <w:position w:val="7"/>
          <w:sz w:val="13"/>
        </w:rPr>
        <w:t>360</w:t>
      </w:r>
      <w:r>
        <w:rPr>
          <w:spacing w:val="13"/>
          <w:position w:val="7"/>
          <w:sz w:val="13"/>
        </w:rPr>
        <w:t xml:space="preserve"> </w:t>
      </w:r>
      <w:r>
        <w:t>This</w:t>
      </w:r>
      <w:r>
        <w:rPr>
          <w:spacing w:val="-9"/>
        </w:rPr>
        <w:t xml:space="preserve"> </w:t>
      </w:r>
      <w:r>
        <w:t>reflects</w:t>
      </w:r>
      <w:r>
        <w:rPr>
          <w:spacing w:val="-11"/>
        </w:rPr>
        <w:t xml:space="preserve"> </w:t>
      </w:r>
      <w:r>
        <w:t>the</w:t>
      </w:r>
      <w:r>
        <w:rPr>
          <w:spacing w:val="-9"/>
        </w:rPr>
        <w:t xml:space="preserve"> </w:t>
      </w:r>
      <w:r>
        <w:t>approach</w:t>
      </w:r>
      <w:r>
        <w:rPr>
          <w:spacing w:val="-9"/>
        </w:rPr>
        <w:t xml:space="preserve"> </w:t>
      </w:r>
      <w:r>
        <w:t>in</w:t>
      </w:r>
      <w:r>
        <w:rPr>
          <w:spacing w:val="-8"/>
        </w:rPr>
        <w:t xml:space="preserve"> </w:t>
      </w:r>
      <w:r>
        <w:t>Victoria,</w:t>
      </w:r>
      <w:r>
        <w:rPr>
          <w:spacing w:val="-9"/>
        </w:rPr>
        <w:t xml:space="preserve"> </w:t>
      </w:r>
      <w:r>
        <w:t>Queensland</w:t>
      </w:r>
      <w:r>
        <w:rPr>
          <w:spacing w:val="-9"/>
        </w:rPr>
        <w:t xml:space="preserve"> </w:t>
      </w:r>
      <w:r>
        <w:t>and the ACT, where non-government schools and health services are not public authorities.</w:t>
      </w:r>
      <w:r>
        <w:rPr>
          <w:position w:val="7"/>
          <w:sz w:val="13"/>
        </w:rPr>
        <w:t>361</w:t>
      </w:r>
    </w:p>
    <w:p w14:paraId="7CB260A3" w14:textId="77777777" w:rsidR="008A4099" w:rsidRDefault="006A6EE2">
      <w:pPr>
        <w:pStyle w:val="ListParagraph"/>
        <w:numPr>
          <w:ilvl w:val="2"/>
          <w:numId w:val="3"/>
        </w:numPr>
        <w:tabs>
          <w:tab w:val="left" w:pos="879"/>
        </w:tabs>
        <w:spacing w:before="215"/>
        <w:ind w:right="673" w:firstLine="0"/>
        <w:jc w:val="both"/>
        <w:rPr>
          <w:sz w:val="13"/>
        </w:rPr>
      </w:pPr>
      <w:r>
        <w:t>In addition, in Queensland and Victoria, the obligation of public authorities to act in way that is compatible with human rights and to make decisions giving proper consideration to human rights does not apply to public authorities if to act in that way or to make that decision ‘has the effect of impeding or preventing a religious body (including itself in the case of a public authority that is a religious</w:t>
      </w:r>
      <w:r>
        <w:rPr>
          <w:spacing w:val="-11"/>
        </w:rPr>
        <w:t xml:space="preserve"> </w:t>
      </w:r>
      <w:r>
        <w:t>body)</w:t>
      </w:r>
      <w:r>
        <w:rPr>
          <w:spacing w:val="-11"/>
        </w:rPr>
        <w:t xml:space="preserve"> </w:t>
      </w:r>
      <w:r>
        <w:t>from</w:t>
      </w:r>
      <w:r>
        <w:rPr>
          <w:spacing w:val="-11"/>
        </w:rPr>
        <w:t xml:space="preserve"> </w:t>
      </w:r>
      <w:r>
        <w:t>acting</w:t>
      </w:r>
      <w:r>
        <w:rPr>
          <w:spacing w:val="-12"/>
        </w:rPr>
        <w:t xml:space="preserve"> </w:t>
      </w:r>
      <w:r>
        <w:t>in</w:t>
      </w:r>
      <w:r>
        <w:rPr>
          <w:spacing w:val="-12"/>
        </w:rPr>
        <w:t xml:space="preserve"> </w:t>
      </w:r>
      <w:r>
        <w:t>conformity</w:t>
      </w:r>
      <w:r>
        <w:rPr>
          <w:spacing w:val="-12"/>
        </w:rPr>
        <w:t xml:space="preserve"> </w:t>
      </w:r>
      <w:r>
        <w:t>with</w:t>
      </w:r>
      <w:r>
        <w:rPr>
          <w:spacing w:val="-9"/>
        </w:rPr>
        <w:t xml:space="preserve"> </w:t>
      </w:r>
      <w:r>
        <w:t>…</w:t>
      </w:r>
      <w:r>
        <w:rPr>
          <w:spacing w:val="-12"/>
        </w:rPr>
        <w:t xml:space="preserve"> </w:t>
      </w:r>
      <w:r>
        <w:t>religious</w:t>
      </w:r>
      <w:r>
        <w:rPr>
          <w:spacing w:val="-11"/>
        </w:rPr>
        <w:t xml:space="preserve"> </w:t>
      </w:r>
      <w:r>
        <w:t>doctrines,</w:t>
      </w:r>
      <w:r>
        <w:rPr>
          <w:spacing w:val="-12"/>
        </w:rPr>
        <w:t xml:space="preserve"> </w:t>
      </w:r>
      <w:r>
        <w:t>beliefs</w:t>
      </w:r>
      <w:r>
        <w:rPr>
          <w:spacing w:val="-11"/>
        </w:rPr>
        <w:t xml:space="preserve"> </w:t>
      </w:r>
      <w:r>
        <w:t>or</w:t>
      </w:r>
      <w:r>
        <w:rPr>
          <w:spacing w:val="-11"/>
        </w:rPr>
        <w:t xml:space="preserve"> </w:t>
      </w:r>
      <w:r>
        <w:t>principles’.</w:t>
      </w:r>
      <w:r>
        <w:rPr>
          <w:position w:val="7"/>
          <w:sz w:val="13"/>
        </w:rPr>
        <w:t>362</w:t>
      </w:r>
      <w:r>
        <w:rPr>
          <w:spacing w:val="11"/>
          <w:position w:val="7"/>
          <w:sz w:val="13"/>
        </w:rPr>
        <w:t xml:space="preserve"> </w:t>
      </w:r>
      <w:r>
        <w:t>The</w:t>
      </w:r>
      <w:r>
        <w:rPr>
          <w:spacing w:val="-12"/>
        </w:rPr>
        <w:t xml:space="preserve"> </w:t>
      </w:r>
      <w:r>
        <w:t>2015 Review</w:t>
      </w:r>
      <w:r>
        <w:rPr>
          <w:spacing w:val="-2"/>
        </w:rPr>
        <w:t xml:space="preserve"> </w:t>
      </w:r>
      <w:r>
        <w:t>recommended</w:t>
      </w:r>
      <w:r>
        <w:rPr>
          <w:spacing w:val="-2"/>
        </w:rPr>
        <w:t xml:space="preserve"> </w:t>
      </w:r>
      <w:r>
        <w:t>that</w:t>
      </w:r>
      <w:r>
        <w:rPr>
          <w:spacing w:val="-3"/>
        </w:rPr>
        <w:t xml:space="preserve"> </w:t>
      </w:r>
      <w:r>
        <w:t>the Victorian</w:t>
      </w:r>
      <w:r>
        <w:rPr>
          <w:spacing w:val="-2"/>
        </w:rPr>
        <w:t xml:space="preserve"> </w:t>
      </w:r>
      <w:r>
        <w:t>Government</w:t>
      </w:r>
      <w:r>
        <w:rPr>
          <w:spacing w:val="-3"/>
        </w:rPr>
        <w:t xml:space="preserve"> </w:t>
      </w:r>
      <w:r>
        <w:t>give</w:t>
      </w:r>
      <w:r>
        <w:rPr>
          <w:spacing w:val="-2"/>
        </w:rPr>
        <w:t xml:space="preserve"> </w:t>
      </w:r>
      <w:r>
        <w:t>consideration</w:t>
      </w:r>
      <w:r>
        <w:rPr>
          <w:spacing w:val="-2"/>
        </w:rPr>
        <w:t xml:space="preserve"> </w:t>
      </w:r>
      <w:r>
        <w:t>to</w:t>
      </w:r>
      <w:r>
        <w:rPr>
          <w:spacing w:val="-2"/>
        </w:rPr>
        <w:t xml:space="preserve"> </w:t>
      </w:r>
      <w:r>
        <w:t>this</w:t>
      </w:r>
      <w:r>
        <w:rPr>
          <w:spacing w:val="-2"/>
        </w:rPr>
        <w:t xml:space="preserve"> </w:t>
      </w:r>
      <w:r>
        <w:t>exemption as part of</w:t>
      </w:r>
      <w:r>
        <w:rPr>
          <w:spacing w:val="-2"/>
        </w:rPr>
        <w:t xml:space="preserve"> </w:t>
      </w:r>
      <w:r>
        <w:t>a broader review of religious exemptions and equality measures in other Victorian laws to ensure that a consistent approach is applied.</w:t>
      </w:r>
      <w:r>
        <w:rPr>
          <w:position w:val="7"/>
          <w:sz w:val="13"/>
        </w:rPr>
        <w:t>363</w:t>
      </w:r>
      <w:r>
        <w:rPr>
          <w:spacing w:val="39"/>
          <w:position w:val="7"/>
          <w:sz w:val="13"/>
        </w:rPr>
        <w:t xml:space="preserve"> </w:t>
      </w:r>
      <w:r>
        <w:t xml:space="preserve">There have been subsequent reforms to the </w:t>
      </w:r>
      <w:r>
        <w:rPr>
          <w:i/>
        </w:rPr>
        <w:t xml:space="preserve">Equal Opportunity Act 2010 </w:t>
      </w:r>
      <w:r>
        <w:t xml:space="preserve">(Vic) but no changes to the </w:t>
      </w:r>
      <w:r>
        <w:rPr>
          <w:i/>
        </w:rPr>
        <w:t>Charter of Human Rights Act</w:t>
      </w:r>
      <w:r>
        <w:t>.</w:t>
      </w:r>
      <w:r>
        <w:rPr>
          <w:position w:val="7"/>
          <w:sz w:val="13"/>
        </w:rPr>
        <w:t>364</w:t>
      </w:r>
    </w:p>
    <w:p w14:paraId="7CB260A4" w14:textId="77777777" w:rsidR="008A4099" w:rsidRDefault="008A4099">
      <w:pPr>
        <w:pStyle w:val="BodyText"/>
        <w:rPr>
          <w:sz w:val="20"/>
        </w:rPr>
      </w:pPr>
    </w:p>
    <w:p w14:paraId="7CB260A5" w14:textId="77777777" w:rsidR="008A4099" w:rsidRDefault="008A4099">
      <w:pPr>
        <w:pStyle w:val="BodyText"/>
        <w:rPr>
          <w:sz w:val="20"/>
        </w:rPr>
      </w:pPr>
    </w:p>
    <w:p w14:paraId="7CB260A6" w14:textId="77777777" w:rsidR="008A4099" w:rsidRDefault="006A6EE2">
      <w:pPr>
        <w:pStyle w:val="BodyText"/>
        <w:spacing w:before="188"/>
        <w:rPr>
          <w:sz w:val="20"/>
        </w:rPr>
      </w:pPr>
      <w:r>
        <w:rPr>
          <w:noProof/>
        </w:rPr>
        <mc:AlternateContent>
          <mc:Choice Requires="wps">
            <w:drawing>
              <wp:anchor distT="0" distB="0" distL="0" distR="0" simplePos="0" relativeHeight="487617024" behindDoc="1" locked="0" layoutInCell="1" allowOverlap="1" wp14:anchorId="7CB2664B" wp14:editId="7CB2664C">
                <wp:simplePos x="0" y="0"/>
                <wp:positionH relativeFrom="page">
                  <wp:posOffset>914704</wp:posOffset>
                </wp:positionH>
                <wp:positionV relativeFrom="paragraph">
                  <wp:posOffset>281270</wp:posOffset>
                </wp:positionV>
                <wp:extent cx="1829435" cy="762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B892D7" id="Graphic 105" o:spid="_x0000_s1026" style="position:absolute;margin-left:1in;margin-top:22.15pt;width:144.05pt;height:.6pt;z-index:-156994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" path="m1829054,l,,,7619r1829054,l1829054,xe" fillcolor="black" stroked="f">
                <v:path arrowok="t"/>
                <w10:wrap type="topAndBottom" anchorx="page"/>
              </v:shape>
            </w:pict>
          </mc:Fallback>
        </mc:AlternateContent>
      </w:r>
    </w:p>
    <w:p w14:paraId="7CB260A7" w14:textId="77777777" w:rsidR="008A4099" w:rsidRDefault="006A6EE2">
      <w:pPr>
        <w:spacing w:before="89"/>
        <w:ind w:left="160" w:right="680"/>
        <w:rPr>
          <w:sz w:val="18"/>
        </w:rPr>
      </w:pPr>
      <w:r>
        <w:rPr>
          <w:position w:val="6"/>
          <w:sz w:val="12"/>
        </w:rPr>
        <w:t>354</w:t>
      </w:r>
      <w:r>
        <w:rPr>
          <w:spacing w:val="8"/>
          <w:position w:val="6"/>
          <w:sz w:val="12"/>
        </w:rPr>
        <w:t xml:space="preserve"> </w:t>
      </w:r>
      <w:r>
        <w:rPr>
          <w:sz w:val="18"/>
        </w:rPr>
        <w:t>See</w:t>
      </w:r>
      <w:r>
        <w:rPr>
          <w:spacing w:val="-7"/>
          <w:sz w:val="18"/>
        </w:rPr>
        <w:t xml:space="preserve"> </w:t>
      </w:r>
      <w:r>
        <w:rPr>
          <w:sz w:val="18"/>
        </w:rPr>
        <w:t>Victorian</w:t>
      </w:r>
      <w:r>
        <w:rPr>
          <w:spacing w:val="-6"/>
          <w:sz w:val="18"/>
        </w:rPr>
        <w:t xml:space="preserve"> </w:t>
      </w:r>
      <w:r>
        <w:rPr>
          <w:sz w:val="18"/>
        </w:rPr>
        <w:t>Government,</w:t>
      </w:r>
      <w:r>
        <w:rPr>
          <w:spacing w:val="-5"/>
          <w:sz w:val="18"/>
        </w:rPr>
        <w:t xml:space="preserve"> </w:t>
      </w:r>
      <w:r>
        <w:rPr>
          <w:i/>
          <w:sz w:val="18"/>
        </w:rPr>
        <w:t>Government</w:t>
      </w:r>
      <w:r>
        <w:rPr>
          <w:i/>
          <w:spacing w:val="-6"/>
          <w:sz w:val="18"/>
        </w:rPr>
        <w:t xml:space="preserve"> </w:t>
      </w:r>
      <w:r>
        <w:rPr>
          <w:i/>
          <w:sz w:val="18"/>
        </w:rPr>
        <w:t>Response</w:t>
      </w:r>
      <w:r>
        <w:rPr>
          <w:i/>
          <w:spacing w:val="-8"/>
          <w:sz w:val="18"/>
        </w:rPr>
        <w:t xml:space="preserve"> </w:t>
      </w:r>
      <w:r>
        <w:rPr>
          <w:i/>
          <w:sz w:val="18"/>
        </w:rPr>
        <w:t>to</w:t>
      </w:r>
      <w:r>
        <w:rPr>
          <w:i/>
          <w:spacing w:val="-8"/>
          <w:sz w:val="18"/>
        </w:rPr>
        <w:t xml:space="preserve"> </w:t>
      </w:r>
      <w:r>
        <w:rPr>
          <w:i/>
          <w:sz w:val="18"/>
        </w:rPr>
        <w:t>the</w:t>
      </w:r>
      <w:r>
        <w:rPr>
          <w:i/>
          <w:spacing w:val="-10"/>
          <w:sz w:val="18"/>
        </w:rPr>
        <w:t xml:space="preserve"> </w:t>
      </w:r>
      <w:r>
        <w:rPr>
          <w:i/>
          <w:sz w:val="18"/>
        </w:rPr>
        <w:t>2015</w:t>
      </w:r>
      <w:r>
        <w:rPr>
          <w:i/>
          <w:spacing w:val="-8"/>
          <w:sz w:val="18"/>
        </w:rPr>
        <w:t xml:space="preserve"> </w:t>
      </w:r>
      <w:r>
        <w:rPr>
          <w:i/>
          <w:sz w:val="18"/>
        </w:rPr>
        <w:t>Review</w:t>
      </w:r>
      <w:r>
        <w:rPr>
          <w:i/>
          <w:spacing w:val="-7"/>
          <w:sz w:val="18"/>
        </w:rPr>
        <w:t xml:space="preserve"> </w:t>
      </w:r>
      <w:r>
        <w:rPr>
          <w:i/>
          <w:sz w:val="18"/>
        </w:rPr>
        <w:t>of</w:t>
      </w:r>
      <w:r>
        <w:rPr>
          <w:i/>
          <w:spacing w:val="-6"/>
          <w:sz w:val="18"/>
        </w:rPr>
        <w:t xml:space="preserve"> </w:t>
      </w:r>
      <w:r>
        <w:rPr>
          <w:i/>
          <w:sz w:val="18"/>
        </w:rPr>
        <w:t>the</w:t>
      </w:r>
      <w:r>
        <w:rPr>
          <w:i/>
          <w:spacing w:val="-7"/>
          <w:sz w:val="18"/>
        </w:rPr>
        <w:t xml:space="preserve"> </w:t>
      </w:r>
      <w:r>
        <w:rPr>
          <w:i/>
          <w:sz w:val="18"/>
        </w:rPr>
        <w:t>Charter</w:t>
      </w:r>
      <w:r>
        <w:rPr>
          <w:i/>
          <w:spacing w:val="-10"/>
          <w:sz w:val="18"/>
        </w:rPr>
        <w:t xml:space="preserve"> </w:t>
      </w:r>
      <w:r>
        <w:rPr>
          <w:i/>
          <w:sz w:val="18"/>
        </w:rPr>
        <w:t>of</w:t>
      </w:r>
      <w:r>
        <w:rPr>
          <w:i/>
          <w:spacing w:val="-6"/>
          <w:sz w:val="18"/>
        </w:rPr>
        <w:t xml:space="preserve"> </w:t>
      </w:r>
      <w:r>
        <w:rPr>
          <w:i/>
          <w:sz w:val="18"/>
        </w:rPr>
        <w:t>Human</w:t>
      </w:r>
      <w:r>
        <w:rPr>
          <w:i/>
          <w:spacing w:val="-8"/>
          <w:sz w:val="18"/>
        </w:rPr>
        <w:t xml:space="preserve"> </w:t>
      </w:r>
      <w:r>
        <w:rPr>
          <w:i/>
          <w:sz w:val="18"/>
        </w:rPr>
        <w:t>Rights</w:t>
      </w:r>
      <w:r>
        <w:rPr>
          <w:i/>
          <w:spacing w:val="-7"/>
          <w:sz w:val="18"/>
        </w:rPr>
        <w:t xml:space="preserve"> </w:t>
      </w:r>
      <w:r>
        <w:rPr>
          <w:i/>
          <w:sz w:val="18"/>
        </w:rPr>
        <w:t>and</w:t>
      </w:r>
      <w:r>
        <w:rPr>
          <w:i/>
          <w:spacing w:val="-6"/>
          <w:sz w:val="18"/>
        </w:rPr>
        <w:t xml:space="preserve"> </w:t>
      </w:r>
      <w:r>
        <w:rPr>
          <w:i/>
          <w:sz w:val="18"/>
        </w:rPr>
        <w:t xml:space="preserve">Responsibilities Act </w:t>
      </w:r>
      <w:r>
        <w:rPr>
          <w:sz w:val="18"/>
        </w:rPr>
        <w:t>(2016)</w:t>
      </w:r>
    </w:p>
    <w:p w14:paraId="7CB260A8" w14:textId="77777777" w:rsidR="008A4099" w:rsidRDefault="006A6EE2">
      <w:pPr>
        <w:spacing w:before="2"/>
        <w:ind w:left="160"/>
        <w:rPr>
          <w:sz w:val="18"/>
        </w:rPr>
      </w:pPr>
      <w:r>
        <w:rPr>
          <w:spacing w:val="-2"/>
          <w:sz w:val="18"/>
        </w:rPr>
        <w:t>&lt;</w:t>
      </w:r>
      <w:hyperlink r:id="rId136">
        <w:r>
          <w:rPr>
            <w:spacing w:val="-2"/>
            <w:sz w:val="18"/>
          </w:rPr>
          <w:t>https://static1.squarespace.com/static/5b7e1a0be2ccd10a603592f6/t/62eb12f8b0c0ae524d1867d2/1659572985972/Govern</w:t>
        </w:r>
      </w:hyperlink>
      <w:r>
        <w:rPr>
          <w:spacing w:val="-2"/>
          <w:sz w:val="18"/>
        </w:rPr>
        <w:t xml:space="preserve"> </w:t>
      </w:r>
      <w:hyperlink r:id="rId137">
        <w:r>
          <w:rPr>
            <w:spacing w:val="-2"/>
            <w:sz w:val="18"/>
          </w:rPr>
          <w:t>ment+response+to+the+2015+review+of+the+Charter+of+Human+Rights+and+Responsibilities+Act+_+Department+of+Ju</w:t>
        </w:r>
      </w:hyperlink>
      <w:r>
        <w:rPr>
          <w:spacing w:val="-2"/>
          <w:sz w:val="18"/>
        </w:rPr>
        <w:t xml:space="preserve"> </w:t>
      </w:r>
      <w:hyperlink r:id="rId138">
        <w:r>
          <w:rPr>
            <w:spacing w:val="-2"/>
            <w:sz w:val="18"/>
          </w:rPr>
          <w:t>stice+and+Community+Safety+Victoria&gt;.</w:t>
        </w:r>
      </w:hyperlink>
    </w:p>
    <w:p w14:paraId="7CB260A9" w14:textId="77777777" w:rsidR="008A4099" w:rsidRDefault="006A6EE2">
      <w:pPr>
        <w:spacing w:before="18"/>
        <w:ind w:left="160"/>
        <w:rPr>
          <w:sz w:val="18"/>
        </w:rPr>
      </w:pPr>
      <w:r>
        <w:rPr>
          <w:sz w:val="18"/>
          <w:vertAlign w:val="superscript"/>
        </w:rPr>
        <w:t>355</w:t>
      </w:r>
      <w:r>
        <w:rPr>
          <w:sz w:val="18"/>
        </w:rPr>
        <w:t xml:space="preserve"> Vic</w:t>
      </w:r>
      <w:r>
        <w:rPr>
          <w:spacing w:val="-1"/>
          <w:sz w:val="18"/>
        </w:rPr>
        <w:t xml:space="preserve"> </w:t>
      </w:r>
      <w:r>
        <w:rPr>
          <w:sz w:val="18"/>
        </w:rPr>
        <w:t>Human</w:t>
      </w:r>
      <w:r>
        <w:rPr>
          <w:spacing w:val="1"/>
          <w:sz w:val="18"/>
        </w:rPr>
        <w:t xml:space="preserve"> </w:t>
      </w:r>
      <w:r>
        <w:rPr>
          <w:sz w:val="18"/>
        </w:rPr>
        <w:t>Rights Charter s</w:t>
      </w:r>
      <w:r>
        <w:rPr>
          <w:spacing w:val="-2"/>
          <w:sz w:val="18"/>
        </w:rPr>
        <w:t xml:space="preserve"> </w:t>
      </w:r>
      <w:r>
        <w:rPr>
          <w:sz w:val="18"/>
        </w:rPr>
        <w:t>4(1)(g);</w:t>
      </w:r>
      <w:r>
        <w:rPr>
          <w:spacing w:val="3"/>
          <w:sz w:val="18"/>
        </w:rPr>
        <w:t xml:space="preserve"> </w:t>
      </w:r>
      <w:r>
        <w:rPr>
          <w:i/>
          <w:sz w:val="18"/>
        </w:rPr>
        <w:t>Human</w:t>
      </w:r>
      <w:r>
        <w:rPr>
          <w:i/>
          <w:spacing w:val="-1"/>
          <w:sz w:val="18"/>
        </w:rPr>
        <w:t xml:space="preserve"> </w:t>
      </w:r>
      <w:r>
        <w:rPr>
          <w:i/>
          <w:sz w:val="18"/>
        </w:rPr>
        <w:t>Rights</w:t>
      </w:r>
      <w:r>
        <w:rPr>
          <w:i/>
          <w:spacing w:val="1"/>
          <w:sz w:val="18"/>
        </w:rPr>
        <w:t xml:space="preserve"> </w:t>
      </w:r>
      <w:r>
        <w:rPr>
          <w:i/>
          <w:sz w:val="18"/>
        </w:rPr>
        <w:t>Act</w:t>
      </w:r>
      <w:r>
        <w:rPr>
          <w:i/>
          <w:spacing w:val="-2"/>
          <w:sz w:val="18"/>
        </w:rPr>
        <w:t xml:space="preserve"> </w:t>
      </w:r>
      <w:r>
        <w:rPr>
          <w:i/>
          <w:sz w:val="18"/>
        </w:rPr>
        <w:t>2019</w:t>
      </w:r>
      <w:r>
        <w:rPr>
          <w:i/>
          <w:spacing w:val="3"/>
          <w:sz w:val="18"/>
        </w:rPr>
        <w:t xml:space="preserve"> </w:t>
      </w:r>
      <w:r>
        <w:rPr>
          <w:sz w:val="18"/>
        </w:rPr>
        <w:t xml:space="preserve">(Qld) s </w:t>
      </w:r>
      <w:r>
        <w:rPr>
          <w:spacing w:val="-2"/>
          <w:sz w:val="18"/>
        </w:rPr>
        <w:t>9(1)(g).</w:t>
      </w:r>
    </w:p>
    <w:p w14:paraId="7CB260AA" w14:textId="77777777" w:rsidR="008A4099" w:rsidRDefault="006A6EE2">
      <w:pPr>
        <w:spacing w:before="23" w:line="244" w:lineRule="auto"/>
        <w:ind w:left="160" w:right="679"/>
        <w:rPr>
          <w:sz w:val="18"/>
        </w:rPr>
      </w:pPr>
      <w:r>
        <w:rPr>
          <w:sz w:val="18"/>
          <w:vertAlign w:val="superscript"/>
        </w:rPr>
        <w:t>356</w:t>
      </w:r>
      <w:r>
        <w:rPr>
          <w:spacing w:val="-3"/>
          <w:sz w:val="18"/>
        </w:rPr>
        <w:t xml:space="preserve"> </w:t>
      </w:r>
      <w:r>
        <w:rPr>
          <w:i/>
          <w:sz w:val="18"/>
        </w:rPr>
        <w:t>Human</w:t>
      </w:r>
      <w:r>
        <w:rPr>
          <w:i/>
          <w:spacing w:val="-5"/>
          <w:sz w:val="18"/>
        </w:rPr>
        <w:t xml:space="preserve"> </w:t>
      </w:r>
      <w:r>
        <w:rPr>
          <w:i/>
          <w:sz w:val="18"/>
        </w:rPr>
        <w:t>Rights</w:t>
      </w:r>
      <w:r>
        <w:rPr>
          <w:i/>
          <w:spacing w:val="-3"/>
          <w:sz w:val="18"/>
        </w:rPr>
        <w:t xml:space="preserve"> </w:t>
      </w:r>
      <w:r>
        <w:rPr>
          <w:i/>
          <w:sz w:val="18"/>
        </w:rPr>
        <w:t>Act</w:t>
      </w:r>
      <w:r>
        <w:rPr>
          <w:i/>
          <w:spacing w:val="-6"/>
          <w:sz w:val="18"/>
        </w:rPr>
        <w:t xml:space="preserve"> </w:t>
      </w:r>
      <w:r>
        <w:rPr>
          <w:i/>
          <w:sz w:val="18"/>
        </w:rPr>
        <w:t>2019</w:t>
      </w:r>
      <w:r>
        <w:rPr>
          <w:i/>
          <w:spacing w:val="-1"/>
          <w:sz w:val="18"/>
        </w:rPr>
        <w:t xml:space="preserve"> </w:t>
      </w:r>
      <w:r>
        <w:rPr>
          <w:sz w:val="18"/>
        </w:rPr>
        <w:t>(Qld)</w:t>
      </w:r>
      <w:r>
        <w:rPr>
          <w:spacing w:val="-3"/>
          <w:sz w:val="18"/>
        </w:rPr>
        <w:t xml:space="preserve"> </w:t>
      </w:r>
      <w:r>
        <w:rPr>
          <w:sz w:val="18"/>
        </w:rPr>
        <w:t>ss</w:t>
      </w:r>
      <w:r>
        <w:rPr>
          <w:spacing w:val="-7"/>
          <w:sz w:val="18"/>
        </w:rPr>
        <w:t xml:space="preserve"> </w:t>
      </w:r>
      <w:r>
        <w:rPr>
          <w:sz w:val="18"/>
        </w:rPr>
        <w:t>9(3)</w:t>
      </w:r>
      <w:r>
        <w:rPr>
          <w:spacing w:val="-3"/>
          <w:sz w:val="18"/>
        </w:rPr>
        <w:t xml:space="preserve"> </w:t>
      </w:r>
      <w:r>
        <w:rPr>
          <w:sz w:val="18"/>
        </w:rPr>
        <w:t>and</w:t>
      </w:r>
      <w:r>
        <w:rPr>
          <w:spacing w:val="-5"/>
          <w:sz w:val="18"/>
        </w:rPr>
        <w:t xml:space="preserve"> </w:t>
      </w:r>
      <w:r>
        <w:rPr>
          <w:sz w:val="18"/>
        </w:rPr>
        <w:t>60;</w:t>
      </w:r>
      <w:r>
        <w:rPr>
          <w:spacing w:val="-1"/>
          <w:sz w:val="18"/>
        </w:rPr>
        <w:t xml:space="preserve"> </w:t>
      </w:r>
      <w:r>
        <w:rPr>
          <w:i/>
          <w:sz w:val="18"/>
        </w:rPr>
        <w:t>Human</w:t>
      </w:r>
      <w:r>
        <w:rPr>
          <w:i/>
          <w:spacing w:val="-2"/>
          <w:sz w:val="18"/>
        </w:rPr>
        <w:t xml:space="preserve"> </w:t>
      </w:r>
      <w:r>
        <w:rPr>
          <w:i/>
          <w:sz w:val="18"/>
        </w:rPr>
        <w:t>Rights</w:t>
      </w:r>
      <w:r>
        <w:rPr>
          <w:i/>
          <w:spacing w:val="-3"/>
          <w:sz w:val="18"/>
        </w:rPr>
        <w:t xml:space="preserve"> </w:t>
      </w:r>
      <w:r>
        <w:rPr>
          <w:i/>
          <w:sz w:val="18"/>
        </w:rPr>
        <w:t>Act</w:t>
      </w:r>
      <w:r>
        <w:rPr>
          <w:i/>
          <w:spacing w:val="-6"/>
          <w:sz w:val="18"/>
        </w:rPr>
        <w:t xml:space="preserve"> </w:t>
      </w:r>
      <w:r>
        <w:rPr>
          <w:i/>
          <w:sz w:val="18"/>
        </w:rPr>
        <w:t>2004</w:t>
      </w:r>
      <w:r>
        <w:rPr>
          <w:i/>
          <w:spacing w:val="-3"/>
          <w:sz w:val="18"/>
        </w:rPr>
        <w:t xml:space="preserve"> </w:t>
      </w:r>
      <w:r>
        <w:rPr>
          <w:sz w:val="18"/>
        </w:rPr>
        <w:t>(ACT)</w:t>
      </w:r>
      <w:r>
        <w:rPr>
          <w:spacing w:val="-3"/>
          <w:sz w:val="18"/>
        </w:rPr>
        <w:t xml:space="preserve"> </w:t>
      </w:r>
      <w:r>
        <w:rPr>
          <w:sz w:val="18"/>
        </w:rPr>
        <w:t>s</w:t>
      </w:r>
      <w:r>
        <w:rPr>
          <w:spacing w:val="-4"/>
          <w:sz w:val="18"/>
        </w:rPr>
        <w:t xml:space="preserve"> </w:t>
      </w:r>
      <w:r>
        <w:rPr>
          <w:sz w:val="18"/>
        </w:rPr>
        <w:t>40D.</w:t>
      </w:r>
      <w:r>
        <w:rPr>
          <w:spacing w:val="-3"/>
          <w:sz w:val="18"/>
        </w:rPr>
        <w:t xml:space="preserve"> </w:t>
      </w:r>
      <w:r>
        <w:rPr>
          <w:sz w:val="18"/>
        </w:rPr>
        <w:t>In</w:t>
      </w:r>
      <w:r>
        <w:rPr>
          <w:spacing w:val="-2"/>
          <w:sz w:val="18"/>
        </w:rPr>
        <w:t xml:space="preserve"> </w:t>
      </w:r>
      <w:r>
        <w:rPr>
          <w:sz w:val="18"/>
        </w:rPr>
        <w:t>both</w:t>
      </w:r>
      <w:r>
        <w:rPr>
          <w:spacing w:val="-4"/>
          <w:sz w:val="18"/>
        </w:rPr>
        <w:t xml:space="preserve"> </w:t>
      </w:r>
      <w:r>
        <w:rPr>
          <w:sz w:val="18"/>
        </w:rPr>
        <w:t>jurisdictions,</w:t>
      </w:r>
      <w:r>
        <w:rPr>
          <w:spacing w:val="-5"/>
          <w:sz w:val="18"/>
        </w:rPr>
        <w:t xml:space="preserve"> </w:t>
      </w:r>
      <w:r>
        <w:rPr>
          <w:sz w:val="18"/>
        </w:rPr>
        <w:t>the</w:t>
      </w:r>
      <w:r>
        <w:rPr>
          <w:spacing w:val="-4"/>
          <w:sz w:val="18"/>
        </w:rPr>
        <w:t xml:space="preserve"> </w:t>
      </w:r>
      <w:r>
        <w:rPr>
          <w:sz w:val="18"/>
        </w:rPr>
        <w:t>Minister</w:t>
      </w:r>
      <w:r>
        <w:rPr>
          <w:spacing w:val="-4"/>
          <w:sz w:val="18"/>
        </w:rPr>
        <w:t xml:space="preserve"> </w:t>
      </w:r>
      <w:r>
        <w:rPr>
          <w:sz w:val="18"/>
        </w:rPr>
        <w:t>can make or revoke a declaration that a private entity is a public entity for the purposes of the Act.</w:t>
      </w:r>
    </w:p>
    <w:p w14:paraId="7CB260AB" w14:textId="77777777" w:rsidR="008A4099" w:rsidRDefault="006A6EE2">
      <w:pPr>
        <w:tabs>
          <w:tab w:val="left" w:pos="1484"/>
          <w:tab w:val="left" w:pos="2661"/>
          <w:tab w:val="left" w:pos="3424"/>
          <w:tab w:val="left" w:pos="4117"/>
          <w:tab w:val="left" w:pos="4678"/>
          <w:tab w:val="left" w:pos="5359"/>
          <w:tab w:val="left" w:pos="6076"/>
          <w:tab w:val="left" w:pos="6448"/>
          <w:tab w:val="left" w:pos="6901"/>
          <w:tab w:val="left" w:pos="7662"/>
          <w:tab w:val="left" w:pos="8355"/>
          <w:tab w:val="left" w:pos="8827"/>
        </w:tabs>
        <w:spacing w:before="15"/>
        <w:ind w:left="160"/>
        <w:rPr>
          <w:i/>
          <w:sz w:val="18"/>
        </w:rPr>
      </w:pPr>
      <w:r>
        <w:rPr>
          <w:sz w:val="18"/>
          <w:vertAlign w:val="superscript"/>
        </w:rPr>
        <w:t>357</w:t>
      </w:r>
      <w:r>
        <w:rPr>
          <w:spacing w:val="12"/>
          <w:sz w:val="18"/>
        </w:rPr>
        <w:t xml:space="preserve"> </w:t>
      </w:r>
      <w:r>
        <w:rPr>
          <w:spacing w:val="-2"/>
          <w:sz w:val="18"/>
        </w:rPr>
        <w:t>Queensland</w:t>
      </w:r>
      <w:r>
        <w:rPr>
          <w:sz w:val="18"/>
        </w:rPr>
        <w:tab/>
      </w:r>
      <w:r>
        <w:rPr>
          <w:spacing w:val="-2"/>
          <w:sz w:val="18"/>
        </w:rPr>
        <w:t>Government,</w:t>
      </w:r>
      <w:r>
        <w:rPr>
          <w:sz w:val="18"/>
        </w:rPr>
        <w:tab/>
      </w:r>
      <w:r>
        <w:rPr>
          <w:i/>
          <w:spacing w:val="-2"/>
          <w:sz w:val="18"/>
        </w:rPr>
        <w:t>Human</w:t>
      </w:r>
      <w:r>
        <w:rPr>
          <w:i/>
          <w:sz w:val="18"/>
        </w:rPr>
        <w:tab/>
      </w:r>
      <w:r>
        <w:rPr>
          <w:i/>
          <w:spacing w:val="-2"/>
          <w:sz w:val="18"/>
        </w:rPr>
        <w:t>Rights</w:t>
      </w:r>
      <w:r>
        <w:rPr>
          <w:i/>
          <w:sz w:val="18"/>
        </w:rPr>
        <w:tab/>
      </w:r>
      <w:r>
        <w:rPr>
          <w:i/>
          <w:spacing w:val="-4"/>
          <w:sz w:val="18"/>
        </w:rPr>
        <w:t>Fact</w:t>
      </w:r>
      <w:r>
        <w:rPr>
          <w:i/>
          <w:sz w:val="18"/>
        </w:rPr>
        <w:tab/>
      </w:r>
      <w:r>
        <w:rPr>
          <w:i/>
          <w:spacing w:val="-2"/>
          <w:sz w:val="18"/>
        </w:rPr>
        <w:t>Sheet:</w:t>
      </w:r>
      <w:r>
        <w:rPr>
          <w:i/>
          <w:sz w:val="18"/>
        </w:rPr>
        <w:tab/>
        <w:t>Opt-</w:t>
      </w:r>
      <w:r>
        <w:rPr>
          <w:i/>
          <w:spacing w:val="-5"/>
          <w:sz w:val="18"/>
        </w:rPr>
        <w:t>In</w:t>
      </w:r>
      <w:r>
        <w:rPr>
          <w:i/>
          <w:sz w:val="18"/>
        </w:rPr>
        <w:tab/>
      </w:r>
      <w:r>
        <w:rPr>
          <w:i/>
          <w:spacing w:val="-5"/>
          <w:sz w:val="18"/>
        </w:rPr>
        <w:t>to</w:t>
      </w:r>
      <w:r>
        <w:rPr>
          <w:i/>
          <w:sz w:val="18"/>
        </w:rPr>
        <w:tab/>
      </w:r>
      <w:r>
        <w:rPr>
          <w:i/>
          <w:spacing w:val="-5"/>
          <w:sz w:val="18"/>
        </w:rPr>
        <w:t>the</w:t>
      </w:r>
      <w:r>
        <w:rPr>
          <w:i/>
          <w:sz w:val="18"/>
        </w:rPr>
        <w:tab/>
      </w:r>
      <w:r>
        <w:rPr>
          <w:i/>
          <w:spacing w:val="-2"/>
          <w:sz w:val="18"/>
        </w:rPr>
        <w:t>Human</w:t>
      </w:r>
      <w:r>
        <w:rPr>
          <w:i/>
          <w:sz w:val="18"/>
        </w:rPr>
        <w:tab/>
      </w:r>
      <w:r>
        <w:rPr>
          <w:i/>
          <w:spacing w:val="-2"/>
          <w:sz w:val="18"/>
        </w:rPr>
        <w:t>Rights</w:t>
      </w:r>
      <w:r>
        <w:rPr>
          <w:i/>
          <w:sz w:val="18"/>
        </w:rPr>
        <w:tab/>
      </w:r>
      <w:r>
        <w:rPr>
          <w:i/>
          <w:spacing w:val="-5"/>
          <w:sz w:val="18"/>
        </w:rPr>
        <w:t>Act</w:t>
      </w:r>
      <w:r>
        <w:rPr>
          <w:i/>
          <w:sz w:val="18"/>
        </w:rPr>
        <w:tab/>
      </w:r>
      <w:r>
        <w:rPr>
          <w:i/>
          <w:spacing w:val="-4"/>
          <w:sz w:val="18"/>
        </w:rPr>
        <w:t>2019</w:t>
      </w:r>
    </w:p>
    <w:p w14:paraId="7CB260AC" w14:textId="77777777" w:rsidR="008A4099" w:rsidRDefault="006A6EE2">
      <w:pPr>
        <w:spacing w:before="4"/>
        <w:ind w:left="160"/>
        <w:rPr>
          <w:sz w:val="18"/>
        </w:rPr>
      </w:pPr>
      <w:r>
        <w:rPr>
          <w:sz w:val="18"/>
        </w:rPr>
        <w:t>&lt;https://</w:t>
      </w:r>
      <w:hyperlink r:id="rId139">
        <w:r>
          <w:rPr>
            <w:sz w:val="18"/>
          </w:rPr>
          <w:t>www.forgov.qld.gov.au/</w:t>
        </w:r>
      </w:hyperlink>
      <w:r>
        <w:rPr>
          <w:spacing w:val="35"/>
          <w:sz w:val="18"/>
          <w:u w:val="single"/>
        </w:rPr>
        <w:t xml:space="preserve">  </w:t>
      </w:r>
      <w:r>
        <w:rPr>
          <w:sz w:val="18"/>
        </w:rPr>
        <w:t>data/assets/pdf_file/0008/203102/opt-in-to-the-human-rights-act-</w:t>
      </w:r>
      <w:r>
        <w:rPr>
          <w:spacing w:val="-2"/>
          <w:sz w:val="18"/>
        </w:rPr>
        <w:t>2019.pdf&gt;.</w:t>
      </w:r>
    </w:p>
    <w:p w14:paraId="7CB260AD" w14:textId="77777777" w:rsidR="008A4099" w:rsidRDefault="006A6EE2">
      <w:pPr>
        <w:spacing w:before="18"/>
        <w:ind w:left="160"/>
        <w:rPr>
          <w:sz w:val="18"/>
        </w:rPr>
      </w:pPr>
      <w:r>
        <w:rPr>
          <w:sz w:val="18"/>
          <w:vertAlign w:val="superscript"/>
        </w:rPr>
        <w:t>358</w:t>
      </w:r>
      <w:r>
        <w:rPr>
          <w:sz w:val="18"/>
        </w:rPr>
        <w:t xml:space="preserve"> Brett Young,</w:t>
      </w:r>
      <w:r>
        <w:rPr>
          <w:spacing w:val="1"/>
          <w:sz w:val="18"/>
        </w:rPr>
        <w:t xml:space="preserve"> </w:t>
      </w:r>
      <w:r>
        <w:rPr>
          <w:i/>
          <w:sz w:val="18"/>
        </w:rPr>
        <w:t>From Commitment</w:t>
      </w:r>
      <w:r>
        <w:rPr>
          <w:i/>
          <w:spacing w:val="-2"/>
          <w:sz w:val="18"/>
        </w:rPr>
        <w:t xml:space="preserve"> </w:t>
      </w:r>
      <w:r>
        <w:rPr>
          <w:i/>
          <w:sz w:val="18"/>
        </w:rPr>
        <w:t>to</w:t>
      </w:r>
      <w:r>
        <w:rPr>
          <w:i/>
          <w:spacing w:val="1"/>
          <w:sz w:val="18"/>
        </w:rPr>
        <w:t xml:space="preserve"> </w:t>
      </w:r>
      <w:r>
        <w:rPr>
          <w:i/>
          <w:sz w:val="18"/>
        </w:rPr>
        <w:t>Culture</w:t>
      </w:r>
      <w:r>
        <w:rPr>
          <w:sz w:val="18"/>
        </w:rPr>
        <w:t>, Recommendation</w:t>
      </w:r>
      <w:r>
        <w:rPr>
          <w:spacing w:val="-1"/>
          <w:sz w:val="18"/>
        </w:rPr>
        <w:t xml:space="preserve"> </w:t>
      </w:r>
      <w:r>
        <w:rPr>
          <w:spacing w:val="-5"/>
          <w:sz w:val="18"/>
        </w:rPr>
        <w:t>15.</w:t>
      </w:r>
    </w:p>
    <w:p w14:paraId="7CB260AE" w14:textId="77777777" w:rsidR="008A4099" w:rsidRDefault="006A6EE2">
      <w:pPr>
        <w:spacing w:before="24" w:line="244" w:lineRule="auto"/>
        <w:ind w:left="160" w:right="680"/>
        <w:rPr>
          <w:sz w:val="18"/>
        </w:rPr>
      </w:pPr>
      <w:r>
        <w:rPr>
          <w:sz w:val="18"/>
          <w:vertAlign w:val="superscript"/>
        </w:rPr>
        <w:t>359</w:t>
      </w:r>
      <w:r>
        <w:rPr>
          <w:spacing w:val="-7"/>
          <w:sz w:val="18"/>
        </w:rPr>
        <w:t xml:space="preserve"> </w:t>
      </w:r>
      <w:r>
        <w:rPr>
          <w:sz w:val="18"/>
        </w:rPr>
        <w:t>See</w:t>
      </w:r>
      <w:r>
        <w:rPr>
          <w:spacing w:val="-7"/>
          <w:sz w:val="18"/>
        </w:rPr>
        <w:t xml:space="preserve"> </w:t>
      </w:r>
      <w:r>
        <w:rPr>
          <w:sz w:val="18"/>
        </w:rPr>
        <w:t>Victorian</w:t>
      </w:r>
      <w:r>
        <w:rPr>
          <w:spacing w:val="-6"/>
          <w:sz w:val="18"/>
        </w:rPr>
        <w:t xml:space="preserve"> </w:t>
      </w:r>
      <w:r>
        <w:rPr>
          <w:sz w:val="18"/>
        </w:rPr>
        <w:t>Government,</w:t>
      </w:r>
      <w:r>
        <w:rPr>
          <w:spacing w:val="-5"/>
          <w:sz w:val="18"/>
        </w:rPr>
        <w:t xml:space="preserve"> </w:t>
      </w:r>
      <w:r>
        <w:rPr>
          <w:i/>
          <w:sz w:val="18"/>
        </w:rPr>
        <w:t>Government</w:t>
      </w:r>
      <w:r>
        <w:rPr>
          <w:i/>
          <w:spacing w:val="-6"/>
          <w:sz w:val="18"/>
        </w:rPr>
        <w:t xml:space="preserve"> </w:t>
      </w:r>
      <w:r>
        <w:rPr>
          <w:i/>
          <w:sz w:val="18"/>
        </w:rPr>
        <w:t>Response</w:t>
      </w:r>
      <w:r>
        <w:rPr>
          <w:i/>
          <w:spacing w:val="-10"/>
          <w:sz w:val="18"/>
        </w:rPr>
        <w:t xml:space="preserve"> </w:t>
      </w:r>
      <w:r>
        <w:rPr>
          <w:i/>
          <w:sz w:val="18"/>
        </w:rPr>
        <w:t>to</w:t>
      </w:r>
      <w:r>
        <w:rPr>
          <w:i/>
          <w:spacing w:val="-8"/>
          <w:sz w:val="18"/>
        </w:rPr>
        <w:t xml:space="preserve"> </w:t>
      </w:r>
      <w:r>
        <w:rPr>
          <w:i/>
          <w:sz w:val="18"/>
        </w:rPr>
        <w:t>the</w:t>
      </w:r>
      <w:r>
        <w:rPr>
          <w:i/>
          <w:spacing w:val="-10"/>
          <w:sz w:val="18"/>
        </w:rPr>
        <w:t xml:space="preserve"> </w:t>
      </w:r>
      <w:r>
        <w:rPr>
          <w:i/>
          <w:sz w:val="18"/>
        </w:rPr>
        <w:t>2015</w:t>
      </w:r>
      <w:r>
        <w:rPr>
          <w:i/>
          <w:spacing w:val="-8"/>
          <w:sz w:val="18"/>
        </w:rPr>
        <w:t xml:space="preserve"> </w:t>
      </w:r>
      <w:r>
        <w:rPr>
          <w:i/>
          <w:sz w:val="18"/>
        </w:rPr>
        <w:t>Review</w:t>
      </w:r>
      <w:r>
        <w:rPr>
          <w:i/>
          <w:spacing w:val="-7"/>
          <w:sz w:val="18"/>
        </w:rPr>
        <w:t xml:space="preserve"> </w:t>
      </w:r>
      <w:r>
        <w:rPr>
          <w:i/>
          <w:sz w:val="18"/>
        </w:rPr>
        <w:t>of</w:t>
      </w:r>
      <w:r>
        <w:rPr>
          <w:i/>
          <w:spacing w:val="-9"/>
          <w:sz w:val="18"/>
        </w:rPr>
        <w:t xml:space="preserve"> </w:t>
      </w:r>
      <w:r>
        <w:rPr>
          <w:i/>
          <w:sz w:val="18"/>
        </w:rPr>
        <w:t>the</w:t>
      </w:r>
      <w:r>
        <w:rPr>
          <w:i/>
          <w:spacing w:val="-10"/>
          <w:sz w:val="18"/>
        </w:rPr>
        <w:t xml:space="preserve"> </w:t>
      </w:r>
      <w:r>
        <w:rPr>
          <w:i/>
          <w:sz w:val="18"/>
        </w:rPr>
        <w:t>Charter</w:t>
      </w:r>
      <w:r>
        <w:rPr>
          <w:i/>
          <w:spacing w:val="-7"/>
          <w:sz w:val="18"/>
        </w:rPr>
        <w:t xml:space="preserve"> </w:t>
      </w:r>
      <w:r>
        <w:rPr>
          <w:i/>
          <w:sz w:val="18"/>
        </w:rPr>
        <w:t>of</w:t>
      </w:r>
      <w:r>
        <w:rPr>
          <w:i/>
          <w:spacing w:val="-9"/>
          <w:sz w:val="18"/>
        </w:rPr>
        <w:t xml:space="preserve"> </w:t>
      </w:r>
      <w:r>
        <w:rPr>
          <w:i/>
          <w:sz w:val="18"/>
        </w:rPr>
        <w:t>Human</w:t>
      </w:r>
      <w:r>
        <w:rPr>
          <w:i/>
          <w:spacing w:val="-8"/>
          <w:sz w:val="18"/>
        </w:rPr>
        <w:t xml:space="preserve"> </w:t>
      </w:r>
      <w:r>
        <w:rPr>
          <w:i/>
          <w:sz w:val="18"/>
        </w:rPr>
        <w:t>Rights</w:t>
      </w:r>
      <w:r>
        <w:rPr>
          <w:i/>
          <w:spacing w:val="-7"/>
          <w:sz w:val="18"/>
        </w:rPr>
        <w:t xml:space="preserve"> </w:t>
      </w:r>
      <w:r>
        <w:rPr>
          <w:i/>
          <w:sz w:val="18"/>
        </w:rPr>
        <w:t>and</w:t>
      </w:r>
      <w:r>
        <w:rPr>
          <w:i/>
          <w:spacing w:val="-8"/>
          <w:sz w:val="18"/>
        </w:rPr>
        <w:t xml:space="preserve"> </w:t>
      </w:r>
      <w:r>
        <w:rPr>
          <w:i/>
          <w:sz w:val="18"/>
        </w:rPr>
        <w:t xml:space="preserve">Responsibilities </w:t>
      </w:r>
      <w:r>
        <w:rPr>
          <w:i/>
          <w:spacing w:val="-4"/>
          <w:sz w:val="18"/>
        </w:rPr>
        <w:t>Act</w:t>
      </w:r>
      <w:r>
        <w:rPr>
          <w:spacing w:val="-4"/>
          <w:sz w:val="18"/>
        </w:rPr>
        <w:t>.</w:t>
      </w:r>
    </w:p>
    <w:p w14:paraId="7CB260AF" w14:textId="77777777" w:rsidR="008A4099" w:rsidRDefault="006A6EE2">
      <w:pPr>
        <w:spacing w:before="14"/>
        <w:ind w:left="160"/>
        <w:rPr>
          <w:sz w:val="18"/>
        </w:rPr>
      </w:pPr>
      <w:r>
        <w:rPr>
          <w:w w:val="105"/>
          <w:sz w:val="18"/>
          <w:vertAlign w:val="superscript"/>
        </w:rPr>
        <w:t>360</w:t>
      </w:r>
      <w:r>
        <w:rPr>
          <w:spacing w:val="1"/>
          <w:w w:val="105"/>
          <w:sz w:val="18"/>
        </w:rPr>
        <w:t xml:space="preserve"> </w:t>
      </w:r>
      <w:r>
        <w:rPr>
          <w:spacing w:val="-2"/>
          <w:w w:val="105"/>
          <w:sz w:val="18"/>
        </w:rPr>
        <w:t>Ibid.</w:t>
      </w:r>
    </w:p>
    <w:p w14:paraId="7CB260B0" w14:textId="77777777" w:rsidR="008A4099" w:rsidRDefault="006A6EE2">
      <w:pPr>
        <w:spacing w:before="24"/>
        <w:ind w:left="160"/>
        <w:rPr>
          <w:sz w:val="18"/>
        </w:rPr>
      </w:pPr>
      <w:r>
        <w:rPr>
          <w:sz w:val="18"/>
          <w:vertAlign w:val="superscript"/>
        </w:rPr>
        <w:t>361</w:t>
      </w:r>
      <w:r>
        <w:rPr>
          <w:spacing w:val="-1"/>
          <w:sz w:val="18"/>
        </w:rPr>
        <w:t xml:space="preserve"> </w:t>
      </w:r>
      <w:r>
        <w:rPr>
          <w:sz w:val="18"/>
        </w:rPr>
        <w:t>Vic</w:t>
      </w:r>
      <w:r>
        <w:rPr>
          <w:spacing w:val="-1"/>
          <w:sz w:val="18"/>
        </w:rPr>
        <w:t xml:space="preserve"> </w:t>
      </w:r>
      <w:r>
        <w:rPr>
          <w:sz w:val="18"/>
        </w:rPr>
        <w:t>Human</w:t>
      </w:r>
      <w:r>
        <w:rPr>
          <w:spacing w:val="1"/>
          <w:sz w:val="18"/>
        </w:rPr>
        <w:t xml:space="preserve"> </w:t>
      </w:r>
      <w:r>
        <w:rPr>
          <w:sz w:val="18"/>
        </w:rPr>
        <w:t>Rights Charter s</w:t>
      </w:r>
      <w:r>
        <w:rPr>
          <w:spacing w:val="-2"/>
          <w:sz w:val="18"/>
        </w:rPr>
        <w:t xml:space="preserve"> </w:t>
      </w:r>
      <w:r>
        <w:rPr>
          <w:sz w:val="18"/>
        </w:rPr>
        <w:t>4(1)(c);</w:t>
      </w:r>
      <w:r>
        <w:rPr>
          <w:spacing w:val="2"/>
          <w:sz w:val="18"/>
        </w:rPr>
        <w:t xml:space="preserve"> </w:t>
      </w:r>
      <w:r>
        <w:rPr>
          <w:i/>
          <w:sz w:val="18"/>
        </w:rPr>
        <w:t>Human</w:t>
      </w:r>
      <w:r>
        <w:rPr>
          <w:i/>
          <w:spacing w:val="-1"/>
          <w:sz w:val="18"/>
        </w:rPr>
        <w:t xml:space="preserve"> </w:t>
      </w:r>
      <w:r>
        <w:rPr>
          <w:i/>
          <w:sz w:val="18"/>
        </w:rPr>
        <w:t>Rights Act</w:t>
      </w:r>
      <w:r>
        <w:rPr>
          <w:i/>
          <w:spacing w:val="-2"/>
          <w:sz w:val="18"/>
        </w:rPr>
        <w:t xml:space="preserve"> </w:t>
      </w:r>
      <w:r>
        <w:rPr>
          <w:i/>
          <w:sz w:val="18"/>
        </w:rPr>
        <w:t xml:space="preserve">2004 </w:t>
      </w:r>
      <w:r>
        <w:rPr>
          <w:sz w:val="18"/>
        </w:rPr>
        <w:t>(ACT) s</w:t>
      </w:r>
      <w:r>
        <w:rPr>
          <w:spacing w:val="-1"/>
          <w:sz w:val="18"/>
        </w:rPr>
        <w:t xml:space="preserve"> </w:t>
      </w:r>
      <w:r>
        <w:rPr>
          <w:sz w:val="18"/>
        </w:rPr>
        <w:t>40A;</w:t>
      </w:r>
      <w:r>
        <w:rPr>
          <w:spacing w:val="1"/>
          <w:sz w:val="18"/>
        </w:rPr>
        <w:t xml:space="preserve"> </w:t>
      </w:r>
      <w:r>
        <w:rPr>
          <w:i/>
          <w:sz w:val="18"/>
        </w:rPr>
        <w:t>Human</w:t>
      </w:r>
      <w:r>
        <w:rPr>
          <w:i/>
          <w:spacing w:val="1"/>
          <w:sz w:val="18"/>
        </w:rPr>
        <w:t xml:space="preserve"> </w:t>
      </w:r>
      <w:r>
        <w:rPr>
          <w:i/>
          <w:sz w:val="18"/>
        </w:rPr>
        <w:t>Rights Act</w:t>
      </w:r>
      <w:r>
        <w:rPr>
          <w:i/>
          <w:spacing w:val="-2"/>
          <w:sz w:val="18"/>
        </w:rPr>
        <w:t xml:space="preserve"> </w:t>
      </w:r>
      <w:r>
        <w:rPr>
          <w:i/>
          <w:sz w:val="18"/>
        </w:rPr>
        <w:t>2019</w:t>
      </w:r>
      <w:r>
        <w:rPr>
          <w:i/>
          <w:spacing w:val="3"/>
          <w:sz w:val="18"/>
        </w:rPr>
        <w:t xml:space="preserve"> </w:t>
      </w:r>
      <w:r>
        <w:rPr>
          <w:sz w:val="18"/>
        </w:rPr>
        <w:t>(Qld)</w:t>
      </w:r>
      <w:r>
        <w:rPr>
          <w:spacing w:val="-3"/>
          <w:sz w:val="18"/>
        </w:rPr>
        <w:t xml:space="preserve"> </w:t>
      </w:r>
      <w:r>
        <w:rPr>
          <w:sz w:val="18"/>
        </w:rPr>
        <w:t>ss 9(1)(h),</w:t>
      </w:r>
      <w:r>
        <w:rPr>
          <w:spacing w:val="-2"/>
          <w:sz w:val="18"/>
        </w:rPr>
        <w:t xml:space="preserve"> </w:t>
      </w:r>
      <w:r>
        <w:rPr>
          <w:spacing w:val="-5"/>
          <w:sz w:val="18"/>
        </w:rPr>
        <w:t>10.</w:t>
      </w:r>
    </w:p>
    <w:p w14:paraId="7CB260B1" w14:textId="77777777" w:rsidR="008A4099" w:rsidRDefault="006A6EE2">
      <w:pPr>
        <w:spacing w:before="23" w:line="244" w:lineRule="auto"/>
        <w:ind w:left="160" w:right="680"/>
        <w:rPr>
          <w:sz w:val="18"/>
        </w:rPr>
      </w:pPr>
      <w:r>
        <w:rPr>
          <w:sz w:val="18"/>
          <w:vertAlign w:val="superscript"/>
        </w:rPr>
        <w:t>362</w:t>
      </w:r>
      <w:r>
        <w:rPr>
          <w:spacing w:val="14"/>
          <w:sz w:val="18"/>
        </w:rPr>
        <w:t xml:space="preserve"> </w:t>
      </w:r>
      <w:r>
        <w:rPr>
          <w:sz w:val="18"/>
        </w:rPr>
        <w:t>Vic</w:t>
      </w:r>
      <w:r>
        <w:rPr>
          <w:spacing w:val="13"/>
          <w:sz w:val="18"/>
        </w:rPr>
        <w:t xml:space="preserve"> </w:t>
      </w:r>
      <w:r>
        <w:rPr>
          <w:sz w:val="18"/>
        </w:rPr>
        <w:t>Human</w:t>
      </w:r>
      <w:r>
        <w:rPr>
          <w:spacing w:val="14"/>
          <w:sz w:val="18"/>
        </w:rPr>
        <w:t xml:space="preserve"> </w:t>
      </w:r>
      <w:r>
        <w:rPr>
          <w:sz w:val="18"/>
        </w:rPr>
        <w:t>Rights</w:t>
      </w:r>
      <w:r>
        <w:rPr>
          <w:spacing w:val="13"/>
          <w:sz w:val="18"/>
        </w:rPr>
        <w:t xml:space="preserve"> </w:t>
      </w:r>
      <w:r>
        <w:rPr>
          <w:sz w:val="18"/>
        </w:rPr>
        <w:t>Charter</w:t>
      </w:r>
      <w:r>
        <w:rPr>
          <w:spacing w:val="13"/>
          <w:sz w:val="18"/>
        </w:rPr>
        <w:t xml:space="preserve"> </w:t>
      </w:r>
      <w:r>
        <w:rPr>
          <w:sz w:val="18"/>
        </w:rPr>
        <w:t>s</w:t>
      </w:r>
      <w:r>
        <w:rPr>
          <w:spacing w:val="13"/>
          <w:sz w:val="18"/>
        </w:rPr>
        <w:t xml:space="preserve"> </w:t>
      </w:r>
      <w:r>
        <w:rPr>
          <w:sz w:val="18"/>
        </w:rPr>
        <w:t>38(4).</w:t>
      </w:r>
      <w:r>
        <w:rPr>
          <w:spacing w:val="14"/>
          <w:sz w:val="18"/>
        </w:rPr>
        <w:t xml:space="preserve"> </w:t>
      </w:r>
      <w:r>
        <w:rPr>
          <w:sz w:val="18"/>
        </w:rPr>
        <w:t>A</w:t>
      </w:r>
      <w:r>
        <w:rPr>
          <w:spacing w:val="13"/>
          <w:sz w:val="18"/>
        </w:rPr>
        <w:t xml:space="preserve"> </w:t>
      </w:r>
      <w:r>
        <w:rPr>
          <w:sz w:val="18"/>
        </w:rPr>
        <w:t>provision</w:t>
      </w:r>
      <w:r>
        <w:rPr>
          <w:spacing w:val="12"/>
          <w:sz w:val="18"/>
        </w:rPr>
        <w:t xml:space="preserve"> </w:t>
      </w:r>
      <w:r>
        <w:rPr>
          <w:sz w:val="18"/>
        </w:rPr>
        <w:t>to</w:t>
      </w:r>
      <w:r>
        <w:rPr>
          <w:spacing w:val="15"/>
          <w:sz w:val="18"/>
        </w:rPr>
        <w:t xml:space="preserve"> </w:t>
      </w:r>
      <w:r>
        <w:rPr>
          <w:sz w:val="18"/>
        </w:rPr>
        <w:t>similar</w:t>
      </w:r>
      <w:r>
        <w:rPr>
          <w:spacing w:val="13"/>
          <w:sz w:val="18"/>
        </w:rPr>
        <w:t xml:space="preserve"> </w:t>
      </w:r>
      <w:r>
        <w:rPr>
          <w:sz w:val="18"/>
        </w:rPr>
        <w:t>effect</w:t>
      </w:r>
      <w:r>
        <w:rPr>
          <w:spacing w:val="14"/>
          <w:sz w:val="18"/>
        </w:rPr>
        <w:t xml:space="preserve"> </w:t>
      </w:r>
      <w:r>
        <w:rPr>
          <w:sz w:val="18"/>
        </w:rPr>
        <w:t>applies</w:t>
      </w:r>
      <w:r>
        <w:rPr>
          <w:spacing w:val="13"/>
          <w:sz w:val="18"/>
        </w:rPr>
        <w:t xml:space="preserve"> </w:t>
      </w:r>
      <w:r>
        <w:rPr>
          <w:sz w:val="18"/>
        </w:rPr>
        <w:t>in</w:t>
      </w:r>
      <w:r>
        <w:rPr>
          <w:spacing w:val="15"/>
          <w:sz w:val="18"/>
        </w:rPr>
        <w:t xml:space="preserve"> </w:t>
      </w:r>
      <w:r>
        <w:rPr>
          <w:sz w:val="18"/>
        </w:rPr>
        <w:t>Queensland:</w:t>
      </w:r>
      <w:r>
        <w:rPr>
          <w:spacing w:val="21"/>
          <w:sz w:val="18"/>
        </w:rPr>
        <w:t xml:space="preserve"> </w:t>
      </w:r>
      <w:r>
        <w:rPr>
          <w:i/>
          <w:sz w:val="18"/>
        </w:rPr>
        <w:t>Human</w:t>
      </w:r>
      <w:r>
        <w:rPr>
          <w:i/>
          <w:spacing w:val="12"/>
          <w:sz w:val="18"/>
        </w:rPr>
        <w:t xml:space="preserve"> </w:t>
      </w:r>
      <w:r>
        <w:rPr>
          <w:i/>
          <w:sz w:val="18"/>
        </w:rPr>
        <w:t>Rights</w:t>
      </w:r>
      <w:r>
        <w:rPr>
          <w:i/>
          <w:spacing w:val="11"/>
          <w:sz w:val="18"/>
        </w:rPr>
        <w:t xml:space="preserve"> </w:t>
      </w:r>
      <w:r>
        <w:rPr>
          <w:i/>
          <w:sz w:val="18"/>
        </w:rPr>
        <w:t>Act</w:t>
      </w:r>
      <w:r>
        <w:rPr>
          <w:i/>
          <w:spacing w:val="13"/>
          <w:sz w:val="18"/>
        </w:rPr>
        <w:t xml:space="preserve"> </w:t>
      </w:r>
      <w:r>
        <w:rPr>
          <w:i/>
          <w:sz w:val="18"/>
        </w:rPr>
        <w:t>2019</w:t>
      </w:r>
      <w:r>
        <w:rPr>
          <w:i/>
          <w:spacing w:val="14"/>
          <w:sz w:val="18"/>
        </w:rPr>
        <w:t xml:space="preserve"> </w:t>
      </w:r>
      <w:r>
        <w:rPr>
          <w:sz w:val="18"/>
        </w:rPr>
        <w:t>(Qld) s 58(3).</w:t>
      </w:r>
    </w:p>
    <w:p w14:paraId="7CB260B2" w14:textId="77777777" w:rsidR="008A4099" w:rsidRDefault="006A6EE2">
      <w:pPr>
        <w:spacing w:before="15"/>
        <w:ind w:left="160"/>
        <w:rPr>
          <w:sz w:val="18"/>
        </w:rPr>
      </w:pPr>
      <w:r>
        <w:rPr>
          <w:sz w:val="18"/>
          <w:vertAlign w:val="superscript"/>
        </w:rPr>
        <w:t>363</w:t>
      </w:r>
      <w:r>
        <w:rPr>
          <w:spacing w:val="-1"/>
          <w:sz w:val="18"/>
        </w:rPr>
        <w:t xml:space="preserve"> </w:t>
      </w:r>
      <w:r>
        <w:rPr>
          <w:sz w:val="18"/>
        </w:rPr>
        <w:t>See</w:t>
      </w:r>
      <w:r>
        <w:rPr>
          <w:spacing w:val="-1"/>
          <w:sz w:val="18"/>
        </w:rPr>
        <w:t xml:space="preserve"> </w:t>
      </w:r>
      <w:r>
        <w:rPr>
          <w:sz w:val="18"/>
        </w:rPr>
        <w:t>Brett Young,</w:t>
      </w:r>
      <w:r>
        <w:rPr>
          <w:spacing w:val="2"/>
          <w:sz w:val="18"/>
        </w:rPr>
        <w:t xml:space="preserve"> </w:t>
      </w:r>
      <w:r>
        <w:rPr>
          <w:i/>
          <w:sz w:val="18"/>
        </w:rPr>
        <w:t>From Commitment to</w:t>
      </w:r>
      <w:r>
        <w:rPr>
          <w:i/>
          <w:spacing w:val="1"/>
          <w:sz w:val="18"/>
        </w:rPr>
        <w:t xml:space="preserve"> </w:t>
      </w:r>
      <w:r>
        <w:rPr>
          <w:i/>
          <w:sz w:val="18"/>
        </w:rPr>
        <w:t>Culture</w:t>
      </w:r>
      <w:r>
        <w:rPr>
          <w:i/>
          <w:spacing w:val="1"/>
          <w:sz w:val="18"/>
        </w:rPr>
        <w:t xml:space="preserve"> </w:t>
      </w:r>
      <w:r>
        <w:rPr>
          <w:spacing w:val="-2"/>
          <w:sz w:val="18"/>
        </w:rPr>
        <w:t>72–73.</w:t>
      </w:r>
    </w:p>
    <w:p w14:paraId="7CB260B3" w14:textId="77777777" w:rsidR="008A4099" w:rsidRDefault="006A6EE2">
      <w:pPr>
        <w:spacing w:before="23"/>
        <w:ind w:left="160"/>
        <w:rPr>
          <w:sz w:val="18"/>
        </w:rPr>
      </w:pPr>
      <w:r>
        <w:rPr>
          <w:sz w:val="18"/>
          <w:vertAlign w:val="superscript"/>
        </w:rPr>
        <w:t>364</w:t>
      </w:r>
      <w:r>
        <w:rPr>
          <w:spacing w:val="5"/>
          <w:sz w:val="18"/>
        </w:rPr>
        <w:t xml:space="preserve"> </w:t>
      </w:r>
      <w:r>
        <w:rPr>
          <w:sz w:val="18"/>
        </w:rPr>
        <w:t>See</w:t>
      </w:r>
      <w:r>
        <w:rPr>
          <w:spacing w:val="5"/>
          <w:sz w:val="18"/>
        </w:rPr>
        <w:t xml:space="preserve"> </w:t>
      </w:r>
      <w:r>
        <w:rPr>
          <w:spacing w:val="-2"/>
          <w:sz w:val="18"/>
        </w:rPr>
        <w:t>[2.3].</w:t>
      </w:r>
    </w:p>
    <w:p w14:paraId="7CB260B4" w14:textId="77777777" w:rsidR="008A4099" w:rsidRDefault="008A4099">
      <w:pPr>
        <w:rPr>
          <w:sz w:val="18"/>
        </w:rPr>
        <w:sectPr w:rsidR="008A4099" w:rsidSect="00D43B2D">
          <w:pgSz w:w="11910" w:h="16840"/>
          <w:pgMar w:top="980" w:right="760" w:bottom="940" w:left="1280" w:header="718" w:footer="753" w:gutter="0"/>
          <w:cols w:space="720"/>
        </w:sectPr>
      </w:pPr>
    </w:p>
    <w:p w14:paraId="7CB260B5" w14:textId="77777777" w:rsidR="008A4099" w:rsidRDefault="008A4099">
      <w:pPr>
        <w:pStyle w:val="BodyText"/>
        <w:spacing w:before="183"/>
        <w:rPr>
          <w:sz w:val="23"/>
        </w:rPr>
      </w:pPr>
    </w:p>
    <w:p w14:paraId="7CB260B6" w14:textId="77777777" w:rsidR="008A4099" w:rsidRDefault="006A6EE2">
      <w:pPr>
        <w:pStyle w:val="Heading3"/>
      </w:pPr>
      <w:r>
        <w:t>TLRI’s</w:t>
      </w:r>
      <w:r>
        <w:rPr>
          <w:spacing w:val="-4"/>
        </w:rPr>
        <w:t xml:space="preserve"> </w:t>
      </w:r>
      <w:r>
        <w:t>current</w:t>
      </w:r>
      <w:r>
        <w:rPr>
          <w:spacing w:val="-4"/>
        </w:rPr>
        <w:t xml:space="preserve"> </w:t>
      </w:r>
      <w:r>
        <w:t>views</w:t>
      </w:r>
      <w:r>
        <w:rPr>
          <w:spacing w:val="-4"/>
        </w:rPr>
        <w:t xml:space="preserve"> </w:t>
      </w:r>
      <w:r>
        <w:t>and</w:t>
      </w:r>
      <w:r>
        <w:rPr>
          <w:spacing w:val="-3"/>
        </w:rPr>
        <w:t xml:space="preserve"> </w:t>
      </w:r>
      <w:r>
        <w:rPr>
          <w:spacing w:val="-2"/>
        </w:rPr>
        <w:t>recommendations</w:t>
      </w:r>
    </w:p>
    <w:p w14:paraId="7CB260B7" w14:textId="77777777" w:rsidR="008A4099" w:rsidRDefault="006A6EE2">
      <w:pPr>
        <w:pStyle w:val="ListParagraph"/>
        <w:numPr>
          <w:ilvl w:val="2"/>
          <w:numId w:val="3"/>
        </w:numPr>
        <w:tabs>
          <w:tab w:val="left" w:pos="879"/>
        </w:tabs>
        <w:spacing w:before="262"/>
        <w:ind w:right="672" w:firstLine="0"/>
        <w:jc w:val="both"/>
      </w:pPr>
      <w:r>
        <w:t>The TLRI recommends that all public authorities be bound by the Tasmanian Human Rights Charter or Act. Public authorities should be required to act in a way that is compatible with human rights</w:t>
      </w:r>
      <w:r>
        <w:rPr>
          <w:spacing w:val="-11"/>
        </w:rPr>
        <w:t xml:space="preserve"> </w:t>
      </w:r>
      <w:r>
        <w:t>and,</w:t>
      </w:r>
      <w:r>
        <w:rPr>
          <w:spacing w:val="-9"/>
        </w:rPr>
        <w:t xml:space="preserve"> </w:t>
      </w:r>
      <w:r>
        <w:t>when</w:t>
      </w:r>
      <w:r>
        <w:rPr>
          <w:spacing w:val="-10"/>
        </w:rPr>
        <w:t xml:space="preserve"> </w:t>
      </w:r>
      <w:r>
        <w:t>making</w:t>
      </w:r>
      <w:r>
        <w:rPr>
          <w:spacing w:val="-10"/>
        </w:rPr>
        <w:t xml:space="preserve"> </w:t>
      </w:r>
      <w:r>
        <w:t>decisions,</w:t>
      </w:r>
      <w:r>
        <w:rPr>
          <w:spacing w:val="-12"/>
        </w:rPr>
        <w:t xml:space="preserve"> </w:t>
      </w:r>
      <w:r>
        <w:t>give</w:t>
      </w:r>
      <w:r>
        <w:rPr>
          <w:spacing w:val="-9"/>
        </w:rPr>
        <w:t xml:space="preserve"> </w:t>
      </w:r>
      <w:r>
        <w:t>proper</w:t>
      </w:r>
      <w:r>
        <w:rPr>
          <w:spacing w:val="-9"/>
        </w:rPr>
        <w:t xml:space="preserve"> </w:t>
      </w:r>
      <w:r>
        <w:t>consideration</w:t>
      </w:r>
      <w:r>
        <w:rPr>
          <w:spacing w:val="-12"/>
        </w:rPr>
        <w:t xml:space="preserve"> </w:t>
      </w:r>
      <w:r>
        <w:t>to</w:t>
      </w:r>
      <w:r>
        <w:rPr>
          <w:spacing w:val="-12"/>
        </w:rPr>
        <w:t xml:space="preserve"> </w:t>
      </w:r>
      <w:r>
        <w:t>relevant</w:t>
      </w:r>
      <w:r>
        <w:rPr>
          <w:spacing w:val="-5"/>
        </w:rPr>
        <w:t xml:space="preserve"> </w:t>
      </w:r>
      <w:r>
        <w:t>human</w:t>
      </w:r>
      <w:r>
        <w:rPr>
          <w:spacing w:val="-10"/>
        </w:rPr>
        <w:t xml:space="preserve"> </w:t>
      </w:r>
      <w:r>
        <w:t>rights</w:t>
      </w:r>
      <w:r>
        <w:rPr>
          <w:spacing w:val="-9"/>
        </w:rPr>
        <w:t xml:space="preserve"> </w:t>
      </w:r>
      <w:r>
        <w:t>unless</w:t>
      </w:r>
      <w:r>
        <w:rPr>
          <w:spacing w:val="-9"/>
        </w:rPr>
        <w:t xml:space="preserve"> </w:t>
      </w:r>
      <w:r>
        <w:t>otherwise required by particular legislation. This is consistent with Recommendations 7, 10 and 14 in the TLRI 2007 Final Report (see Appendix A).</w:t>
      </w:r>
    </w:p>
    <w:p w14:paraId="7CB260B8" w14:textId="77777777" w:rsidR="008A4099" w:rsidRDefault="006A6EE2">
      <w:pPr>
        <w:pStyle w:val="ListParagraph"/>
        <w:numPr>
          <w:ilvl w:val="2"/>
          <w:numId w:val="3"/>
        </w:numPr>
        <w:tabs>
          <w:tab w:val="left" w:pos="879"/>
        </w:tabs>
        <w:spacing w:before="214"/>
        <w:ind w:right="673" w:firstLine="0"/>
        <w:jc w:val="both"/>
        <w:rPr>
          <w:sz w:val="13"/>
        </w:rPr>
      </w:pPr>
      <w:r>
        <w:t>The TLRI</w:t>
      </w:r>
      <w:r>
        <w:rPr>
          <w:spacing w:val="-1"/>
        </w:rPr>
        <w:t xml:space="preserve"> </w:t>
      </w:r>
      <w:r>
        <w:t>maintains</w:t>
      </w:r>
      <w:r>
        <w:rPr>
          <w:spacing w:val="-1"/>
        </w:rPr>
        <w:t xml:space="preserve"> </w:t>
      </w:r>
      <w:r>
        <w:t>its</w:t>
      </w:r>
      <w:r>
        <w:rPr>
          <w:spacing w:val="-1"/>
        </w:rPr>
        <w:t xml:space="preserve"> </w:t>
      </w:r>
      <w:r>
        <w:t>earlier recommendation</w:t>
      </w:r>
      <w:r>
        <w:rPr>
          <w:spacing w:val="-1"/>
        </w:rPr>
        <w:t xml:space="preserve"> </w:t>
      </w:r>
      <w:r>
        <w:t>that, in</w:t>
      </w:r>
      <w:r>
        <w:rPr>
          <w:spacing w:val="-2"/>
        </w:rPr>
        <w:t xml:space="preserve"> </w:t>
      </w:r>
      <w:r>
        <w:t>a Tasmanian human</w:t>
      </w:r>
      <w:r>
        <w:rPr>
          <w:spacing w:val="-1"/>
        </w:rPr>
        <w:t xml:space="preserve"> </w:t>
      </w:r>
      <w:r>
        <w:t>rights</w:t>
      </w:r>
      <w:r>
        <w:rPr>
          <w:spacing w:val="-1"/>
        </w:rPr>
        <w:t xml:space="preserve"> </w:t>
      </w:r>
      <w:r>
        <w:t>enactment, a broad definition of public authority be adopted, including organisations performing public functions and organisations</w:t>
      </w:r>
      <w:r>
        <w:rPr>
          <w:spacing w:val="-2"/>
        </w:rPr>
        <w:t xml:space="preserve"> </w:t>
      </w:r>
      <w:r>
        <w:t>that opt-in to public</w:t>
      </w:r>
      <w:r>
        <w:rPr>
          <w:spacing w:val="-2"/>
        </w:rPr>
        <w:t xml:space="preserve"> </w:t>
      </w:r>
      <w:r>
        <w:t>authority</w:t>
      </w:r>
      <w:r>
        <w:rPr>
          <w:spacing w:val="-3"/>
        </w:rPr>
        <w:t xml:space="preserve"> </w:t>
      </w:r>
      <w:r>
        <w:t>obligations. Consistent with</w:t>
      </w:r>
      <w:r>
        <w:rPr>
          <w:spacing w:val="-2"/>
        </w:rPr>
        <w:t xml:space="preserve"> </w:t>
      </w:r>
      <w:r>
        <w:t>its 2007 recommendation and</w:t>
      </w:r>
      <w:r>
        <w:rPr>
          <w:spacing w:val="-14"/>
        </w:rPr>
        <w:t xml:space="preserve"> </w:t>
      </w:r>
      <w:r>
        <w:t>the</w:t>
      </w:r>
      <w:r>
        <w:rPr>
          <w:spacing w:val="-14"/>
        </w:rPr>
        <w:t xml:space="preserve"> </w:t>
      </w:r>
      <w:r>
        <w:t>ACT</w:t>
      </w:r>
      <w:r>
        <w:rPr>
          <w:spacing w:val="-14"/>
        </w:rPr>
        <w:t xml:space="preserve"> </w:t>
      </w:r>
      <w:r>
        <w:t>and</w:t>
      </w:r>
      <w:r>
        <w:rPr>
          <w:spacing w:val="-13"/>
        </w:rPr>
        <w:t xml:space="preserve"> </w:t>
      </w:r>
      <w:r>
        <w:t>Queensland</w:t>
      </w:r>
      <w:r>
        <w:rPr>
          <w:spacing w:val="-14"/>
        </w:rPr>
        <w:t xml:space="preserve"> </w:t>
      </w:r>
      <w:r>
        <w:t>approaches,</w:t>
      </w:r>
      <w:r>
        <w:rPr>
          <w:spacing w:val="-14"/>
        </w:rPr>
        <w:t xml:space="preserve"> </w:t>
      </w:r>
      <w:r>
        <w:t>the</w:t>
      </w:r>
      <w:r>
        <w:rPr>
          <w:spacing w:val="-14"/>
        </w:rPr>
        <w:t xml:space="preserve"> </w:t>
      </w:r>
      <w:r>
        <w:t>TLRI</w:t>
      </w:r>
      <w:r>
        <w:rPr>
          <w:spacing w:val="-13"/>
        </w:rPr>
        <w:t xml:space="preserve"> </w:t>
      </w:r>
      <w:r>
        <w:t>maintains</w:t>
      </w:r>
      <w:r>
        <w:rPr>
          <w:spacing w:val="-14"/>
        </w:rPr>
        <w:t xml:space="preserve"> </w:t>
      </w:r>
      <w:r>
        <w:t>that</w:t>
      </w:r>
      <w:r>
        <w:rPr>
          <w:spacing w:val="-14"/>
        </w:rPr>
        <w:t xml:space="preserve"> </w:t>
      </w:r>
      <w:r>
        <w:t>a</w:t>
      </w:r>
      <w:r>
        <w:rPr>
          <w:spacing w:val="-14"/>
        </w:rPr>
        <w:t xml:space="preserve"> </w:t>
      </w:r>
      <w:r>
        <w:t>Tasmanian</w:t>
      </w:r>
      <w:r>
        <w:rPr>
          <w:spacing w:val="-13"/>
        </w:rPr>
        <w:t xml:space="preserve"> </w:t>
      </w:r>
      <w:r>
        <w:t>human</w:t>
      </w:r>
      <w:r>
        <w:rPr>
          <w:spacing w:val="-14"/>
        </w:rPr>
        <w:t xml:space="preserve"> </w:t>
      </w:r>
      <w:r>
        <w:t>rights</w:t>
      </w:r>
      <w:r>
        <w:rPr>
          <w:spacing w:val="-14"/>
        </w:rPr>
        <w:t xml:space="preserve"> </w:t>
      </w:r>
      <w:r>
        <w:t>enactment should</w:t>
      </w:r>
      <w:r>
        <w:rPr>
          <w:spacing w:val="-6"/>
        </w:rPr>
        <w:t xml:space="preserve"> </w:t>
      </w:r>
      <w:r>
        <w:t>explicitly</w:t>
      </w:r>
      <w:r>
        <w:rPr>
          <w:spacing w:val="-9"/>
        </w:rPr>
        <w:t xml:space="preserve"> </w:t>
      </w:r>
      <w:r>
        <w:t>list</w:t>
      </w:r>
      <w:r>
        <w:rPr>
          <w:spacing w:val="-7"/>
        </w:rPr>
        <w:t xml:space="preserve"> </w:t>
      </w:r>
      <w:r>
        <w:t>the</w:t>
      </w:r>
      <w:r>
        <w:rPr>
          <w:spacing w:val="-6"/>
        </w:rPr>
        <w:t xml:space="preserve"> </w:t>
      </w:r>
      <w:r>
        <w:t>sorts</w:t>
      </w:r>
      <w:r>
        <w:rPr>
          <w:spacing w:val="-5"/>
        </w:rPr>
        <w:t xml:space="preserve"> </w:t>
      </w:r>
      <w:r>
        <w:t>of</w:t>
      </w:r>
      <w:r>
        <w:rPr>
          <w:spacing w:val="-8"/>
        </w:rPr>
        <w:t xml:space="preserve"> </w:t>
      </w:r>
      <w:r>
        <w:t>functions</w:t>
      </w:r>
      <w:r>
        <w:rPr>
          <w:spacing w:val="-8"/>
        </w:rPr>
        <w:t xml:space="preserve"> </w:t>
      </w:r>
      <w:r>
        <w:t>that</w:t>
      </w:r>
      <w:r>
        <w:rPr>
          <w:spacing w:val="-5"/>
        </w:rPr>
        <w:t xml:space="preserve"> </w:t>
      </w:r>
      <w:r>
        <w:t>are</w:t>
      </w:r>
      <w:r>
        <w:rPr>
          <w:spacing w:val="-6"/>
        </w:rPr>
        <w:t xml:space="preserve"> </w:t>
      </w:r>
      <w:r>
        <w:t>to</w:t>
      </w:r>
      <w:r>
        <w:rPr>
          <w:spacing w:val="-6"/>
        </w:rPr>
        <w:t xml:space="preserve"> </w:t>
      </w:r>
      <w:r>
        <w:t>be</w:t>
      </w:r>
      <w:r>
        <w:rPr>
          <w:spacing w:val="-8"/>
        </w:rPr>
        <w:t xml:space="preserve"> </w:t>
      </w:r>
      <w:r>
        <w:t>characterised</w:t>
      </w:r>
      <w:r>
        <w:rPr>
          <w:spacing w:val="-9"/>
        </w:rPr>
        <w:t xml:space="preserve"> </w:t>
      </w:r>
      <w:r>
        <w:t>as</w:t>
      </w:r>
      <w:r>
        <w:rPr>
          <w:spacing w:val="-5"/>
        </w:rPr>
        <w:t xml:space="preserve"> </w:t>
      </w:r>
      <w:r>
        <w:t>public</w:t>
      </w:r>
      <w:r>
        <w:rPr>
          <w:spacing w:val="-6"/>
        </w:rPr>
        <w:t xml:space="preserve"> </w:t>
      </w:r>
      <w:r>
        <w:t>functions,</w:t>
      </w:r>
      <w:r>
        <w:rPr>
          <w:spacing w:val="-8"/>
        </w:rPr>
        <w:t xml:space="preserve"> </w:t>
      </w:r>
      <w:r>
        <w:t>including</w:t>
      </w:r>
      <w:r>
        <w:rPr>
          <w:spacing w:val="-6"/>
        </w:rPr>
        <w:t xml:space="preserve"> </w:t>
      </w:r>
      <w:r>
        <w:t>the delivery of emergency, utility, public housing, education, health, disability, and transport services, as well</w:t>
      </w:r>
      <w:r>
        <w:rPr>
          <w:spacing w:val="-6"/>
        </w:rPr>
        <w:t xml:space="preserve"> </w:t>
      </w:r>
      <w:r>
        <w:t>as</w:t>
      </w:r>
      <w:r>
        <w:rPr>
          <w:spacing w:val="-6"/>
        </w:rPr>
        <w:t xml:space="preserve"> </w:t>
      </w:r>
      <w:r>
        <w:t>the</w:t>
      </w:r>
      <w:r>
        <w:rPr>
          <w:spacing w:val="-7"/>
        </w:rPr>
        <w:t xml:space="preserve"> </w:t>
      </w:r>
      <w:r>
        <w:t>operation</w:t>
      </w:r>
      <w:r>
        <w:rPr>
          <w:spacing w:val="-7"/>
        </w:rPr>
        <w:t xml:space="preserve"> </w:t>
      </w:r>
      <w:r>
        <w:t>of</w:t>
      </w:r>
      <w:r>
        <w:rPr>
          <w:spacing w:val="-6"/>
        </w:rPr>
        <w:t xml:space="preserve"> </w:t>
      </w:r>
      <w:r>
        <w:t>correctional</w:t>
      </w:r>
      <w:r>
        <w:rPr>
          <w:spacing w:val="-6"/>
        </w:rPr>
        <w:t xml:space="preserve"> </w:t>
      </w:r>
      <w:r>
        <w:t>and</w:t>
      </w:r>
      <w:r>
        <w:rPr>
          <w:spacing w:val="-9"/>
        </w:rPr>
        <w:t xml:space="preserve"> </w:t>
      </w:r>
      <w:r>
        <w:t>detention</w:t>
      </w:r>
      <w:r>
        <w:rPr>
          <w:spacing w:val="-10"/>
        </w:rPr>
        <w:t xml:space="preserve"> </w:t>
      </w:r>
      <w:r>
        <w:t>facilities.</w:t>
      </w:r>
      <w:r>
        <w:rPr>
          <w:spacing w:val="-7"/>
        </w:rPr>
        <w:t xml:space="preserve"> </w:t>
      </w:r>
      <w:r>
        <w:t>This</w:t>
      </w:r>
      <w:r>
        <w:rPr>
          <w:spacing w:val="-6"/>
        </w:rPr>
        <w:t xml:space="preserve"> </w:t>
      </w:r>
      <w:r>
        <w:t>is</w:t>
      </w:r>
      <w:r>
        <w:rPr>
          <w:spacing w:val="-6"/>
        </w:rPr>
        <w:t xml:space="preserve"> </w:t>
      </w:r>
      <w:r>
        <w:t>consistent</w:t>
      </w:r>
      <w:r>
        <w:rPr>
          <w:spacing w:val="-6"/>
        </w:rPr>
        <w:t xml:space="preserve"> </w:t>
      </w:r>
      <w:r>
        <w:t>with</w:t>
      </w:r>
      <w:r>
        <w:rPr>
          <w:spacing w:val="-10"/>
        </w:rPr>
        <w:t xml:space="preserve"> </w:t>
      </w:r>
      <w:r>
        <w:t>Recommendation</w:t>
      </w:r>
      <w:r>
        <w:rPr>
          <w:spacing w:val="-2"/>
        </w:rPr>
        <w:t xml:space="preserve"> </w:t>
      </w:r>
      <w:r>
        <w:t>8 of the 2007 Final Report (see Appendix A). This was also the recommendation in the 2015 Review of the Victorian Charter, which highlighted the need for clarity and certainty in the application of the Charter to functional public authorities in order to make the Charter more effective.</w:t>
      </w:r>
      <w:r>
        <w:rPr>
          <w:position w:val="7"/>
          <w:sz w:val="13"/>
        </w:rPr>
        <w:t>365</w:t>
      </w:r>
    </w:p>
    <w:p w14:paraId="7CB260B9" w14:textId="77777777" w:rsidR="008A4099" w:rsidRDefault="006A6EE2">
      <w:pPr>
        <w:pStyle w:val="ListParagraph"/>
        <w:numPr>
          <w:ilvl w:val="2"/>
          <w:numId w:val="3"/>
        </w:numPr>
        <w:tabs>
          <w:tab w:val="left" w:pos="879"/>
        </w:tabs>
        <w:spacing w:before="215"/>
        <w:ind w:right="671" w:firstLine="0"/>
        <w:jc w:val="both"/>
      </w:pPr>
      <w:r>
        <w:t>As</w:t>
      </w:r>
      <w:r>
        <w:rPr>
          <w:spacing w:val="-1"/>
        </w:rPr>
        <w:t xml:space="preserve"> </w:t>
      </w:r>
      <w:r>
        <w:t>discussed</w:t>
      </w:r>
      <w:r>
        <w:rPr>
          <w:spacing w:val="-3"/>
        </w:rPr>
        <w:t xml:space="preserve"> </w:t>
      </w:r>
      <w:r>
        <w:t>in</w:t>
      </w:r>
      <w:r>
        <w:rPr>
          <w:spacing w:val="-1"/>
        </w:rPr>
        <w:t xml:space="preserve"> </w:t>
      </w:r>
      <w:r>
        <w:t>Part 3,</w:t>
      </w:r>
      <w:r>
        <w:rPr>
          <w:spacing w:val="-1"/>
        </w:rPr>
        <w:t xml:space="preserve"> </w:t>
      </w:r>
      <w:r>
        <w:t>in</w:t>
      </w:r>
      <w:r>
        <w:rPr>
          <w:spacing w:val="-1"/>
        </w:rPr>
        <w:t xml:space="preserve"> </w:t>
      </w:r>
      <w:r>
        <w:t>the</w:t>
      </w:r>
      <w:r>
        <w:rPr>
          <w:spacing w:val="-1"/>
        </w:rPr>
        <w:t xml:space="preserve"> </w:t>
      </w:r>
      <w:r>
        <w:t>Review</w:t>
      </w:r>
      <w:r>
        <w:rPr>
          <w:spacing w:val="-2"/>
        </w:rPr>
        <w:t xml:space="preserve"> </w:t>
      </w:r>
      <w:r>
        <w:t>Period,</w:t>
      </w:r>
      <w:r>
        <w:rPr>
          <w:spacing w:val="-1"/>
        </w:rPr>
        <w:t xml:space="preserve"> </w:t>
      </w:r>
      <w:r>
        <w:t>the extent to</w:t>
      </w:r>
      <w:r>
        <w:rPr>
          <w:spacing w:val="-1"/>
        </w:rPr>
        <w:t xml:space="preserve"> </w:t>
      </w:r>
      <w:r>
        <w:t>which</w:t>
      </w:r>
      <w:r>
        <w:rPr>
          <w:spacing w:val="-1"/>
        </w:rPr>
        <w:t xml:space="preserve"> </w:t>
      </w:r>
      <w:r>
        <w:t>non-government schools and private health services should be dealt with under a human rights enactment has particularly arisen in the</w:t>
      </w:r>
      <w:r>
        <w:rPr>
          <w:spacing w:val="-2"/>
        </w:rPr>
        <w:t xml:space="preserve"> </w:t>
      </w:r>
      <w:r>
        <w:t>context of</w:t>
      </w:r>
      <w:r>
        <w:rPr>
          <w:spacing w:val="-1"/>
        </w:rPr>
        <w:t xml:space="preserve"> </w:t>
      </w:r>
      <w:r>
        <w:t>religious</w:t>
      </w:r>
      <w:r>
        <w:rPr>
          <w:spacing w:val="-1"/>
        </w:rPr>
        <w:t xml:space="preserve"> </w:t>
      </w:r>
      <w:r>
        <w:t>freedom. This</w:t>
      </w:r>
      <w:r>
        <w:rPr>
          <w:spacing w:val="-2"/>
        </w:rPr>
        <w:t xml:space="preserve"> </w:t>
      </w:r>
      <w:r>
        <w:t>is an</w:t>
      </w:r>
      <w:r>
        <w:rPr>
          <w:spacing w:val="-2"/>
        </w:rPr>
        <w:t xml:space="preserve"> </w:t>
      </w:r>
      <w:r>
        <w:t>important issue</w:t>
      </w:r>
      <w:r>
        <w:rPr>
          <w:spacing w:val="-1"/>
        </w:rPr>
        <w:t xml:space="preserve"> </w:t>
      </w:r>
      <w:r>
        <w:t>that</w:t>
      </w:r>
      <w:r>
        <w:rPr>
          <w:spacing w:val="-1"/>
        </w:rPr>
        <w:t xml:space="preserve"> </w:t>
      </w:r>
      <w:r>
        <w:t>requires wider consultation.</w:t>
      </w:r>
      <w:r>
        <w:rPr>
          <w:spacing w:val="-1"/>
        </w:rPr>
        <w:t xml:space="preserve"> </w:t>
      </w:r>
      <w:r>
        <w:t>While</w:t>
      </w:r>
      <w:r>
        <w:rPr>
          <w:spacing w:val="-2"/>
        </w:rPr>
        <w:t xml:space="preserve"> </w:t>
      </w:r>
      <w:r>
        <w:t>the tensions</w:t>
      </w:r>
      <w:r>
        <w:rPr>
          <w:spacing w:val="-14"/>
        </w:rPr>
        <w:t xml:space="preserve"> </w:t>
      </w:r>
      <w:r>
        <w:t>between</w:t>
      </w:r>
      <w:r>
        <w:rPr>
          <w:spacing w:val="-14"/>
        </w:rPr>
        <w:t xml:space="preserve"> </w:t>
      </w:r>
      <w:r>
        <w:t>the</w:t>
      </w:r>
      <w:r>
        <w:rPr>
          <w:spacing w:val="-14"/>
        </w:rPr>
        <w:t xml:space="preserve"> </w:t>
      </w:r>
      <w:r>
        <w:t>right</w:t>
      </w:r>
      <w:r>
        <w:rPr>
          <w:spacing w:val="-13"/>
        </w:rPr>
        <w:t xml:space="preserve"> </w:t>
      </w:r>
      <w:r>
        <w:t>to</w:t>
      </w:r>
      <w:r>
        <w:rPr>
          <w:spacing w:val="-14"/>
        </w:rPr>
        <w:t xml:space="preserve"> </w:t>
      </w:r>
      <w:r>
        <w:t>religious</w:t>
      </w:r>
      <w:r>
        <w:rPr>
          <w:spacing w:val="-14"/>
        </w:rPr>
        <w:t xml:space="preserve"> </w:t>
      </w:r>
      <w:r>
        <w:t>freedom</w:t>
      </w:r>
      <w:r>
        <w:rPr>
          <w:spacing w:val="-14"/>
        </w:rPr>
        <w:t xml:space="preserve"> </w:t>
      </w:r>
      <w:r>
        <w:t>and</w:t>
      </w:r>
      <w:r>
        <w:rPr>
          <w:spacing w:val="-13"/>
        </w:rPr>
        <w:t xml:space="preserve"> </w:t>
      </w:r>
      <w:r>
        <w:t>the</w:t>
      </w:r>
      <w:r>
        <w:rPr>
          <w:spacing w:val="-14"/>
        </w:rPr>
        <w:t xml:space="preserve"> </w:t>
      </w:r>
      <w:r>
        <w:t>right</w:t>
      </w:r>
      <w:r>
        <w:rPr>
          <w:spacing w:val="-13"/>
        </w:rPr>
        <w:t xml:space="preserve"> </w:t>
      </w:r>
      <w:r>
        <w:t>to</w:t>
      </w:r>
      <w:r>
        <w:rPr>
          <w:spacing w:val="-13"/>
        </w:rPr>
        <w:t xml:space="preserve"> </w:t>
      </w:r>
      <w:r>
        <w:t>be</w:t>
      </w:r>
      <w:r>
        <w:rPr>
          <w:spacing w:val="-13"/>
        </w:rPr>
        <w:t xml:space="preserve"> </w:t>
      </w:r>
      <w:r>
        <w:t>free</w:t>
      </w:r>
      <w:r>
        <w:rPr>
          <w:spacing w:val="-14"/>
        </w:rPr>
        <w:t xml:space="preserve"> </w:t>
      </w:r>
      <w:r>
        <w:t>from</w:t>
      </w:r>
      <w:r>
        <w:rPr>
          <w:spacing w:val="-12"/>
        </w:rPr>
        <w:t xml:space="preserve"> </w:t>
      </w:r>
      <w:r>
        <w:t>discrimination</w:t>
      </w:r>
      <w:r>
        <w:rPr>
          <w:spacing w:val="-14"/>
        </w:rPr>
        <w:t xml:space="preserve"> </w:t>
      </w:r>
      <w:r>
        <w:t>under</w:t>
      </w:r>
      <w:r>
        <w:rPr>
          <w:spacing w:val="-12"/>
        </w:rPr>
        <w:t xml:space="preserve"> </w:t>
      </w:r>
      <w:r>
        <w:t>human rights principles and the exemption of religious bodies from anti-discrimination laws have been the subject</w:t>
      </w:r>
      <w:r>
        <w:rPr>
          <w:spacing w:val="-6"/>
        </w:rPr>
        <w:t xml:space="preserve"> </w:t>
      </w:r>
      <w:r>
        <w:t>of</w:t>
      </w:r>
      <w:r>
        <w:rPr>
          <w:spacing w:val="-6"/>
        </w:rPr>
        <w:t xml:space="preserve"> </w:t>
      </w:r>
      <w:r>
        <w:t>contentious</w:t>
      </w:r>
      <w:r>
        <w:rPr>
          <w:spacing w:val="-6"/>
        </w:rPr>
        <w:t xml:space="preserve"> </w:t>
      </w:r>
      <w:r>
        <w:t>public</w:t>
      </w:r>
      <w:r>
        <w:rPr>
          <w:spacing w:val="-6"/>
        </w:rPr>
        <w:t xml:space="preserve"> </w:t>
      </w:r>
      <w:r>
        <w:t>debate</w:t>
      </w:r>
      <w:r>
        <w:rPr>
          <w:spacing w:val="-6"/>
        </w:rPr>
        <w:t xml:space="preserve"> </w:t>
      </w:r>
      <w:r>
        <w:t>at</w:t>
      </w:r>
      <w:r>
        <w:rPr>
          <w:spacing w:val="-6"/>
        </w:rPr>
        <w:t xml:space="preserve"> </w:t>
      </w:r>
      <w:r>
        <w:t>both</w:t>
      </w:r>
      <w:r>
        <w:rPr>
          <w:spacing w:val="-7"/>
        </w:rPr>
        <w:t xml:space="preserve"> </w:t>
      </w:r>
      <w:r>
        <w:t>State</w:t>
      </w:r>
      <w:r>
        <w:rPr>
          <w:spacing w:val="-9"/>
        </w:rPr>
        <w:t xml:space="preserve"> </w:t>
      </w:r>
      <w:r>
        <w:t>and</w:t>
      </w:r>
      <w:r>
        <w:rPr>
          <w:spacing w:val="-7"/>
        </w:rPr>
        <w:t xml:space="preserve"> </w:t>
      </w:r>
      <w:r>
        <w:t>national</w:t>
      </w:r>
      <w:r>
        <w:rPr>
          <w:spacing w:val="-5"/>
        </w:rPr>
        <w:t xml:space="preserve"> </w:t>
      </w:r>
      <w:r>
        <w:t>levels,</w:t>
      </w:r>
      <w:r>
        <w:rPr>
          <w:spacing w:val="-6"/>
        </w:rPr>
        <w:t xml:space="preserve"> </w:t>
      </w:r>
      <w:r>
        <w:t>this</w:t>
      </w:r>
      <w:r>
        <w:rPr>
          <w:spacing w:val="-6"/>
        </w:rPr>
        <w:t xml:space="preserve"> </w:t>
      </w:r>
      <w:r>
        <w:t>broader</w:t>
      </w:r>
      <w:r>
        <w:rPr>
          <w:spacing w:val="-8"/>
        </w:rPr>
        <w:t xml:space="preserve"> </w:t>
      </w:r>
      <w:r>
        <w:t>inquiry</w:t>
      </w:r>
      <w:r>
        <w:rPr>
          <w:spacing w:val="-6"/>
        </w:rPr>
        <w:t xml:space="preserve"> </w:t>
      </w:r>
      <w:r>
        <w:t>is</w:t>
      </w:r>
      <w:r>
        <w:rPr>
          <w:spacing w:val="-9"/>
        </w:rPr>
        <w:t xml:space="preserve"> </w:t>
      </w:r>
      <w:r>
        <w:t>beyond</w:t>
      </w:r>
      <w:r>
        <w:rPr>
          <w:spacing w:val="-7"/>
        </w:rPr>
        <w:t xml:space="preserve"> </w:t>
      </w:r>
      <w:r>
        <w:t>the scope of this Research Paper. The preparation of this Research Paper did not involve, and was not intended</w:t>
      </w:r>
      <w:r>
        <w:rPr>
          <w:spacing w:val="-8"/>
        </w:rPr>
        <w:t xml:space="preserve"> </w:t>
      </w:r>
      <w:r>
        <w:t>to</w:t>
      </w:r>
      <w:r>
        <w:rPr>
          <w:spacing w:val="-6"/>
        </w:rPr>
        <w:t xml:space="preserve"> </w:t>
      </w:r>
      <w:r>
        <w:t>involve,</w:t>
      </w:r>
      <w:r>
        <w:rPr>
          <w:spacing w:val="-6"/>
        </w:rPr>
        <w:t xml:space="preserve"> </w:t>
      </w:r>
      <w:r>
        <w:t>a</w:t>
      </w:r>
      <w:r>
        <w:rPr>
          <w:spacing w:val="-6"/>
        </w:rPr>
        <w:t xml:space="preserve"> </w:t>
      </w:r>
      <w:r>
        <w:t>general</w:t>
      </w:r>
      <w:r>
        <w:rPr>
          <w:spacing w:val="-5"/>
        </w:rPr>
        <w:t xml:space="preserve"> </w:t>
      </w:r>
      <w:r>
        <w:t>community</w:t>
      </w:r>
      <w:r>
        <w:rPr>
          <w:spacing w:val="-6"/>
        </w:rPr>
        <w:t xml:space="preserve"> </w:t>
      </w:r>
      <w:r>
        <w:t>consultation,</w:t>
      </w:r>
      <w:r>
        <w:rPr>
          <w:spacing w:val="-5"/>
        </w:rPr>
        <w:t xml:space="preserve"> </w:t>
      </w:r>
      <w:r>
        <w:t>as</w:t>
      </w:r>
      <w:r>
        <w:rPr>
          <w:spacing w:val="-6"/>
        </w:rPr>
        <w:t xml:space="preserve"> </w:t>
      </w:r>
      <w:r>
        <w:t>occurred</w:t>
      </w:r>
      <w:r>
        <w:rPr>
          <w:spacing w:val="-5"/>
        </w:rPr>
        <w:t xml:space="preserve"> </w:t>
      </w:r>
      <w:r>
        <w:t>in</w:t>
      </w:r>
      <w:r>
        <w:rPr>
          <w:spacing w:val="-6"/>
        </w:rPr>
        <w:t xml:space="preserve"> </w:t>
      </w:r>
      <w:r>
        <w:t>the</w:t>
      </w:r>
      <w:r>
        <w:rPr>
          <w:spacing w:val="-6"/>
        </w:rPr>
        <w:t xml:space="preserve"> </w:t>
      </w:r>
      <w:r>
        <w:t>preparation</w:t>
      </w:r>
      <w:r>
        <w:rPr>
          <w:spacing w:val="-5"/>
        </w:rPr>
        <w:t xml:space="preserve"> </w:t>
      </w:r>
      <w:r>
        <w:t>of</w:t>
      </w:r>
      <w:r>
        <w:rPr>
          <w:spacing w:val="-6"/>
        </w:rPr>
        <w:t xml:space="preserve"> </w:t>
      </w:r>
      <w:r>
        <w:t>the</w:t>
      </w:r>
      <w:r>
        <w:rPr>
          <w:spacing w:val="-6"/>
        </w:rPr>
        <w:t xml:space="preserve"> </w:t>
      </w:r>
      <w:r>
        <w:t>2007</w:t>
      </w:r>
      <w:r>
        <w:rPr>
          <w:spacing w:val="-6"/>
        </w:rPr>
        <w:t xml:space="preserve"> </w:t>
      </w:r>
      <w:r>
        <w:t>Final Report. Further, aligned with the position of the 2015 Victorian Review, the approach to be taken involves addressing the broader question of the treatment of religious bodies within a human rights enactment and anti-discrimination framework (and the interaction between the two frameworks). Relevant matters are the extent to which religious bodies are included within the definition of ‘public authority’, whether there should be a specific exemption from human rights obligations for religious bodies under the human rights enactment, and whether (and what) changes should be made to anti- discrimination laws. These are separate issues from the question of whether a human rights enactment should recognise a right to freedom of religion. In relation to this question, the TLRI maintains that a Tasmanian Charter should include a right to freedom of religion, as recommended in the TLRI 2007 Final Report.</w:t>
      </w:r>
    </w:p>
    <w:p w14:paraId="7CB260BA" w14:textId="77777777" w:rsidR="008A4099" w:rsidRDefault="006A6EE2">
      <w:pPr>
        <w:pStyle w:val="ListParagraph"/>
        <w:numPr>
          <w:ilvl w:val="2"/>
          <w:numId w:val="3"/>
        </w:numPr>
        <w:tabs>
          <w:tab w:val="left" w:pos="935"/>
        </w:tabs>
        <w:spacing w:before="217"/>
        <w:ind w:right="671" w:firstLine="0"/>
        <w:jc w:val="both"/>
      </w:pPr>
      <w:r>
        <w:t>The TLRI’s view is that its examination of events in the Review Period highlights that the inclusion of religious bodies within a human rights framework is a highly contentious issue that needs to be resolved and requires further consultation. Further, the TLRI considers that it should be a matter for early review. As part of this review, consideration should be given to the human rights enactment providing that non-government schools and health services be subject to any Tasmanian Charter of Rights from the outset, rather than deferring decisions about their inclusion to future reviews.</w:t>
      </w:r>
      <w:r>
        <w:rPr>
          <w:spacing w:val="-1"/>
        </w:rPr>
        <w:t xml:space="preserve"> </w:t>
      </w:r>
      <w:r>
        <w:t>The review should also consider the interaction between the human rights legislation and the anti- discrimination legislation, and other relevant Tasmanian laws.</w:t>
      </w:r>
    </w:p>
    <w:p w14:paraId="7CB260BB" w14:textId="77777777" w:rsidR="008A4099" w:rsidRDefault="008A4099">
      <w:pPr>
        <w:pStyle w:val="BodyText"/>
        <w:rPr>
          <w:sz w:val="20"/>
        </w:rPr>
      </w:pPr>
    </w:p>
    <w:p w14:paraId="7CB260BC" w14:textId="77777777" w:rsidR="008A4099" w:rsidRDefault="008A4099">
      <w:pPr>
        <w:pStyle w:val="BodyText"/>
        <w:rPr>
          <w:sz w:val="20"/>
        </w:rPr>
      </w:pPr>
    </w:p>
    <w:p w14:paraId="7CB260BD" w14:textId="77777777" w:rsidR="008A4099" w:rsidRDefault="008A4099">
      <w:pPr>
        <w:pStyle w:val="BodyText"/>
        <w:rPr>
          <w:sz w:val="20"/>
        </w:rPr>
      </w:pPr>
    </w:p>
    <w:p w14:paraId="7CB260BE" w14:textId="77777777" w:rsidR="008A4099" w:rsidRDefault="008A4099">
      <w:pPr>
        <w:pStyle w:val="BodyText"/>
        <w:rPr>
          <w:sz w:val="20"/>
        </w:rPr>
      </w:pPr>
    </w:p>
    <w:p w14:paraId="7CB260BF" w14:textId="77777777" w:rsidR="008A4099" w:rsidRDefault="008A4099">
      <w:pPr>
        <w:pStyle w:val="BodyText"/>
        <w:rPr>
          <w:sz w:val="20"/>
        </w:rPr>
      </w:pPr>
    </w:p>
    <w:p w14:paraId="7CB260C0" w14:textId="77777777" w:rsidR="008A4099" w:rsidRDefault="008A4099">
      <w:pPr>
        <w:pStyle w:val="BodyText"/>
        <w:rPr>
          <w:sz w:val="20"/>
        </w:rPr>
      </w:pPr>
    </w:p>
    <w:p w14:paraId="7CB260C1" w14:textId="77777777" w:rsidR="008A4099" w:rsidRDefault="008A4099">
      <w:pPr>
        <w:pStyle w:val="BodyText"/>
        <w:rPr>
          <w:sz w:val="20"/>
        </w:rPr>
      </w:pPr>
    </w:p>
    <w:p w14:paraId="7CB260C2" w14:textId="77777777" w:rsidR="008A4099" w:rsidRDefault="006A6EE2">
      <w:pPr>
        <w:pStyle w:val="BodyText"/>
        <w:spacing w:before="125"/>
        <w:rPr>
          <w:sz w:val="20"/>
        </w:rPr>
      </w:pPr>
      <w:r>
        <w:rPr>
          <w:noProof/>
        </w:rPr>
        <mc:AlternateContent>
          <mc:Choice Requires="wps">
            <w:drawing>
              <wp:anchor distT="0" distB="0" distL="0" distR="0" simplePos="0" relativeHeight="487617536" behindDoc="1" locked="0" layoutInCell="1" allowOverlap="1" wp14:anchorId="7CB2664D" wp14:editId="7CB2664E">
                <wp:simplePos x="0" y="0"/>
                <wp:positionH relativeFrom="page">
                  <wp:posOffset>914704</wp:posOffset>
                </wp:positionH>
                <wp:positionV relativeFrom="paragraph">
                  <wp:posOffset>240785</wp:posOffset>
                </wp:positionV>
                <wp:extent cx="1829435" cy="762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C06F68" id="Graphic 106" o:spid="_x0000_s1026" style="position:absolute;margin-left:1in;margin-top:18.95pt;width:144.05pt;height:.6pt;z-index:-156989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" path="m1829054,l,,,7619r1829054,l1829054,xe" fillcolor="black" stroked="f">
                <v:path arrowok="t"/>
                <w10:wrap type="topAndBottom" anchorx="page"/>
              </v:shape>
            </w:pict>
          </mc:Fallback>
        </mc:AlternateContent>
      </w:r>
    </w:p>
    <w:p w14:paraId="7CB260C3" w14:textId="77777777" w:rsidR="008A4099" w:rsidRDefault="006A6EE2">
      <w:pPr>
        <w:spacing w:before="112"/>
        <w:ind w:left="160"/>
        <w:rPr>
          <w:sz w:val="18"/>
        </w:rPr>
      </w:pPr>
      <w:r>
        <w:rPr>
          <w:sz w:val="18"/>
          <w:vertAlign w:val="superscript"/>
        </w:rPr>
        <w:t>365</w:t>
      </w:r>
      <w:r>
        <w:rPr>
          <w:spacing w:val="-1"/>
          <w:sz w:val="18"/>
        </w:rPr>
        <w:t xml:space="preserve"> </w:t>
      </w:r>
      <w:r>
        <w:rPr>
          <w:sz w:val="18"/>
        </w:rPr>
        <w:t>Brett Young,</w:t>
      </w:r>
      <w:r>
        <w:rPr>
          <w:spacing w:val="1"/>
          <w:sz w:val="18"/>
        </w:rPr>
        <w:t xml:space="preserve"> </w:t>
      </w:r>
      <w:r>
        <w:rPr>
          <w:i/>
          <w:sz w:val="18"/>
        </w:rPr>
        <w:t>From Commitment</w:t>
      </w:r>
      <w:r>
        <w:rPr>
          <w:i/>
          <w:spacing w:val="-2"/>
          <w:sz w:val="18"/>
        </w:rPr>
        <w:t xml:space="preserve"> </w:t>
      </w:r>
      <w:r>
        <w:rPr>
          <w:i/>
          <w:sz w:val="18"/>
        </w:rPr>
        <w:t>to</w:t>
      </w:r>
      <w:r>
        <w:rPr>
          <w:i/>
          <w:spacing w:val="1"/>
          <w:sz w:val="18"/>
        </w:rPr>
        <w:t xml:space="preserve"> </w:t>
      </w:r>
      <w:r>
        <w:rPr>
          <w:i/>
          <w:sz w:val="18"/>
        </w:rPr>
        <w:t>Culture</w:t>
      </w:r>
      <w:r>
        <w:rPr>
          <w:i/>
          <w:spacing w:val="1"/>
          <w:sz w:val="18"/>
        </w:rPr>
        <w:t xml:space="preserve"> </w:t>
      </w:r>
      <w:r>
        <w:rPr>
          <w:sz w:val="18"/>
        </w:rPr>
        <w:t>58,</w:t>
      </w:r>
      <w:r>
        <w:rPr>
          <w:spacing w:val="-3"/>
          <w:sz w:val="18"/>
        </w:rPr>
        <w:t xml:space="preserve"> </w:t>
      </w:r>
      <w:r>
        <w:rPr>
          <w:sz w:val="18"/>
        </w:rPr>
        <w:t>60, Recommendation</w:t>
      </w:r>
      <w:r>
        <w:rPr>
          <w:spacing w:val="-1"/>
          <w:sz w:val="18"/>
        </w:rPr>
        <w:t xml:space="preserve"> </w:t>
      </w:r>
      <w:r>
        <w:rPr>
          <w:spacing w:val="-5"/>
          <w:sz w:val="18"/>
        </w:rPr>
        <w:t>12.</w:t>
      </w:r>
    </w:p>
    <w:p w14:paraId="7CB260C4" w14:textId="77777777" w:rsidR="008A4099" w:rsidRDefault="008A4099">
      <w:pPr>
        <w:rPr>
          <w:sz w:val="18"/>
        </w:rPr>
        <w:sectPr w:rsidR="008A4099" w:rsidSect="00D43B2D">
          <w:pgSz w:w="11910" w:h="16840"/>
          <w:pgMar w:top="980" w:right="760" w:bottom="940" w:left="1280" w:header="718" w:footer="753" w:gutter="0"/>
          <w:cols w:space="720"/>
        </w:sectPr>
      </w:pPr>
    </w:p>
    <w:p w14:paraId="7CB260C5" w14:textId="77777777" w:rsidR="008A4099" w:rsidRDefault="008A4099">
      <w:pPr>
        <w:pStyle w:val="BodyText"/>
        <w:spacing w:before="218"/>
        <w:rPr>
          <w:sz w:val="20"/>
        </w:rPr>
      </w:pPr>
    </w:p>
    <w:p w14:paraId="7CB260C6" w14:textId="77777777" w:rsidR="008A4099" w:rsidRDefault="006A6EE2">
      <w:pPr>
        <w:pStyle w:val="BodyText"/>
        <w:ind w:left="160"/>
        <w:rPr>
          <w:sz w:val="20"/>
        </w:rPr>
      </w:pPr>
      <w:r>
        <w:rPr>
          <w:noProof/>
          <w:sz w:val="20"/>
        </w:rPr>
        <mc:AlternateContent>
          <mc:Choice Requires="wps">
            <w:drawing>
              <wp:inline distT="0" distB="0" distL="0" distR="0" wp14:anchorId="7CB2664F" wp14:editId="7CB26650">
                <wp:extent cx="5727065" cy="1254760"/>
                <wp:effectExtent l="0" t="0" r="0" b="0"/>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54760"/>
                        </a:xfrm>
                        <a:prstGeom prst="rect">
                          <a:avLst/>
                        </a:prstGeom>
                        <a:solidFill>
                          <a:srgbClr val="E8E8E8"/>
                        </a:solidFill>
                      </wps:spPr>
                      <wps:txbx>
                        <w:txbxContent>
                          <w:p w14:paraId="7CB26767" w14:textId="77777777" w:rsidR="008A4099" w:rsidRDefault="006A6EE2">
                            <w:pPr>
                              <w:spacing w:before="220"/>
                              <w:ind w:left="108"/>
                              <w:jc w:val="both"/>
                              <w:rPr>
                                <w:b/>
                                <w:color w:val="000000"/>
                                <w:sz w:val="23"/>
                              </w:rPr>
                            </w:pPr>
                            <w:r>
                              <w:rPr>
                                <w:b/>
                                <w:color w:val="000000"/>
                                <w:sz w:val="23"/>
                              </w:rPr>
                              <w:t>Recommendation</w:t>
                            </w:r>
                            <w:r>
                              <w:rPr>
                                <w:b/>
                                <w:color w:val="000000"/>
                                <w:spacing w:val="-5"/>
                                <w:sz w:val="23"/>
                              </w:rPr>
                              <w:t xml:space="preserve"> </w:t>
                            </w:r>
                            <w:r>
                              <w:rPr>
                                <w:b/>
                                <w:color w:val="000000"/>
                                <w:sz w:val="23"/>
                              </w:rPr>
                              <w:t>2</w:t>
                            </w:r>
                            <w:r>
                              <w:rPr>
                                <w:b/>
                                <w:color w:val="000000"/>
                                <w:spacing w:val="-3"/>
                                <w:sz w:val="23"/>
                              </w:rPr>
                              <w:t xml:space="preserve"> </w:t>
                            </w:r>
                            <w:r>
                              <w:rPr>
                                <w:b/>
                                <w:color w:val="000000"/>
                                <w:sz w:val="23"/>
                              </w:rPr>
                              <w:t>–</w:t>
                            </w:r>
                            <w:r>
                              <w:rPr>
                                <w:b/>
                                <w:color w:val="000000"/>
                                <w:spacing w:val="-2"/>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z w:val="23"/>
                              </w:rPr>
                              <w:t>Obligations</w:t>
                            </w:r>
                            <w:r>
                              <w:rPr>
                                <w:b/>
                                <w:color w:val="000000"/>
                                <w:spacing w:val="-5"/>
                                <w:sz w:val="23"/>
                              </w:rPr>
                              <w:t xml:space="preserve"> </w:t>
                            </w:r>
                            <w:r>
                              <w:rPr>
                                <w:b/>
                                <w:color w:val="000000"/>
                                <w:sz w:val="23"/>
                              </w:rPr>
                              <w:t>of</w:t>
                            </w:r>
                            <w:r>
                              <w:rPr>
                                <w:b/>
                                <w:color w:val="000000"/>
                                <w:spacing w:val="-2"/>
                                <w:sz w:val="23"/>
                              </w:rPr>
                              <w:t xml:space="preserve"> </w:t>
                            </w:r>
                            <w:r>
                              <w:rPr>
                                <w:b/>
                                <w:color w:val="000000"/>
                                <w:sz w:val="23"/>
                              </w:rPr>
                              <w:t>Public</w:t>
                            </w:r>
                            <w:r>
                              <w:rPr>
                                <w:b/>
                                <w:color w:val="000000"/>
                                <w:spacing w:val="-2"/>
                                <w:sz w:val="23"/>
                              </w:rPr>
                              <w:t xml:space="preserve"> Authorities</w:t>
                            </w:r>
                          </w:p>
                          <w:p w14:paraId="7CB26768" w14:textId="77777777" w:rsidR="008A4099" w:rsidRDefault="006A6EE2">
                            <w:pPr>
                              <w:pStyle w:val="BodyText"/>
                              <w:spacing w:before="242"/>
                              <w:ind w:left="108"/>
                              <w:jc w:val="both"/>
                              <w:rPr>
                                <w:color w:val="000000"/>
                              </w:rPr>
                            </w:pPr>
                            <w:r>
                              <w:rPr>
                                <w:color w:val="000000"/>
                              </w:rPr>
                              <w:t>That</w:t>
                            </w:r>
                            <w:r>
                              <w:rPr>
                                <w:color w:val="000000"/>
                                <w:spacing w:val="-4"/>
                              </w:rPr>
                              <w:t xml:space="preserve"> </w:t>
                            </w:r>
                            <w:r>
                              <w:rPr>
                                <w:color w:val="000000"/>
                              </w:rPr>
                              <w:t>all</w:t>
                            </w:r>
                            <w:r>
                              <w:rPr>
                                <w:color w:val="000000"/>
                                <w:spacing w:val="-5"/>
                              </w:rPr>
                              <w:t xml:space="preserve"> </w:t>
                            </w:r>
                            <w:r>
                              <w:rPr>
                                <w:color w:val="000000"/>
                              </w:rPr>
                              <w:t>public</w:t>
                            </w:r>
                            <w:r>
                              <w:rPr>
                                <w:color w:val="000000"/>
                                <w:spacing w:val="-5"/>
                              </w:rPr>
                              <w:t xml:space="preserve"> </w:t>
                            </w:r>
                            <w:r>
                              <w:rPr>
                                <w:color w:val="000000"/>
                              </w:rPr>
                              <w:t>authorities</w:t>
                            </w:r>
                            <w:r>
                              <w:rPr>
                                <w:color w:val="000000"/>
                                <w:spacing w:val="-3"/>
                              </w:rPr>
                              <w:t xml:space="preserve"> </w:t>
                            </w:r>
                            <w:r>
                              <w:rPr>
                                <w:color w:val="000000"/>
                              </w:rPr>
                              <w:t>be</w:t>
                            </w:r>
                            <w:r>
                              <w:rPr>
                                <w:color w:val="000000"/>
                                <w:spacing w:val="-3"/>
                              </w:rPr>
                              <w:t xml:space="preserve"> </w:t>
                            </w:r>
                            <w:r>
                              <w:rPr>
                                <w:color w:val="000000"/>
                              </w:rPr>
                              <w:t>bound</w:t>
                            </w:r>
                            <w:r>
                              <w:rPr>
                                <w:color w:val="000000"/>
                                <w:spacing w:val="-3"/>
                              </w:rPr>
                              <w:t xml:space="preserve"> </w:t>
                            </w:r>
                            <w:r>
                              <w:rPr>
                                <w:color w:val="000000"/>
                              </w:rPr>
                              <w:t>by</w:t>
                            </w:r>
                            <w:r>
                              <w:rPr>
                                <w:color w:val="000000"/>
                                <w:spacing w:val="-4"/>
                              </w:rPr>
                              <w:t xml:space="preserve"> </w:t>
                            </w:r>
                            <w:r>
                              <w:rPr>
                                <w:color w:val="000000"/>
                              </w:rPr>
                              <w:t>the</w:t>
                            </w:r>
                            <w:r>
                              <w:rPr>
                                <w:color w:val="000000"/>
                                <w:spacing w:val="-3"/>
                              </w:rPr>
                              <w:t xml:space="preserve"> </w:t>
                            </w:r>
                            <w:r>
                              <w:rPr>
                                <w:color w:val="000000"/>
                              </w:rPr>
                              <w:t>Tasmanian</w:t>
                            </w:r>
                            <w:r>
                              <w:rPr>
                                <w:color w:val="000000"/>
                                <w:spacing w:val="-6"/>
                              </w:rPr>
                              <w:t xml:space="preserve"> </w:t>
                            </w:r>
                            <w:r>
                              <w:rPr>
                                <w:color w:val="000000"/>
                              </w:rPr>
                              <w:t>Human</w:t>
                            </w:r>
                            <w:r>
                              <w:rPr>
                                <w:color w:val="000000"/>
                                <w:spacing w:val="-3"/>
                              </w:rPr>
                              <w:t xml:space="preserve"> </w:t>
                            </w:r>
                            <w:r>
                              <w:rPr>
                                <w:color w:val="000000"/>
                              </w:rPr>
                              <w:t>Rights</w:t>
                            </w:r>
                            <w:r>
                              <w:rPr>
                                <w:color w:val="000000"/>
                                <w:spacing w:val="-3"/>
                              </w:rPr>
                              <w:t xml:space="preserve"> </w:t>
                            </w:r>
                            <w:r>
                              <w:rPr>
                                <w:color w:val="000000"/>
                              </w:rPr>
                              <w:t>Charter</w:t>
                            </w:r>
                            <w:r>
                              <w:rPr>
                                <w:color w:val="000000"/>
                                <w:spacing w:val="-3"/>
                              </w:rPr>
                              <w:t xml:space="preserve"> </w:t>
                            </w:r>
                            <w:r>
                              <w:rPr>
                                <w:color w:val="000000"/>
                              </w:rPr>
                              <w:t>or</w:t>
                            </w:r>
                            <w:r>
                              <w:rPr>
                                <w:color w:val="000000"/>
                                <w:spacing w:val="-3"/>
                              </w:rPr>
                              <w:t xml:space="preserve"> </w:t>
                            </w:r>
                            <w:r>
                              <w:rPr>
                                <w:color w:val="000000"/>
                                <w:spacing w:val="-4"/>
                              </w:rPr>
                              <w:t>Act.</w:t>
                            </w:r>
                          </w:p>
                          <w:p w14:paraId="7CB26769" w14:textId="77777777" w:rsidR="008A4099" w:rsidRDefault="006A6EE2">
                            <w:pPr>
                              <w:pStyle w:val="BodyText"/>
                              <w:spacing w:before="116"/>
                              <w:ind w:left="108" w:right="224"/>
                              <w:jc w:val="both"/>
                              <w:rPr>
                                <w:color w:val="000000"/>
                              </w:rPr>
                            </w:pPr>
                            <w:r>
                              <w:rPr>
                                <w:color w:val="000000"/>
                              </w:rPr>
                              <w:t>Public</w:t>
                            </w:r>
                            <w:r>
                              <w:rPr>
                                <w:color w:val="000000"/>
                                <w:spacing w:val="-9"/>
                              </w:rPr>
                              <w:t xml:space="preserve"> </w:t>
                            </w:r>
                            <w:r>
                              <w:rPr>
                                <w:color w:val="000000"/>
                              </w:rPr>
                              <w:t>authorities</w:t>
                            </w:r>
                            <w:r>
                              <w:rPr>
                                <w:color w:val="000000"/>
                                <w:spacing w:val="-9"/>
                              </w:rPr>
                              <w:t xml:space="preserve"> </w:t>
                            </w:r>
                            <w:r>
                              <w:rPr>
                                <w:color w:val="000000"/>
                              </w:rPr>
                              <w:t>should</w:t>
                            </w:r>
                            <w:r>
                              <w:rPr>
                                <w:color w:val="000000"/>
                                <w:spacing w:val="-10"/>
                              </w:rPr>
                              <w:t xml:space="preserve"> </w:t>
                            </w:r>
                            <w:r>
                              <w:rPr>
                                <w:color w:val="000000"/>
                              </w:rPr>
                              <w:t>be</w:t>
                            </w:r>
                            <w:r>
                              <w:rPr>
                                <w:color w:val="000000"/>
                                <w:spacing w:val="-12"/>
                              </w:rPr>
                              <w:t xml:space="preserve"> </w:t>
                            </w:r>
                            <w:r>
                              <w:rPr>
                                <w:color w:val="000000"/>
                              </w:rPr>
                              <w:t>required</w:t>
                            </w:r>
                            <w:r>
                              <w:rPr>
                                <w:color w:val="000000"/>
                                <w:spacing w:val="-9"/>
                              </w:rPr>
                              <w:t xml:space="preserve"> </w:t>
                            </w:r>
                            <w:r>
                              <w:rPr>
                                <w:color w:val="000000"/>
                              </w:rPr>
                              <w:t>to</w:t>
                            </w:r>
                            <w:r>
                              <w:rPr>
                                <w:color w:val="000000"/>
                                <w:spacing w:val="-10"/>
                              </w:rPr>
                              <w:t xml:space="preserve"> </w:t>
                            </w:r>
                            <w:r>
                              <w:rPr>
                                <w:color w:val="000000"/>
                              </w:rPr>
                              <w:t>act</w:t>
                            </w:r>
                            <w:r>
                              <w:rPr>
                                <w:color w:val="000000"/>
                                <w:spacing w:val="-9"/>
                              </w:rPr>
                              <w:t xml:space="preserve"> </w:t>
                            </w:r>
                            <w:r>
                              <w:rPr>
                                <w:color w:val="000000"/>
                              </w:rPr>
                              <w:t>in</w:t>
                            </w:r>
                            <w:r>
                              <w:rPr>
                                <w:color w:val="000000"/>
                                <w:spacing w:val="-10"/>
                              </w:rPr>
                              <w:t xml:space="preserve"> </w:t>
                            </w:r>
                            <w:r>
                              <w:rPr>
                                <w:color w:val="000000"/>
                              </w:rPr>
                              <w:t>a</w:t>
                            </w:r>
                            <w:r>
                              <w:rPr>
                                <w:color w:val="000000"/>
                                <w:spacing w:val="-9"/>
                              </w:rPr>
                              <w:t xml:space="preserve"> </w:t>
                            </w:r>
                            <w:r>
                              <w:rPr>
                                <w:color w:val="000000"/>
                              </w:rPr>
                              <w:t>way</w:t>
                            </w:r>
                            <w:r>
                              <w:rPr>
                                <w:color w:val="000000"/>
                                <w:spacing w:val="-12"/>
                              </w:rPr>
                              <w:t xml:space="preserve"> </w:t>
                            </w:r>
                            <w:r>
                              <w:rPr>
                                <w:color w:val="000000"/>
                              </w:rPr>
                              <w:t>that</w:t>
                            </w:r>
                            <w:r>
                              <w:rPr>
                                <w:color w:val="000000"/>
                                <w:spacing w:val="-9"/>
                              </w:rPr>
                              <w:t xml:space="preserve"> </w:t>
                            </w:r>
                            <w:r>
                              <w:rPr>
                                <w:color w:val="000000"/>
                              </w:rPr>
                              <w:t>is</w:t>
                            </w:r>
                            <w:r>
                              <w:rPr>
                                <w:color w:val="000000"/>
                                <w:spacing w:val="-9"/>
                              </w:rPr>
                              <w:t xml:space="preserve"> </w:t>
                            </w:r>
                            <w:r>
                              <w:rPr>
                                <w:color w:val="000000"/>
                              </w:rPr>
                              <w:t>compatible</w:t>
                            </w:r>
                            <w:r>
                              <w:rPr>
                                <w:color w:val="000000"/>
                                <w:spacing w:val="-9"/>
                              </w:rPr>
                              <w:t xml:space="preserve"> </w:t>
                            </w:r>
                            <w:r>
                              <w:rPr>
                                <w:color w:val="000000"/>
                              </w:rPr>
                              <w:t>with</w:t>
                            </w:r>
                            <w:r>
                              <w:rPr>
                                <w:color w:val="000000"/>
                                <w:spacing w:val="-12"/>
                              </w:rPr>
                              <w:t xml:space="preserve"> </w:t>
                            </w:r>
                            <w:r>
                              <w:rPr>
                                <w:color w:val="000000"/>
                              </w:rPr>
                              <w:t>human</w:t>
                            </w:r>
                            <w:r>
                              <w:rPr>
                                <w:color w:val="000000"/>
                                <w:spacing w:val="-12"/>
                              </w:rPr>
                              <w:t xml:space="preserve"> </w:t>
                            </w:r>
                            <w:r>
                              <w:rPr>
                                <w:color w:val="000000"/>
                              </w:rPr>
                              <w:t>rights</w:t>
                            </w:r>
                            <w:r>
                              <w:rPr>
                                <w:color w:val="000000"/>
                                <w:spacing w:val="-11"/>
                              </w:rPr>
                              <w:t xml:space="preserve"> </w:t>
                            </w:r>
                            <w:r>
                              <w:rPr>
                                <w:color w:val="000000"/>
                              </w:rPr>
                              <w:t>and,</w:t>
                            </w:r>
                            <w:r>
                              <w:rPr>
                                <w:color w:val="000000"/>
                                <w:spacing w:val="-9"/>
                              </w:rPr>
                              <w:t xml:space="preserve"> </w:t>
                            </w:r>
                            <w:r>
                              <w:rPr>
                                <w:color w:val="000000"/>
                              </w:rPr>
                              <w:t>when making</w:t>
                            </w:r>
                            <w:r>
                              <w:rPr>
                                <w:color w:val="000000"/>
                                <w:spacing w:val="-3"/>
                              </w:rPr>
                              <w:t xml:space="preserve"> </w:t>
                            </w:r>
                            <w:r>
                              <w:rPr>
                                <w:color w:val="000000"/>
                              </w:rPr>
                              <w:t>decisions,</w:t>
                            </w:r>
                            <w:r>
                              <w:rPr>
                                <w:color w:val="000000"/>
                                <w:spacing w:val="-3"/>
                              </w:rPr>
                              <w:t xml:space="preserve"> </w:t>
                            </w:r>
                            <w:r>
                              <w:rPr>
                                <w:color w:val="000000"/>
                              </w:rPr>
                              <w:t>to</w:t>
                            </w:r>
                            <w:r>
                              <w:rPr>
                                <w:color w:val="000000"/>
                                <w:spacing w:val="-3"/>
                              </w:rPr>
                              <w:t xml:space="preserve"> </w:t>
                            </w:r>
                            <w:r>
                              <w:rPr>
                                <w:color w:val="000000"/>
                              </w:rPr>
                              <w:t>give</w:t>
                            </w:r>
                            <w:r>
                              <w:rPr>
                                <w:color w:val="000000"/>
                                <w:spacing w:val="-3"/>
                              </w:rPr>
                              <w:t xml:space="preserve"> </w:t>
                            </w:r>
                            <w:r>
                              <w:rPr>
                                <w:color w:val="000000"/>
                              </w:rPr>
                              <w:t>proper</w:t>
                            </w:r>
                            <w:r>
                              <w:rPr>
                                <w:color w:val="000000"/>
                                <w:spacing w:val="-3"/>
                              </w:rPr>
                              <w:t xml:space="preserve"> </w:t>
                            </w:r>
                            <w:r>
                              <w:rPr>
                                <w:color w:val="000000"/>
                              </w:rPr>
                              <w:t>consideration</w:t>
                            </w:r>
                            <w:r>
                              <w:rPr>
                                <w:color w:val="000000"/>
                                <w:spacing w:val="-6"/>
                              </w:rPr>
                              <w:t xml:space="preserve"> </w:t>
                            </w:r>
                            <w:r>
                              <w:rPr>
                                <w:color w:val="000000"/>
                              </w:rPr>
                              <w:t>to</w:t>
                            </w:r>
                            <w:r>
                              <w:rPr>
                                <w:color w:val="000000"/>
                                <w:spacing w:val="-3"/>
                              </w:rPr>
                              <w:t xml:space="preserve"> </w:t>
                            </w:r>
                            <w:r>
                              <w:rPr>
                                <w:color w:val="000000"/>
                              </w:rPr>
                              <w:t>relevant</w:t>
                            </w:r>
                            <w:r>
                              <w:rPr>
                                <w:color w:val="000000"/>
                                <w:spacing w:val="-2"/>
                              </w:rPr>
                              <w:t xml:space="preserve"> </w:t>
                            </w:r>
                            <w:r>
                              <w:rPr>
                                <w:color w:val="000000"/>
                              </w:rPr>
                              <w:t>human</w:t>
                            </w:r>
                            <w:r>
                              <w:rPr>
                                <w:color w:val="000000"/>
                                <w:spacing w:val="-3"/>
                              </w:rPr>
                              <w:t xml:space="preserve"> </w:t>
                            </w:r>
                            <w:r>
                              <w:rPr>
                                <w:color w:val="000000"/>
                              </w:rPr>
                              <w:t>rights,</w:t>
                            </w:r>
                            <w:r>
                              <w:rPr>
                                <w:color w:val="000000"/>
                                <w:spacing w:val="-3"/>
                              </w:rPr>
                              <w:t xml:space="preserve"> </w:t>
                            </w:r>
                            <w:r>
                              <w:rPr>
                                <w:color w:val="000000"/>
                              </w:rPr>
                              <w:t>unless</w:t>
                            </w:r>
                            <w:r>
                              <w:rPr>
                                <w:color w:val="000000"/>
                                <w:spacing w:val="-3"/>
                              </w:rPr>
                              <w:t xml:space="preserve"> </w:t>
                            </w:r>
                            <w:r>
                              <w:rPr>
                                <w:color w:val="000000"/>
                              </w:rPr>
                              <w:t>otherwise</w:t>
                            </w:r>
                            <w:r>
                              <w:rPr>
                                <w:color w:val="000000"/>
                                <w:spacing w:val="-3"/>
                              </w:rPr>
                              <w:t xml:space="preserve"> </w:t>
                            </w:r>
                            <w:r>
                              <w:rPr>
                                <w:color w:val="000000"/>
                              </w:rPr>
                              <w:t>required by particular legislation.</w:t>
                            </w:r>
                          </w:p>
                        </w:txbxContent>
                      </wps:txbx>
                      <wps:bodyPr wrap="square" lIns="0" tIns="0" rIns="0" bIns="0" rtlCol="0">
                        <a:noAutofit/>
                      </wps:bodyPr>
                    </wps:wsp>
                  </a:graphicData>
                </a:graphic>
              </wp:inline>
            </w:drawing>
          </mc:Choice>
          <mc:Fallback>
            <w:pict>
              <v:shape w14:anchorId="7CB2664F" id="Textbox 107" o:spid="_x0000_s1029" type="#_x0000_t202" style="width:450.95pt;height:9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" fillcolor="#e8e8e8" stroked="f">
                <v:textbox inset="0,0,0,0">
                  <w:txbxContent>
                    <w:p w14:paraId="7CB26767" w14:textId="77777777" w:rsidR="008A4099" w:rsidRDefault="006A6EE2">
                      <w:pPr>
                        <w:spacing w:before="220"/>
                        <w:ind w:left="108"/>
                        <w:jc w:val="both"/>
                        <w:rPr>
                          <w:b/>
                          <w:color w:val="000000"/>
                          <w:sz w:val="23"/>
                        </w:rPr>
                      </w:pPr>
                      <w:r>
                        <w:rPr>
                          <w:b/>
                          <w:color w:val="000000"/>
                          <w:sz w:val="23"/>
                        </w:rPr>
                        <w:t>Recommendation</w:t>
                      </w:r>
                      <w:r>
                        <w:rPr>
                          <w:b/>
                          <w:color w:val="000000"/>
                          <w:spacing w:val="-5"/>
                          <w:sz w:val="23"/>
                        </w:rPr>
                        <w:t xml:space="preserve"> </w:t>
                      </w:r>
                      <w:r>
                        <w:rPr>
                          <w:b/>
                          <w:color w:val="000000"/>
                          <w:sz w:val="23"/>
                        </w:rPr>
                        <w:t>2</w:t>
                      </w:r>
                      <w:r>
                        <w:rPr>
                          <w:b/>
                          <w:color w:val="000000"/>
                          <w:spacing w:val="-3"/>
                          <w:sz w:val="23"/>
                        </w:rPr>
                        <w:t xml:space="preserve"> </w:t>
                      </w:r>
                      <w:r>
                        <w:rPr>
                          <w:b/>
                          <w:color w:val="000000"/>
                          <w:sz w:val="23"/>
                        </w:rPr>
                        <w:t>–</w:t>
                      </w:r>
                      <w:r>
                        <w:rPr>
                          <w:b/>
                          <w:color w:val="000000"/>
                          <w:spacing w:val="-2"/>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z w:val="23"/>
                        </w:rPr>
                        <w:t>Obligations</w:t>
                      </w:r>
                      <w:r>
                        <w:rPr>
                          <w:b/>
                          <w:color w:val="000000"/>
                          <w:spacing w:val="-5"/>
                          <w:sz w:val="23"/>
                        </w:rPr>
                        <w:t xml:space="preserve"> </w:t>
                      </w:r>
                      <w:r>
                        <w:rPr>
                          <w:b/>
                          <w:color w:val="000000"/>
                          <w:sz w:val="23"/>
                        </w:rPr>
                        <w:t>of</w:t>
                      </w:r>
                      <w:r>
                        <w:rPr>
                          <w:b/>
                          <w:color w:val="000000"/>
                          <w:spacing w:val="-2"/>
                          <w:sz w:val="23"/>
                        </w:rPr>
                        <w:t xml:space="preserve"> </w:t>
                      </w:r>
                      <w:r>
                        <w:rPr>
                          <w:b/>
                          <w:color w:val="000000"/>
                          <w:sz w:val="23"/>
                        </w:rPr>
                        <w:t>Public</w:t>
                      </w:r>
                      <w:r>
                        <w:rPr>
                          <w:b/>
                          <w:color w:val="000000"/>
                          <w:spacing w:val="-2"/>
                          <w:sz w:val="23"/>
                        </w:rPr>
                        <w:t xml:space="preserve"> Authorities</w:t>
                      </w:r>
                    </w:p>
                    <w:p w14:paraId="7CB26768" w14:textId="77777777" w:rsidR="008A4099" w:rsidRDefault="006A6EE2">
                      <w:pPr>
                        <w:pStyle w:val="BodyText"/>
                        <w:spacing w:before="242"/>
                        <w:ind w:left="108"/>
                        <w:jc w:val="both"/>
                        <w:rPr>
                          <w:color w:val="000000"/>
                        </w:rPr>
                      </w:pPr>
                      <w:r>
                        <w:rPr>
                          <w:color w:val="000000"/>
                        </w:rPr>
                        <w:t>That</w:t>
                      </w:r>
                      <w:r>
                        <w:rPr>
                          <w:color w:val="000000"/>
                          <w:spacing w:val="-4"/>
                        </w:rPr>
                        <w:t xml:space="preserve"> </w:t>
                      </w:r>
                      <w:r>
                        <w:rPr>
                          <w:color w:val="000000"/>
                        </w:rPr>
                        <w:t>all</w:t>
                      </w:r>
                      <w:r>
                        <w:rPr>
                          <w:color w:val="000000"/>
                          <w:spacing w:val="-5"/>
                        </w:rPr>
                        <w:t xml:space="preserve"> </w:t>
                      </w:r>
                      <w:r>
                        <w:rPr>
                          <w:color w:val="000000"/>
                        </w:rPr>
                        <w:t>public</w:t>
                      </w:r>
                      <w:r>
                        <w:rPr>
                          <w:color w:val="000000"/>
                          <w:spacing w:val="-5"/>
                        </w:rPr>
                        <w:t xml:space="preserve"> </w:t>
                      </w:r>
                      <w:r>
                        <w:rPr>
                          <w:color w:val="000000"/>
                        </w:rPr>
                        <w:t>authorities</w:t>
                      </w:r>
                      <w:r>
                        <w:rPr>
                          <w:color w:val="000000"/>
                          <w:spacing w:val="-3"/>
                        </w:rPr>
                        <w:t xml:space="preserve"> </w:t>
                      </w:r>
                      <w:r>
                        <w:rPr>
                          <w:color w:val="000000"/>
                        </w:rPr>
                        <w:t>be</w:t>
                      </w:r>
                      <w:r>
                        <w:rPr>
                          <w:color w:val="000000"/>
                          <w:spacing w:val="-3"/>
                        </w:rPr>
                        <w:t xml:space="preserve"> </w:t>
                      </w:r>
                      <w:r>
                        <w:rPr>
                          <w:color w:val="000000"/>
                        </w:rPr>
                        <w:t>bound</w:t>
                      </w:r>
                      <w:r>
                        <w:rPr>
                          <w:color w:val="000000"/>
                          <w:spacing w:val="-3"/>
                        </w:rPr>
                        <w:t xml:space="preserve"> </w:t>
                      </w:r>
                      <w:r>
                        <w:rPr>
                          <w:color w:val="000000"/>
                        </w:rPr>
                        <w:t>by</w:t>
                      </w:r>
                      <w:r>
                        <w:rPr>
                          <w:color w:val="000000"/>
                          <w:spacing w:val="-4"/>
                        </w:rPr>
                        <w:t xml:space="preserve"> </w:t>
                      </w:r>
                      <w:r>
                        <w:rPr>
                          <w:color w:val="000000"/>
                        </w:rPr>
                        <w:t>the</w:t>
                      </w:r>
                      <w:r>
                        <w:rPr>
                          <w:color w:val="000000"/>
                          <w:spacing w:val="-3"/>
                        </w:rPr>
                        <w:t xml:space="preserve"> </w:t>
                      </w:r>
                      <w:r>
                        <w:rPr>
                          <w:color w:val="000000"/>
                        </w:rPr>
                        <w:t>Tasmanian</w:t>
                      </w:r>
                      <w:r>
                        <w:rPr>
                          <w:color w:val="000000"/>
                          <w:spacing w:val="-6"/>
                        </w:rPr>
                        <w:t xml:space="preserve"> </w:t>
                      </w:r>
                      <w:r>
                        <w:rPr>
                          <w:color w:val="000000"/>
                        </w:rPr>
                        <w:t>Human</w:t>
                      </w:r>
                      <w:r>
                        <w:rPr>
                          <w:color w:val="000000"/>
                          <w:spacing w:val="-3"/>
                        </w:rPr>
                        <w:t xml:space="preserve"> </w:t>
                      </w:r>
                      <w:r>
                        <w:rPr>
                          <w:color w:val="000000"/>
                        </w:rPr>
                        <w:t>Rights</w:t>
                      </w:r>
                      <w:r>
                        <w:rPr>
                          <w:color w:val="000000"/>
                          <w:spacing w:val="-3"/>
                        </w:rPr>
                        <w:t xml:space="preserve"> </w:t>
                      </w:r>
                      <w:r>
                        <w:rPr>
                          <w:color w:val="000000"/>
                        </w:rPr>
                        <w:t>Charter</w:t>
                      </w:r>
                      <w:r>
                        <w:rPr>
                          <w:color w:val="000000"/>
                          <w:spacing w:val="-3"/>
                        </w:rPr>
                        <w:t xml:space="preserve"> </w:t>
                      </w:r>
                      <w:r>
                        <w:rPr>
                          <w:color w:val="000000"/>
                        </w:rPr>
                        <w:t>or</w:t>
                      </w:r>
                      <w:r>
                        <w:rPr>
                          <w:color w:val="000000"/>
                          <w:spacing w:val="-3"/>
                        </w:rPr>
                        <w:t xml:space="preserve"> </w:t>
                      </w:r>
                      <w:r>
                        <w:rPr>
                          <w:color w:val="000000"/>
                          <w:spacing w:val="-4"/>
                        </w:rPr>
                        <w:t>Act.</w:t>
                      </w:r>
                    </w:p>
                    <w:p w14:paraId="7CB26769" w14:textId="77777777" w:rsidR="008A4099" w:rsidRDefault="006A6EE2">
                      <w:pPr>
                        <w:pStyle w:val="BodyText"/>
                        <w:spacing w:before="116"/>
                        <w:ind w:left="108" w:right="224"/>
                        <w:jc w:val="both"/>
                        <w:rPr>
                          <w:color w:val="000000"/>
                        </w:rPr>
                      </w:pPr>
                      <w:r>
                        <w:rPr>
                          <w:color w:val="000000"/>
                        </w:rPr>
                        <w:t>Public</w:t>
                      </w:r>
                      <w:r>
                        <w:rPr>
                          <w:color w:val="000000"/>
                          <w:spacing w:val="-9"/>
                        </w:rPr>
                        <w:t xml:space="preserve"> </w:t>
                      </w:r>
                      <w:r>
                        <w:rPr>
                          <w:color w:val="000000"/>
                        </w:rPr>
                        <w:t>authorities</w:t>
                      </w:r>
                      <w:r>
                        <w:rPr>
                          <w:color w:val="000000"/>
                          <w:spacing w:val="-9"/>
                        </w:rPr>
                        <w:t xml:space="preserve"> </w:t>
                      </w:r>
                      <w:r>
                        <w:rPr>
                          <w:color w:val="000000"/>
                        </w:rPr>
                        <w:t>should</w:t>
                      </w:r>
                      <w:r>
                        <w:rPr>
                          <w:color w:val="000000"/>
                          <w:spacing w:val="-10"/>
                        </w:rPr>
                        <w:t xml:space="preserve"> </w:t>
                      </w:r>
                      <w:r>
                        <w:rPr>
                          <w:color w:val="000000"/>
                        </w:rPr>
                        <w:t>be</w:t>
                      </w:r>
                      <w:r>
                        <w:rPr>
                          <w:color w:val="000000"/>
                          <w:spacing w:val="-12"/>
                        </w:rPr>
                        <w:t xml:space="preserve"> </w:t>
                      </w:r>
                      <w:r>
                        <w:rPr>
                          <w:color w:val="000000"/>
                        </w:rPr>
                        <w:t>required</w:t>
                      </w:r>
                      <w:r>
                        <w:rPr>
                          <w:color w:val="000000"/>
                          <w:spacing w:val="-9"/>
                        </w:rPr>
                        <w:t xml:space="preserve"> </w:t>
                      </w:r>
                      <w:r>
                        <w:rPr>
                          <w:color w:val="000000"/>
                        </w:rPr>
                        <w:t>to</w:t>
                      </w:r>
                      <w:r>
                        <w:rPr>
                          <w:color w:val="000000"/>
                          <w:spacing w:val="-10"/>
                        </w:rPr>
                        <w:t xml:space="preserve"> </w:t>
                      </w:r>
                      <w:r>
                        <w:rPr>
                          <w:color w:val="000000"/>
                        </w:rPr>
                        <w:t>act</w:t>
                      </w:r>
                      <w:r>
                        <w:rPr>
                          <w:color w:val="000000"/>
                          <w:spacing w:val="-9"/>
                        </w:rPr>
                        <w:t xml:space="preserve"> </w:t>
                      </w:r>
                      <w:r>
                        <w:rPr>
                          <w:color w:val="000000"/>
                        </w:rPr>
                        <w:t>in</w:t>
                      </w:r>
                      <w:r>
                        <w:rPr>
                          <w:color w:val="000000"/>
                          <w:spacing w:val="-10"/>
                        </w:rPr>
                        <w:t xml:space="preserve"> </w:t>
                      </w:r>
                      <w:r>
                        <w:rPr>
                          <w:color w:val="000000"/>
                        </w:rPr>
                        <w:t>a</w:t>
                      </w:r>
                      <w:r>
                        <w:rPr>
                          <w:color w:val="000000"/>
                          <w:spacing w:val="-9"/>
                        </w:rPr>
                        <w:t xml:space="preserve"> </w:t>
                      </w:r>
                      <w:r>
                        <w:rPr>
                          <w:color w:val="000000"/>
                        </w:rPr>
                        <w:t>way</w:t>
                      </w:r>
                      <w:r>
                        <w:rPr>
                          <w:color w:val="000000"/>
                          <w:spacing w:val="-12"/>
                        </w:rPr>
                        <w:t xml:space="preserve"> </w:t>
                      </w:r>
                      <w:r>
                        <w:rPr>
                          <w:color w:val="000000"/>
                        </w:rPr>
                        <w:t>that</w:t>
                      </w:r>
                      <w:r>
                        <w:rPr>
                          <w:color w:val="000000"/>
                          <w:spacing w:val="-9"/>
                        </w:rPr>
                        <w:t xml:space="preserve"> </w:t>
                      </w:r>
                      <w:r>
                        <w:rPr>
                          <w:color w:val="000000"/>
                        </w:rPr>
                        <w:t>is</w:t>
                      </w:r>
                      <w:r>
                        <w:rPr>
                          <w:color w:val="000000"/>
                          <w:spacing w:val="-9"/>
                        </w:rPr>
                        <w:t xml:space="preserve"> </w:t>
                      </w:r>
                      <w:r>
                        <w:rPr>
                          <w:color w:val="000000"/>
                        </w:rPr>
                        <w:t>compatible</w:t>
                      </w:r>
                      <w:r>
                        <w:rPr>
                          <w:color w:val="000000"/>
                          <w:spacing w:val="-9"/>
                        </w:rPr>
                        <w:t xml:space="preserve"> </w:t>
                      </w:r>
                      <w:r>
                        <w:rPr>
                          <w:color w:val="000000"/>
                        </w:rPr>
                        <w:t>with</w:t>
                      </w:r>
                      <w:r>
                        <w:rPr>
                          <w:color w:val="000000"/>
                          <w:spacing w:val="-12"/>
                        </w:rPr>
                        <w:t xml:space="preserve"> </w:t>
                      </w:r>
                      <w:r>
                        <w:rPr>
                          <w:color w:val="000000"/>
                        </w:rPr>
                        <w:t>human</w:t>
                      </w:r>
                      <w:r>
                        <w:rPr>
                          <w:color w:val="000000"/>
                          <w:spacing w:val="-12"/>
                        </w:rPr>
                        <w:t xml:space="preserve"> </w:t>
                      </w:r>
                      <w:r>
                        <w:rPr>
                          <w:color w:val="000000"/>
                        </w:rPr>
                        <w:t>rights</w:t>
                      </w:r>
                      <w:r>
                        <w:rPr>
                          <w:color w:val="000000"/>
                          <w:spacing w:val="-11"/>
                        </w:rPr>
                        <w:t xml:space="preserve"> </w:t>
                      </w:r>
                      <w:r>
                        <w:rPr>
                          <w:color w:val="000000"/>
                        </w:rPr>
                        <w:t>and,</w:t>
                      </w:r>
                      <w:r>
                        <w:rPr>
                          <w:color w:val="000000"/>
                          <w:spacing w:val="-9"/>
                        </w:rPr>
                        <w:t xml:space="preserve"> </w:t>
                      </w:r>
                      <w:r>
                        <w:rPr>
                          <w:color w:val="000000"/>
                        </w:rPr>
                        <w:t>when making</w:t>
                      </w:r>
                      <w:r>
                        <w:rPr>
                          <w:color w:val="000000"/>
                          <w:spacing w:val="-3"/>
                        </w:rPr>
                        <w:t xml:space="preserve"> </w:t>
                      </w:r>
                      <w:r>
                        <w:rPr>
                          <w:color w:val="000000"/>
                        </w:rPr>
                        <w:t>decisions,</w:t>
                      </w:r>
                      <w:r>
                        <w:rPr>
                          <w:color w:val="000000"/>
                          <w:spacing w:val="-3"/>
                        </w:rPr>
                        <w:t xml:space="preserve"> </w:t>
                      </w:r>
                      <w:r>
                        <w:rPr>
                          <w:color w:val="000000"/>
                        </w:rPr>
                        <w:t>to</w:t>
                      </w:r>
                      <w:r>
                        <w:rPr>
                          <w:color w:val="000000"/>
                          <w:spacing w:val="-3"/>
                        </w:rPr>
                        <w:t xml:space="preserve"> </w:t>
                      </w:r>
                      <w:r>
                        <w:rPr>
                          <w:color w:val="000000"/>
                        </w:rPr>
                        <w:t>give</w:t>
                      </w:r>
                      <w:r>
                        <w:rPr>
                          <w:color w:val="000000"/>
                          <w:spacing w:val="-3"/>
                        </w:rPr>
                        <w:t xml:space="preserve"> </w:t>
                      </w:r>
                      <w:r>
                        <w:rPr>
                          <w:color w:val="000000"/>
                        </w:rPr>
                        <w:t>proper</w:t>
                      </w:r>
                      <w:r>
                        <w:rPr>
                          <w:color w:val="000000"/>
                          <w:spacing w:val="-3"/>
                        </w:rPr>
                        <w:t xml:space="preserve"> </w:t>
                      </w:r>
                      <w:r>
                        <w:rPr>
                          <w:color w:val="000000"/>
                        </w:rPr>
                        <w:t>consideration</w:t>
                      </w:r>
                      <w:r>
                        <w:rPr>
                          <w:color w:val="000000"/>
                          <w:spacing w:val="-6"/>
                        </w:rPr>
                        <w:t xml:space="preserve"> </w:t>
                      </w:r>
                      <w:r>
                        <w:rPr>
                          <w:color w:val="000000"/>
                        </w:rPr>
                        <w:t>to</w:t>
                      </w:r>
                      <w:r>
                        <w:rPr>
                          <w:color w:val="000000"/>
                          <w:spacing w:val="-3"/>
                        </w:rPr>
                        <w:t xml:space="preserve"> </w:t>
                      </w:r>
                      <w:r>
                        <w:rPr>
                          <w:color w:val="000000"/>
                        </w:rPr>
                        <w:t>relevant</w:t>
                      </w:r>
                      <w:r>
                        <w:rPr>
                          <w:color w:val="000000"/>
                          <w:spacing w:val="-2"/>
                        </w:rPr>
                        <w:t xml:space="preserve"> </w:t>
                      </w:r>
                      <w:r>
                        <w:rPr>
                          <w:color w:val="000000"/>
                        </w:rPr>
                        <w:t>human</w:t>
                      </w:r>
                      <w:r>
                        <w:rPr>
                          <w:color w:val="000000"/>
                          <w:spacing w:val="-3"/>
                        </w:rPr>
                        <w:t xml:space="preserve"> </w:t>
                      </w:r>
                      <w:r>
                        <w:rPr>
                          <w:color w:val="000000"/>
                        </w:rPr>
                        <w:t>rights,</w:t>
                      </w:r>
                      <w:r>
                        <w:rPr>
                          <w:color w:val="000000"/>
                          <w:spacing w:val="-3"/>
                        </w:rPr>
                        <w:t xml:space="preserve"> </w:t>
                      </w:r>
                      <w:r>
                        <w:rPr>
                          <w:color w:val="000000"/>
                        </w:rPr>
                        <w:t>unless</w:t>
                      </w:r>
                      <w:r>
                        <w:rPr>
                          <w:color w:val="000000"/>
                          <w:spacing w:val="-3"/>
                        </w:rPr>
                        <w:t xml:space="preserve"> </w:t>
                      </w:r>
                      <w:r>
                        <w:rPr>
                          <w:color w:val="000000"/>
                        </w:rPr>
                        <w:t>otherwise</w:t>
                      </w:r>
                      <w:r>
                        <w:rPr>
                          <w:color w:val="000000"/>
                          <w:spacing w:val="-3"/>
                        </w:rPr>
                        <w:t xml:space="preserve"> </w:t>
                      </w:r>
                      <w:r>
                        <w:rPr>
                          <w:color w:val="000000"/>
                        </w:rPr>
                        <w:t>required by particular legislation.</w:t>
                      </w:r>
                    </w:p>
                  </w:txbxContent>
                </v:textbox>
                <w10:anchorlock/>
              </v:shape>
            </w:pict>
          </mc:Fallback>
        </mc:AlternateContent>
      </w:r>
    </w:p>
    <w:p w14:paraId="7CB260C7" w14:textId="77777777" w:rsidR="008A4099" w:rsidRDefault="006A6EE2">
      <w:pPr>
        <w:pStyle w:val="BodyText"/>
        <w:spacing w:before="134"/>
        <w:rPr>
          <w:sz w:val="20"/>
        </w:rPr>
      </w:pPr>
      <w:r>
        <w:rPr>
          <w:noProof/>
        </w:rPr>
        <mc:AlternateContent>
          <mc:Choice Requires="wps">
            <w:drawing>
              <wp:anchor distT="0" distB="0" distL="0" distR="0" simplePos="0" relativeHeight="487618560" behindDoc="1" locked="0" layoutInCell="1" allowOverlap="1" wp14:anchorId="7CB26651" wp14:editId="7CB26652">
                <wp:simplePos x="0" y="0"/>
                <wp:positionH relativeFrom="page">
                  <wp:posOffset>914704</wp:posOffset>
                </wp:positionH>
                <wp:positionV relativeFrom="paragraph">
                  <wp:posOffset>246938</wp:posOffset>
                </wp:positionV>
                <wp:extent cx="5727065" cy="261747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617470"/>
                        </a:xfrm>
                        <a:prstGeom prst="rect">
                          <a:avLst/>
                        </a:prstGeom>
                        <a:solidFill>
                          <a:srgbClr val="E8E8E8"/>
                        </a:solidFill>
                      </wps:spPr>
                      <wps:txbx>
                        <w:txbxContent>
                          <w:p w14:paraId="7CB2676A" w14:textId="77777777" w:rsidR="008A4099" w:rsidRDefault="006A6EE2">
                            <w:pPr>
                              <w:spacing w:before="219"/>
                              <w:ind w:left="108"/>
                              <w:jc w:val="both"/>
                              <w:rPr>
                                <w:b/>
                                <w:color w:val="000000"/>
                                <w:sz w:val="23"/>
                              </w:rPr>
                            </w:pPr>
                            <w:r>
                              <w:rPr>
                                <w:b/>
                                <w:color w:val="000000"/>
                                <w:sz w:val="23"/>
                              </w:rPr>
                              <w:t>Recommendation</w:t>
                            </w:r>
                            <w:r>
                              <w:rPr>
                                <w:b/>
                                <w:color w:val="000000"/>
                                <w:spacing w:val="-5"/>
                                <w:sz w:val="23"/>
                              </w:rPr>
                              <w:t xml:space="preserve"> </w:t>
                            </w:r>
                            <w:r>
                              <w:rPr>
                                <w:b/>
                                <w:color w:val="000000"/>
                                <w:sz w:val="23"/>
                              </w:rPr>
                              <w:t>3</w:t>
                            </w:r>
                            <w:r>
                              <w:rPr>
                                <w:b/>
                                <w:color w:val="000000"/>
                                <w:spacing w:val="-4"/>
                                <w:sz w:val="23"/>
                              </w:rPr>
                              <w:t xml:space="preserve"> </w:t>
                            </w:r>
                            <w:r>
                              <w:rPr>
                                <w:b/>
                                <w:color w:val="000000"/>
                                <w:sz w:val="23"/>
                              </w:rPr>
                              <w:t>–</w:t>
                            </w:r>
                            <w:r>
                              <w:rPr>
                                <w:b/>
                                <w:color w:val="000000"/>
                                <w:spacing w:val="-3"/>
                                <w:sz w:val="23"/>
                              </w:rPr>
                              <w:t xml:space="preserve"> </w:t>
                            </w:r>
                            <w:r>
                              <w:rPr>
                                <w:b/>
                                <w:color w:val="000000"/>
                                <w:sz w:val="23"/>
                              </w:rPr>
                              <w:t>Public</w:t>
                            </w:r>
                            <w:r>
                              <w:rPr>
                                <w:b/>
                                <w:color w:val="000000"/>
                                <w:spacing w:val="-4"/>
                                <w:sz w:val="23"/>
                              </w:rPr>
                              <w:t xml:space="preserve"> </w:t>
                            </w:r>
                            <w:r>
                              <w:rPr>
                                <w:b/>
                                <w:color w:val="000000"/>
                                <w:sz w:val="23"/>
                              </w:rPr>
                              <w:t>Authorities:</w:t>
                            </w:r>
                            <w:r>
                              <w:rPr>
                                <w:b/>
                                <w:color w:val="000000"/>
                                <w:spacing w:val="-3"/>
                                <w:sz w:val="23"/>
                              </w:rPr>
                              <w:t xml:space="preserve"> </w:t>
                            </w:r>
                            <w:r>
                              <w:rPr>
                                <w:b/>
                                <w:color w:val="000000"/>
                                <w:spacing w:val="-2"/>
                                <w:sz w:val="23"/>
                              </w:rPr>
                              <w:t>Definition</w:t>
                            </w:r>
                          </w:p>
                          <w:p w14:paraId="7CB2676B" w14:textId="77777777" w:rsidR="008A4099" w:rsidRDefault="006A6EE2">
                            <w:pPr>
                              <w:pStyle w:val="BodyText"/>
                              <w:spacing w:before="239" w:line="242" w:lineRule="auto"/>
                              <w:ind w:left="108" w:right="220"/>
                              <w:jc w:val="both"/>
                              <w:rPr>
                                <w:color w:val="000000"/>
                              </w:rPr>
                            </w:pPr>
                            <w:r>
                              <w:rPr>
                                <w:color w:val="000000"/>
                              </w:rPr>
                              <w:t>That</w:t>
                            </w:r>
                            <w:r>
                              <w:rPr>
                                <w:color w:val="000000"/>
                                <w:spacing w:val="-4"/>
                              </w:rPr>
                              <w:t xml:space="preserve"> </w:t>
                            </w:r>
                            <w:r>
                              <w:rPr>
                                <w:color w:val="000000"/>
                              </w:rPr>
                              <w:t>the</w:t>
                            </w:r>
                            <w:r>
                              <w:rPr>
                                <w:color w:val="000000"/>
                                <w:spacing w:val="-4"/>
                              </w:rPr>
                              <w:t xml:space="preserve"> </w:t>
                            </w:r>
                            <w:r>
                              <w:rPr>
                                <w:color w:val="000000"/>
                              </w:rPr>
                              <w:t>Tasmanian</w:t>
                            </w:r>
                            <w:r>
                              <w:rPr>
                                <w:color w:val="000000"/>
                                <w:spacing w:val="-5"/>
                              </w:rPr>
                              <w:t xml:space="preserve"> </w:t>
                            </w:r>
                            <w:r>
                              <w:rPr>
                                <w:color w:val="000000"/>
                              </w:rPr>
                              <w:t>human</w:t>
                            </w:r>
                            <w:r>
                              <w:rPr>
                                <w:color w:val="000000"/>
                                <w:spacing w:val="-7"/>
                              </w:rPr>
                              <w:t xml:space="preserve"> </w:t>
                            </w:r>
                            <w:r>
                              <w:rPr>
                                <w:color w:val="000000"/>
                              </w:rPr>
                              <w:t>rights</w:t>
                            </w:r>
                            <w:r>
                              <w:rPr>
                                <w:color w:val="000000"/>
                                <w:spacing w:val="-4"/>
                              </w:rPr>
                              <w:t xml:space="preserve"> </w:t>
                            </w:r>
                            <w:r>
                              <w:rPr>
                                <w:color w:val="000000"/>
                              </w:rPr>
                              <w:t>enactment</w:t>
                            </w:r>
                            <w:r>
                              <w:rPr>
                                <w:color w:val="000000"/>
                                <w:spacing w:val="-6"/>
                              </w:rPr>
                              <w:t xml:space="preserve"> </w:t>
                            </w:r>
                            <w:r>
                              <w:rPr>
                                <w:color w:val="000000"/>
                              </w:rPr>
                              <w:t>adopt</w:t>
                            </w:r>
                            <w:r>
                              <w:rPr>
                                <w:color w:val="000000"/>
                                <w:spacing w:val="-4"/>
                              </w:rPr>
                              <w:t xml:space="preserve"> </w:t>
                            </w:r>
                            <w:r>
                              <w:rPr>
                                <w:color w:val="000000"/>
                              </w:rPr>
                              <w:t>a</w:t>
                            </w:r>
                            <w:r>
                              <w:rPr>
                                <w:color w:val="000000"/>
                                <w:spacing w:val="-4"/>
                              </w:rPr>
                              <w:t xml:space="preserve"> </w:t>
                            </w:r>
                            <w:r>
                              <w:rPr>
                                <w:color w:val="000000"/>
                              </w:rPr>
                              <w:t>broad</w:t>
                            </w:r>
                            <w:r>
                              <w:rPr>
                                <w:color w:val="000000"/>
                                <w:spacing w:val="-4"/>
                              </w:rPr>
                              <w:t xml:space="preserve"> </w:t>
                            </w:r>
                            <w:r>
                              <w:rPr>
                                <w:color w:val="000000"/>
                              </w:rPr>
                              <w:t>definition</w:t>
                            </w:r>
                            <w:r>
                              <w:rPr>
                                <w:color w:val="000000"/>
                                <w:spacing w:val="-5"/>
                              </w:rPr>
                              <w:t xml:space="preserve"> </w:t>
                            </w:r>
                            <w:r>
                              <w:rPr>
                                <w:color w:val="000000"/>
                              </w:rPr>
                              <w:t>of</w:t>
                            </w:r>
                            <w:r>
                              <w:rPr>
                                <w:color w:val="000000"/>
                                <w:spacing w:val="-4"/>
                              </w:rPr>
                              <w:t xml:space="preserve"> </w:t>
                            </w:r>
                            <w:r>
                              <w:rPr>
                                <w:color w:val="000000"/>
                              </w:rPr>
                              <w:t>public</w:t>
                            </w:r>
                            <w:r>
                              <w:rPr>
                                <w:color w:val="000000"/>
                                <w:spacing w:val="-7"/>
                              </w:rPr>
                              <w:t xml:space="preserve"> </w:t>
                            </w:r>
                            <w:r>
                              <w:rPr>
                                <w:color w:val="000000"/>
                              </w:rPr>
                              <w:t>authority,</w:t>
                            </w:r>
                            <w:r>
                              <w:rPr>
                                <w:color w:val="000000"/>
                                <w:spacing w:val="-7"/>
                              </w:rPr>
                              <w:t xml:space="preserve"> </w:t>
                            </w:r>
                            <w:r>
                              <w:rPr>
                                <w:color w:val="000000"/>
                              </w:rPr>
                              <w:t xml:space="preserve">including organisations performing public functions and organisations that opt-in to public authority </w:t>
                            </w:r>
                            <w:r>
                              <w:rPr>
                                <w:color w:val="000000"/>
                                <w:spacing w:val="-2"/>
                              </w:rPr>
                              <w:t>obligations.</w:t>
                            </w:r>
                          </w:p>
                          <w:p w14:paraId="7CB2676C" w14:textId="77777777" w:rsidR="008A4099" w:rsidRDefault="006A6EE2">
                            <w:pPr>
                              <w:pStyle w:val="BodyText"/>
                              <w:spacing w:before="115"/>
                              <w:ind w:left="108" w:right="221"/>
                              <w:jc w:val="both"/>
                              <w:rPr>
                                <w:color w:val="000000"/>
                              </w:rPr>
                            </w:pPr>
                            <w:r>
                              <w:rPr>
                                <w:color w:val="000000"/>
                              </w:rPr>
                              <w:t>The Tasmanian human rights enactment should explicitly list the sorts of functions that are to be characterised as public functions, including the delivery of emergency, utility, public housing, education,</w:t>
                            </w:r>
                            <w:r>
                              <w:rPr>
                                <w:color w:val="000000"/>
                                <w:spacing w:val="-3"/>
                              </w:rPr>
                              <w:t xml:space="preserve"> </w:t>
                            </w:r>
                            <w:r>
                              <w:rPr>
                                <w:color w:val="000000"/>
                              </w:rPr>
                              <w:t>health,</w:t>
                            </w:r>
                            <w:r>
                              <w:rPr>
                                <w:color w:val="000000"/>
                                <w:spacing w:val="-3"/>
                              </w:rPr>
                              <w:t xml:space="preserve"> </w:t>
                            </w:r>
                            <w:r>
                              <w:rPr>
                                <w:color w:val="000000"/>
                              </w:rPr>
                              <w:t>disability,</w:t>
                            </w:r>
                            <w:r>
                              <w:rPr>
                                <w:color w:val="000000"/>
                                <w:spacing w:val="-3"/>
                              </w:rPr>
                              <w:t xml:space="preserve"> </w:t>
                            </w:r>
                            <w:r>
                              <w:rPr>
                                <w:color w:val="000000"/>
                              </w:rPr>
                              <w:t>and</w:t>
                            </w:r>
                            <w:r>
                              <w:rPr>
                                <w:color w:val="000000"/>
                                <w:spacing w:val="-3"/>
                              </w:rPr>
                              <w:t xml:space="preserve"> </w:t>
                            </w:r>
                            <w:r>
                              <w:rPr>
                                <w:color w:val="000000"/>
                              </w:rPr>
                              <w:t>transport</w:t>
                            </w:r>
                            <w:r>
                              <w:rPr>
                                <w:color w:val="000000"/>
                                <w:spacing w:val="-5"/>
                              </w:rPr>
                              <w:t xml:space="preserve"> </w:t>
                            </w:r>
                            <w:r>
                              <w:rPr>
                                <w:color w:val="000000"/>
                              </w:rPr>
                              <w:t>services,</w:t>
                            </w:r>
                            <w:r>
                              <w:rPr>
                                <w:color w:val="000000"/>
                                <w:spacing w:val="-3"/>
                              </w:rPr>
                              <w:t xml:space="preserve"> </w:t>
                            </w:r>
                            <w:r>
                              <w:rPr>
                                <w:color w:val="000000"/>
                              </w:rPr>
                              <w:t>and</w:t>
                            </w:r>
                            <w:r>
                              <w:rPr>
                                <w:color w:val="000000"/>
                                <w:spacing w:val="-6"/>
                              </w:rPr>
                              <w:t xml:space="preserve"> </w:t>
                            </w:r>
                            <w:r>
                              <w:rPr>
                                <w:color w:val="000000"/>
                              </w:rPr>
                              <w:t>the</w:t>
                            </w:r>
                            <w:r>
                              <w:rPr>
                                <w:color w:val="000000"/>
                                <w:spacing w:val="-3"/>
                              </w:rPr>
                              <w:t xml:space="preserve"> </w:t>
                            </w:r>
                            <w:r>
                              <w:rPr>
                                <w:color w:val="000000"/>
                              </w:rPr>
                              <w:t>operation</w:t>
                            </w:r>
                            <w:r>
                              <w:rPr>
                                <w:color w:val="000000"/>
                                <w:spacing w:val="-3"/>
                              </w:rPr>
                              <w:t xml:space="preserve"> </w:t>
                            </w:r>
                            <w:r>
                              <w:rPr>
                                <w:color w:val="000000"/>
                              </w:rPr>
                              <w:t>of</w:t>
                            </w:r>
                            <w:r>
                              <w:rPr>
                                <w:color w:val="000000"/>
                                <w:spacing w:val="-3"/>
                              </w:rPr>
                              <w:t xml:space="preserve"> </w:t>
                            </w:r>
                            <w:r>
                              <w:rPr>
                                <w:color w:val="000000"/>
                              </w:rPr>
                              <w:t>correctional</w:t>
                            </w:r>
                            <w:r>
                              <w:rPr>
                                <w:color w:val="000000"/>
                                <w:spacing w:val="-2"/>
                              </w:rPr>
                              <w:t xml:space="preserve"> </w:t>
                            </w:r>
                            <w:r>
                              <w:rPr>
                                <w:color w:val="000000"/>
                              </w:rPr>
                              <w:t>and</w:t>
                            </w:r>
                            <w:r>
                              <w:rPr>
                                <w:color w:val="000000"/>
                                <w:spacing w:val="-3"/>
                              </w:rPr>
                              <w:t xml:space="preserve"> </w:t>
                            </w:r>
                            <w:r>
                              <w:rPr>
                                <w:color w:val="000000"/>
                              </w:rPr>
                              <w:t xml:space="preserve">detention </w:t>
                            </w:r>
                            <w:r>
                              <w:rPr>
                                <w:color w:val="000000"/>
                                <w:spacing w:val="-2"/>
                              </w:rPr>
                              <w:t>facilities.</w:t>
                            </w:r>
                          </w:p>
                          <w:p w14:paraId="7CB2676D" w14:textId="77777777" w:rsidR="008A4099" w:rsidRDefault="006A6EE2">
                            <w:pPr>
                              <w:pStyle w:val="BodyText"/>
                              <w:spacing w:before="119"/>
                              <w:ind w:left="108" w:right="219"/>
                              <w:jc w:val="both"/>
                              <w:rPr>
                                <w:color w:val="000000"/>
                              </w:rPr>
                            </w:pPr>
                            <w:r>
                              <w:rPr>
                                <w:color w:val="000000"/>
                              </w:rPr>
                              <w:t>The treatment of religious bodies within a human rights enactment and anti-discrimination framework</w:t>
                            </w:r>
                            <w:r>
                              <w:rPr>
                                <w:color w:val="000000"/>
                                <w:spacing w:val="-7"/>
                              </w:rPr>
                              <w:t xml:space="preserve"> </w:t>
                            </w:r>
                            <w:r>
                              <w:rPr>
                                <w:color w:val="000000"/>
                              </w:rPr>
                              <w:t>(and</w:t>
                            </w:r>
                            <w:r>
                              <w:rPr>
                                <w:color w:val="000000"/>
                                <w:spacing w:val="-9"/>
                              </w:rPr>
                              <w:t xml:space="preserve"> </w:t>
                            </w:r>
                            <w:r>
                              <w:rPr>
                                <w:color w:val="000000"/>
                              </w:rPr>
                              <w:t>the</w:t>
                            </w:r>
                            <w:r>
                              <w:rPr>
                                <w:color w:val="000000"/>
                                <w:spacing w:val="-9"/>
                              </w:rPr>
                              <w:t xml:space="preserve"> </w:t>
                            </w:r>
                            <w:r>
                              <w:rPr>
                                <w:color w:val="000000"/>
                              </w:rPr>
                              <w:t>interaction</w:t>
                            </w:r>
                            <w:r>
                              <w:rPr>
                                <w:color w:val="000000"/>
                                <w:spacing w:val="-7"/>
                              </w:rPr>
                              <w:t xml:space="preserve"> </w:t>
                            </w:r>
                            <w:r>
                              <w:rPr>
                                <w:color w:val="000000"/>
                              </w:rPr>
                              <w:t>between</w:t>
                            </w:r>
                            <w:r>
                              <w:rPr>
                                <w:color w:val="000000"/>
                                <w:spacing w:val="-7"/>
                              </w:rPr>
                              <w:t xml:space="preserve"> </w:t>
                            </w:r>
                            <w:r>
                              <w:rPr>
                                <w:color w:val="000000"/>
                              </w:rPr>
                              <w:t>the</w:t>
                            </w:r>
                            <w:r>
                              <w:rPr>
                                <w:color w:val="000000"/>
                                <w:spacing w:val="-7"/>
                              </w:rPr>
                              <w:t xml:space="preserve"> </w:t>
                            </w:r>
                            <w:r>
                              <w:rPr>
                                <w:color w:val="000000"/>
                              </w:rPr>
                              <w:t>two</w:t>
                            </w:r>
                            <w:r>
                              <w:rPr>
                                <w:color w:val="000000"/>
                                <w:spacing w:val="-9"/>
                              </w:rPr>
                              <w:t xml:space="preserve"> </w:t>
                            </w:r>
                            <w:r>
                              <w:rPr>
                                <w:color w:val="000000"/>
                              </w:rPr>
                              <w:t>frameworks)</w:t>
                            </w:r>
                            <w:r>
                              <w:rPr>
                                <w:color w:val="000000"/>
                                <w:spacing w:val="-7"/>
                              </w:rPr>
                              <w:t xml:space="preserve"> </w:t>
                            </w:r>
                            <w:r>
                              <w:rPr>
                                <w:color w:val="000000"/>
                              </w:rPr>
                              <w:t>should</w:t>
                            </w:r>
                            <w:r>
                              <w:rPr>
                                <w:color w:val="000000"/>
                                <w:spacing w:val="-7"/>
                              </w:rPr>
                              <w:t xml:space="preserve"> </w:t>
                            </w:r>
                            <w:r>
                              <w:rPr>
                                <w:color w:val="000000"/>
                              </w:rPr>
                              <w:t>be</w:t>
                            </w:r>
                            <w:r>
                              <w:rPr>
                                <w:color w:val="000000"/>
                                <w:spacing w:val="-8"/>
                              </w:rPr>
                              <w:t xml:space="preserve"> </w:t>
                            </w:r>
                            <w:r>
                              <w:rPr>
                                <w:color w:val="000000"/>
                              </w:rPr>
                              <w:t>a</w:t>
                            </w:r>
                            <w:r>
                              <w:rPr>
                                <w:color w:val="000000"/>
                                <w:spacing w:val="-9"/>
                              </w:rPr>
                              <w:t xml:space="preserve"> </w:t>
                            </w:r>
                            <w:r>
                              <w:rPr>
                                <w:color w:val="000000"/>
                              </w:rPr>
                              <w:t>matter</w:t>
                            </w:r>
                            <w:r>
                              <w:rPr>
                                <w:color w:val="000000"/>
                                <w:spacing w:val="-7"/>
                              </w:rPr>
                              <w:t xml:space="preserve"> </w:t>
                            </w:r>
                            <w:r>
                              <w:rPr>
                                <w:color w:val="000000"/>
                              </w:rPr>
                              <w:t>for</w:t>
                            </w:r>
                            <w:r>
                              <w:rPr>
                                <w:color w:val="000000"/>
                                <w:spacing w:val="-7"/>
                              </w:rPr>
                              <w:t xml:space="preserve"> </w:t>
                            </w:r>
                            <w:r>
                              <w:rPr>
                                <w:color w:val="000000"/>
                              </w:rPr>
                              <w:t>further</w:t>
                            </w:r>
                            <w:r>
                              <w:rPr>
                                <w:color w:val="000000"/>
                                <w:spacing w:val="-8"/>
                              </w:rPr>
                              <w:t xml:space="preserve"> </w:t>
                            </w:r>
                            <w:r>
                              <w:rPr>
                                <w:color w:val="000000"/>
                              </w:rPr>
                              <w:t>review. As part</w:t>
                            </w:r>
                            <w:r>
                              <w:rPr>
                                <w:color w:val="000000"/>
                                <w:spacing w:val="-1"/>
                              </w:rPr>
                              <w:t xml:space="preserve"> </w:t>
                            </w:r>
                            <w:r>
                              <w:rPr>
                                <w:color w:val="000000"/>
                              </w:rPr>
                              <w:t>of</w:t>
                            </w:r>
                            <w:r>
                              <w:rPr>
                                <w:color w:val="000000"/>
                                <w:spacing w:val="-1"/>
                              </w:rPr>
                              <w:t xml:space="preserve"> </w:t>
                            </w:r>
                            <w:r>
                              <w:rPr>
                                <w:color w:val="000000"/>
                              </w:rPr>
                              <w:t>this</w:t>
                            </w:r>
                            <w:r>
                              <w:rPr>
                                <w:color w:val="000000"/>
                                <w:spacing w:val="-1"/>
                              </w:rPr>
                              <w:t xml:space="preserve"> </w:t>
                            </w:r>
                            <w:r>
                              <w:rPr>
                                <w:color w:val="000000"/>
                              </w:rPr>
                              <w:t>review,</w:t>
                            </w:r>
                            <w:r>
                              <w:rPr>
                                <w:color w:val="000000"/>
                                <w:spacing w:val="-3"/>
                              </w:rPr>
                              <w:t xml:space="preserve"> </w:t>
                            </w:r>
                            <w:r>
                              <w:rPr>
                                <w:color w:val="000000"/>
                              </w:rPr>
                              <w:t>consideration</w:t>
                            </w:r>
                            <w:r>
                              <w:rPr>
                                <w:color w:val="000000"/>
                                <w:spacing w:val="-1"/>
                              </w:rPr>
                              <w:t xml:space="preserve"> </w:t>
                            </w:r>
                            <w:r>
                              <w:rPr>
                                <w:color w:val="000000"/>
                              </w:rPr>
                              <w:t>should</w:t>
                            </w:r>
                            <w:r>
                              <w:rPr>
                                <w:color w:val="000000"/>
                                <w:spacing w:val="-2"/>
                              </w:rPr>
                              <w:t xml:space="preserve"> </w:t>
                            </w:r>
                            <w:r>
                              <w:rPr>
                                <w:color w:val="000000"/>
                              </w:rPr>
                              <w:t>be</w:t>
                            </w:r>
                            <w:r>
                              <w:rPr>
                                <w:color w:val="000000"/>
                                <w:spacing w:val="-2"/>
                              </w:rPr>
                              <w:t xml:space="preserve"> </w:t>
                            </w:r>
                            <w:r>
                              <w:rPr>
                                <w:color w:val="000000"/>
                              </w:rPr>
                              <w:t>given</w:t>
                            </w:r>
                            <w:r>
                              <w:rPr>
                                <w:color w:val="000000"/>
                                <w:spacing w:val="-1"/>
                              </w:rPr>
                              <w:t xml:space="preserve"> </w:t>
                            </w:r>
                            <w:r>
                              <w:rPr>
                                <w:color w:val="000000"/>
                              </w:rPr>
                              <w:t>to the human</w:t>
                            </w:r>
                            <w:r>
                              <w:rPr>
                                <w:color w:val="000000"/>
                                <w:spacing w:val="-2"/>
                              </w:rPr>
                              <w:t xml:space="preserve"> </w:t>
                            </w:r>
                            <w:r>
                              <w:rPr>
                                <w:color w:val="000000"/>
                              </w:rPr>
                              <w:t>rights</w:t>
                            </w:r>
                            <w:r>
                              <w:rPr>
                                <w:color w:val="000000"/>
                                <w:spacing w:val="-1"/>
                              </w:rPr>
                              <w:t xml:space="preserve"> </w:t>
                            </w:r>
                            <w:r>
                              <w:rPr>
                                <w:color w:val="000000"/>
                              </w:rPr>
                              <w:t>enactment providing</w:t>
                            </w:r>
                            <w:r>
                              <w:rPr>
                                <w:color w:val="000000"/>
                                <w:spacing w:val="-2"/>
                              </w:rPr>
                              <w:t xml:space="preserve"> </w:t>
                            </w:r>
                            <w:r>
                              <w:rPr>
                                <w:color w:val="000000"/>
                              </w:rPr>
                              <w:t>that non-government schools and health services be subject to any Tasmanian Charter of Rights from the outset, rather than deferring decisions about their inclusion to future reviews.</w:t>
                            </w:r>
                          </w:p>
                        </w:txbxContent>
                      </wps:txbx>
                      <wps:bodyPr wrap="square" lIns="0" tIns="0" rIns="0" bIns="0" rtlCol="0">
                        <a:noAutofit/>
                      </wps:bodyPr>
                    </wps:wsp>
                  </a:graphicData>
                </a:graphic>
              </wp:anchor>
            </w:drawing>
          </mc:Choice>
          <mc:Fallback>
            <w:pict>
              <v:shape w14:anchorId="7CB26651" id="Textbox 108" o:spid="_x0000_s1030" type="#_x0000_t202" style="position:absolute;margin-left:1in;margin-top:19.45pt;width:450.95pt;height:206.1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" fillcolor="#e8e8e8" stroked="f">
                <v:textbox inset="0,0,0,0">
                  <w:txbxContent>
                    <w:p w14:paraId="7CB2676A" w14:textId="77777777" w:rsidR="008A4099" w:rsidRDefault="006A6EE2">
                      <w:pPr>
                        <w:spacing w:before="219"/>
                        <w:ind w:left="108"/>
                        <w:jc w:val="both"/>
                        <w:rPr>
                          <w:b/>
                          <w:color w:val="000000"/>
                          <w:sz w:val="23"/>
                        </w:rPr>
                      </w:pPr>
                      <w:r>
                        <w:rPr>
                          <w:b/>
                          <w:color w:val="000000"/>
                          <w:sz w:val="23"/>
                        </w:rPr>
                        <w:t>Recommendation</w:t>
                      </w:r>
                      <w:r>
                        <w:rPr>
                          <w:b/>
                          <w:color w:val="000000"/>
                          <w:spacing w:val="-5"/>
                          <w:sz w:val="23"/>
                        </w:rPr>
                        <w:t xml:space="preserve"> </w:t>
                      </w:r>
                      <w:r>
                        <w:rPr>
                          <w:b/>
                          <w:color w:val="000000"/>
                          <w:sz w:val="23"/>
                        </w:rPr>
                        <w:t>3</w:t>
                      </w:r>
                      <w:r>
                        <w:rPr>
                          <w:b/>
                          <w:color w:val="000000"/>
                          <w:spacing w:val="-4"/>
                          <w:sz w:val="23"/>
                        </w:rPr>
                        <w:t xml:space="preserve"> </w:t>
                      </w:r>
                      <w:r>
                        <w:rPr>
                          <w:b/>
                          <w:color w:val="000000"/>
                          <w:sz w:val="23"/>
                        </w:rPr>
                        <w:t>–</w:t>
                      </w:r>
                      <w:r>
                        <w:rPr>
                          <w:b/>
                          <w:color w:val="000000"/>
                          <w:spacing w:val="-3"/>
                          <w:sz w:val="23"/>
                        </w:rPr>
                        <w:t xml:space="preserve"> </w:t>
                      </w:r>
                      <w:r>
                        <w:rPr>
                          <w:b/>
                          <w:color w:val="000000"/>
                          <w:sz w:val="23"/>
                        </w:rPr>
                        <w:t>Public</w:t>
                      </w:r>
                      <w:r>
                        <w:rPr>
                          <w:b/>
                          <w:color w:val="000000"/>
                          <w:spacing w:val="-4"/>
                          <w:sz w:val="23"/>
                        </w:rPr>
                        <w:t xml:space="preserve"> </w:t>
                      </w:r>
                      <w:r>
                        <w:rPr>
                          <w:b/>
                          <w:color w:val="000000"/>
                          <w:sz w:val="23"/>
                        </w:rPr>
                        <w:t>Authorities:</w:t>
                      </w:r>
                      <w:r>
                        <w:rPr>
                          <w:b/>
                          <w:color w:val="000000"/>
                          <w:spacing w:val="-3"/>
                          <w:sz w:val="23"/>
                        </w:rPr>
                        <w:t xml:space="preserve"> </w:t>
                      </w:r>
                      <w:r>
                        <w:rPr>
                          <w:b/>
                          <w:color w:val="000000"/>
                          <w:spacing w:val="-2"/>
                          <w:sz w:val="23"/>
                        </w:rPr>
                        <w:t>Definition</w:t>
                      </w:r>
                    </w:p>
                    <w:p w14:paraId="7CB2676B" w14:textId="77777777" w:rsidR="008A4099" w:rsidRDefault="006A6EE2">
                      <w:pPr>
                        <w:pStyle w:val="BodyText"/>
                        <w:spacing w:before="239" w:line="242" w:lineRule="auto"/>
                        <w:ind w:left="108" w:right="220"/>
                        <w:jc w:val="both"/>
                        <w:rPr>
                          <w:color w:val="000000"/>
                        </w:rPr>
                      </w:pPr>
                      <w:r>
                        <w:rPr>
                          <w:color w:val="000000"/>
                        </w:rPr>
                        <w:t>That</w:t>
                      </w:r>
                      <w:r>
                        <w:rPr>
                          <w:color w:val="000000"/>
                          <w:spacing w:val="-4"/>
                        </w:rPr>
                        <w:t xml:space="preserve"> </w:t>
                      </w:r>
                      <w:r>
                        <w:rPr>
                          <w:color w:val="000000"/>
                        </w:rPr>
                        <w:t>the</w:t>
                      </w:r>
                      <w:r>
                        <w:rPr>
                          <w:color w:val="000000"/>
                          <w:spacing w:val="-4"/>
                        </w:rPr>
                        <w:t xml:space="preserve"> </w:t>
                      </w:r>
                      <w:r>
                        <w:rPr>
                          <w:color w:val="000000"/>
                        </w:rPr>
                        <w:t>Tasmanian</w:t>
                      </w:r>
                      <w:r>
                        <w:rPr>
                          <w:color w:val="000000"/>
                          <w:spacing w:val="-5"/>
                        </w:rPr>
                        <w:t xml:space="preserve"> </w:t>
                      </w:r>
                      <w:r>
                        <w:rPr>
                          <w:color w:val="000000"/>
                        </w:rPr>
                        <w:t>human</w:t>
                      </w:r>
                      <w:r>
                        <w:rPr>
                          <w:color w:val="000000"/>
                          <w:spacing w:val="-7"/>
                        </w:rPr>
                        <w:t xml:space="preserve"> </w:t>
                      </w:r>
                      <w:r>
                        <w:rPr>
                          <w:color w:val="000000"/>
                        </w:rPr>
                        <w:t>rights</w:t>
                      </w:r>
                      <w:r>
                        <w:rPr>
                          <w:color w:val="000000"/>
                          <w:spacing w:val="-4"/>
                        </w:rPr>
                        <w:t xml:space="preserve"> </w:t>
                      </w:r>
                      <w:r>
                        <w:rPr>
                          <w:color w:val="000000"/>
                        </w:rPr>
                        <w:t>enactment</w:t>
                      </w:r>
                      <w:r>
                        <w:rPr>
                          <w:color w:val="000000"/>
                          <w:spacing w:val="-6"/>
                        </w:rPr>
                        <w:t xml:space="preserve"> </w:t>
                      </w:r>
                      <w:r>
                        <w:rPr>
                          <w:color w:val="000000"/>
                        </w:rPr>
                        <w:t>adopt</w:t>
                      </w:r>
                      <w:r>
                        <w:rPr>
                          <w:color w:val="000000"/>
                          <w:spacing w:val="-4"/>
                        </w:rPr>
                        <w:t xml:space="preserve"> </w:t>
                      </w:r>
                      <w:r>
                        <w:rPr>
                          <w:color w:val="000000"/>
                        </w:rPr>
                        <w:t>a</w:t>
                      </w:r>
                      <w:r>
                        <w:rPr>
                          <w:color w:val="000000"/>
                          <w:spacing w:val="-4"/>
                        </w:rPr>
                        <w:t xml:space="preserve"> </w:t>
                      </w:r>
                      <w:r>
                        <w:rPr>
                          <w:color w:val="000000"/>
                        </w:rPr>
                        <w:t>broad</w:t>
                      </w:r>
                      <w:r>
                        <w:rPr>
                          <w:color w:val="000000"/>
                          <w:spacing w:val="-4"/>
                        </w:rPr>
                        <w:t xml:space="preserve"> </w:t>
                      </w:r>
                      <w:r>
                        <w:rPr>
                          <w:color w:val="000000"/>
                        </w:rPr>
                        <w:t>definition</w:t>
                      </w:r>
                      <w:r>
                        <w:rPr>
                          <w:color w:val="000000"/>
                          <w:spacing w:val="-5"/>
                        </w:rPr>
                        <w:t xml:space="preserve"> </w:t>
                      </w:r>
                      <w:r>
                        <w:rPr>
                          <w:color w:val="000000"/>
                        </w:rPr>
                        <w:t>of</w:t>
                      </w:r>
                      <w:r>
                        <w:rPr>
                          <w:color w:val="000000"/>
                          <w:spacing w:val="-4"/>
                        </w:rPr>
                        <w:t xml:space="preserve"> </w:t>
                      </w:r>
                      <w:r>
                        <w:rPr>
                          <w:color w:val="000000"/>
                        </w:rPr>
                        <w:t>public</w:t>
                      </w:r>
                      <w:r>
                        <w:rPr>
                          <w:color w:val="000000"/>
                          <w:spacing w:val="-7"/>
                        </w:rPr>
                        <w:t xml:space="preserve"> </w:t>
                      </w:r>
                      <w:r>
                        <w:rPr>
                          <w:color w:val="000000"/>
                        </w:rPr>
                        <w:t>authority,</w:t>
                      </w:r>
                      <w:r>
                        <w:rPr>
                          <w:color w:val="000000"/>
                          <w:spacing w:val="-7"/>
                        </w:rPr>
                        <w:t xml:space="preserve"> </w:t>
                      </w:r>
                      <w:r>
                        <w:rPr>
                          <w:color w:val="000000"/>
                        </w:rPr>
                        <w:t xml:space="preserve">including organisations performing public functions and organisations that opt-in to public authority </w:t>
                      </w:r>
                      <w:r>
                        <w:rPr>
                          <w:color w:val="000000"/>
                          <w:spacing w:val="-2"/>
                        </w:rPr>
                        <w:t>obligations.</w:t>
                      </w:r>
                    </w:p>
                    <w:p w14:paraId="7CB2676C" w14:textId="77777777" w:rsidR="008A4099" w:rsidRDefault="006A6EE2">
                      <w:pPr>
                        <w:pStyle w:val="BodyText"/>
                        <w:spacing w:before="115"/>
                        <w:ind w:left="108" w:right="221"/>
                        <w:jc w:val="both"/>
                        <w:rPr>
                          <w:color w:val="000000"/>
                        </w:rPr>
                      </w:pPr>
                      <w:r>
                        <w:rPr>
                          <w:color w:val="000000"/>
                        </w:rPr>
                        <w:t>The Tasmanian human rights enactment should explicitly list the sorts of functions that are to be characterised as public functions, including the delivery of emergency, utility, public housing, education,</w:t>
                      </w:r>
                      <w:r>
                        <w:rPr>
                          <w:color w:val="000000"/>
                          <w:spacing w:val="-3"/>
                        </w:rPr>
                        <w:t xml:space="preserve"> </w:t>
                      </w:r>
                      <w:r>
                        <w:rPr>
                          <w:color w:val="000000"/>
                        </w:rPr>
                        <w:t>health,</w:t>
                      </w:r>
                      <w:r>
                        <w:rPr>
                          <w:color w:val="000000"/>
                          <w:spacing w:val="-3"/>
                        </w:rPr>
                        <w:t xml:space="preserve"> </w:t>
                      </w:r>
                      <w:r>
                        <w:rPr>
                          <w:color w:val="000000"/>
                        </w:rPr>
                        <w:t>disability,</w:t>
                      </w:r>
                      <w:r>
                        <w:rPr>
                          <w:color w:val="000000"/>
                          <w:spacing w:val="-3"/>
                        </w:rPr>
                        <w:t xml:space="preserve"> </w:t>
                      </w:r>
                      <w:r>
                        <w:rPr>
                          <w:color w:val="000000"/>
                        </w:rPr>
                        <w:t>and</w:t>
                      </w:r>
                      <w:r>
                        <w:rPr>
                          <w:color w:val="000000"/>
                          <w:spacing w:val="-3"/>
                        </w:rPr>
                        <w:t xml:space="preserve"> </w:t>
                      </w:r>
                      <w:r>
                        <w:rPr>
                          <w:color w:val="000000"/>
                        </w:rPr>
                        <w:t>transport</w:t>
                      </w:r>
                      <w:r>
                        <w:rPr>
                          <w:color w:val="000000"/>
                          <w:spacing w:val="-5"/>
                        </w:rPr>
                        <w:t xml:space="preserve"> </w:t>
                      </w:r>
                      <w:r>
                        <w:rPr>
                          <w:color w:val="000000"/>
                        </w:rPr>
                        <w:t>services,</w:t>
                      </w:r>
                      <w:r>
                        <w:rPr>
                          <w:color w:val="000000"/>
                          <w:spacing w:val="-3"/>
                        </w:rPr>
                        <w:t xml:space="preserve"> </w:t>
                      </w:r>
                      <w:r>
                        <w:rPr>
                          <w:color w:val="000000"/>
                        </w:rPr>
                        <w:t>and</w:t>
                      </w:r>
                      <w:r>
                        <w:rPr>
                          <w:color w:val="000000"/>
                          <w:spacing w:val="-6"/>
                        </w:rPr>
                        <w:t xml:space="preserve"> </w:t>
                      </w:r>
                      <w:r>
                        <w:rPr>
                          <w:color w:val="000000"/>
                        </w:rPr>
                        <w:t>the</w:t>
                      </w:r>
                      <w:r>
                        <w:rPr>
                          <w:color w:val="000000"/>
                          <w:spacing w:val="-3"/>
                        </w:rPr>
                        <w:t xml:space="preserve"> </w:t>
                      </w:r>
                      <w:r>
                        <w:rPr>
                          <w:color w:val="000000"/>
                        </w:rPr>
                        <w:t>operation</w:t>
                      </w:r>
                      <w:r>
                        <w:rPr>
                          <w:color w:val="000000"/>
                          <w:spacing w:val="-3"/>
                        </w:rPr>
                        <w:t xml:space="preserve"> </w:t>
                      </w:r>
                      <w:r>
                        <w:rPr>
                          <w:color w:val="000000"/>
                        </w:rPr>
                        <w:t>of</w:t>
                      </w:r>
                      <w:r>
                        <w:rPr>
                          <w:color w:val="000000"/>
                          <w:spacing w:val="-3"/>
                        </w:rPr>
                        <w:t xml:space="preserve"> </w:t>
                      </w:r>
                      <w:r>
                        <w:rPr>
                          <w:color w:val="000000"/>
                        </w:rPr>
                        <w:t>correctional</w:t>
                      </w:r>
                      <w:r>
                        <w:rPr>
                          <w:color w:val="000000"/>
                          <w:spacing w:val="-2"/>
                        </w:rPr>
                        <w:t xml:space="preserve"> </w:t>
                      </w:r>
                      <w:r>
                        <w:rPr>
                          <w:color w:val="000000"/>
                        </w:rPr>
                        <w:t>and</w:t>
                      </w:r>
                      <w:r>
                        <w:rPr>
                          <w:color w:val="000000"/>
                          <w:spacing w:val="-3"/>
                        </w:rPr>
                        <w:t xml:space="preserve"> </w:t>
                      </w:r>
                      <w:r>
                        <w:rPr>
                          <w:color w:val="000000"/>
                        </w:rPr>
                        <w:t xml:space="preserve">detention </w:t>
                      </w:r>
                      <w:r>
                        <w:rPr>
                          <w:color w:val="000000"/>
                          <w:spacing w:val="-2"/>
                        </w:rPr>
                        <w:t>facilities.</w:t>
                      </w:r>
                    </w:p>
                    <w:p w14:paraId="7CB2676D" w14:textId="77777777" w:rsidR="008A4099" w:rsidRDefault="006A6EE2">
                      <w:pPr>
                        <w:pStyle w:val="BodyText"/>
                        <w:spacing w:before="119"/>
                        <w:ind w:left="108" w:right="219"/>
                        <w:jc w:val="both"/>
                        <w:rPr>
                          <w:color w:val="000000"/>
                        </w:rPr>
                      </w:pPr>
                      <w:r>
                        <w:rPr>
                          <w:color w:val="000000"/>
                        </w:rPr>
                        <w:t>The treatment of religious bodies within a human rights enactment and anti-discrimination framework</w:t>
                      </w:r>
                      <w:r>
                        <w:rPr>
                          <w:color w:val="000000"/>
                          <w:spacing w:val="-7"/>
                        </w:rPr>
                        <w:t xml:space="preserve"> </w:t>
                      </w:r>
                      <w:r>
                        <w:rPr>
                          <w:color w:val="000000"/>
                        </w:rPr>
                        <w:t>(and</w:t>
                      </w:r>
                      <w:r>
                        <w:rPr>
                          <w:color w:val="000000"/>
                          <w:spacing w:val="-9"/>
                        </w:rPr>
                        <w:t xml:space="preserve"> </w:t>
                      </w:r>
                      <w:r>
                        <w:rPr>
                          <w:color w:val="000000"/>
                        </w:rPr>
                        <w:t>the</w:t>
                      </w:r>
                      <w:r>
                        <w:rPr>
                          <w:color w:val="000000"/>
                          <w:spacing w:val="-9"/>
                        </w:rPr>
                        <w:t xml:space="preserve"> </w:t>
                      </w:r>
                      <w:r>
                        <w:rPr>
                          <w:color w:val="000000"/>
                        </w:rPr>
                        <w:t>interaction</w:t>
                      </w:r>
                      <w:r>
                        <w:rPr>
                          <w:color w:val="000000"/>
                          <w:spacing w:val="-7"/>
                        </w:rPr>
                        <w:t xml:space="preserve"> </w:t>
                      </w:r>
                      <w:r>
                        <w:rPr>
                          <w:color w:val="000000"/>
                        </w:rPr>
                        <w:t>between</w:t>
                      </w:r>
                      <w:r>
                        <w:rPr>
                          <w:color w:val="000000"/>
                          <w:spacing w:val="-7"/>
                        </w:rPr>
                        <w:t xml:space="preserve"> </w:t>
                      </w:r>
                      <w:r>
                        <w:rPr>
                          <w:color w:val="000000"/>
                        </w:rPr>
                        <w:t>the</w:t>
                      </w:r>
                      <w:r>
                        <w:rPr>
                          <w:color w:val="000000"/>
                          <w:spacing w:val="-7"/>
                        </w:rPr>
                        <w:t xml:space="preserve"> </w:t>
                      </w:r>
                      <w:r>
                        <w:rPr>
                          <w:color w:val="000000"/>
                        </w:rPr>
                        <w:t>two</w:t>
                      </w:r>
                      <w:r>
                        <w:rPr>
                          <w:color w:val="000000"/>
                          <w:spacing w:val="-9"/>
                        </w:rPr>
                        <w:t xml:space="preserve"> </w:t>
                      </w:r>
                      <w:r>
                        <w:rPr>
                          <w:color w:val="000000"/>
                        </w:rPr>
                        <w:t>frameworks)</w:t>
                      </w:r>
                      <w:r>
                        <w:rPr>
                          <w:color w:val="000000"/>
                          <w:spacing w:val="-7"/>
                        </w:rPr>
                        <w:t xml:space="preserve"> </w:t>
                      </w:r>
                      <w:r>
                        <w:rPr>
                          <w:color w:val="000000"/>
                        </w:rPr>
                        <w:t>should</w:t>
                      </w:r>
                      <w:r>
                        <w:rPr>
                          <w:color w:val="000000"/>
                          <w:spacing w:val="-7"/>
                        </w:rPr>
                        <w:t xml:space="preserve"> </w:t>
                      </w:r>
                      <w:r>
                        <w:rPr>
                          <w:color w:val="000000"/>
                        </w:rPr>
                        <w:t>be</w:t>
                      </w:r>
                      <w:r>
                        <w:rPr>
                          <w:color w:val="000000"/>
                          <w:spacing w:val="-8"/>
                        </w:rPr>
                        <w:t xml:space="preserve"> </w:t>
                      </w:r>
                      <w:r>
                        <w:rPr>
                          <w:color w:val="000000"/>
                        </w:rPr>
                        <w:t>a</w:t>
                      </w:r>
                      <w:r>
                        <w:rPr>
                          <w:color w:val="000000"/>
                          <w:spacing w:val="-9"/>
                        </w:rPr>
                        <w:t xml:space="preserve"> </w:t>
                      </w:r>
                      <w:r>
                        <w:rPr>
                          <w:color w:val="000000"/>
                        </w:rPr>
                        <w:t>matter</w:t>
                      </w:r>
                      <w:r>
                        <w:rPr>
                          <w:color w:val="000000"/>
                          <w:spacing w:val="-7"/>
                        </w:rPr>
                        <w:t xml:space="preserve"> </w:t>
                      </w:r>
                      <w:r>
                        <w:rPr>
                          <w:color w:val="000000"/>
                        </w:rPr>
                        <w:t>for</w:t>
                      </w:r>
                      <w:r>
                        <w:rPr>
                          <w:color w:val="000000"/>
                          <w:spacing w:val="-7"/>
                        </w:rPr>
                        <w:t xml:space="preserve"> </w:t>
                      </w:r>
                      <w:r>
                        <w:rPr>
                          <w:color w:val="000000"/>
                        </w:rPr>
                        <w:t>further</w:t>
                      </w:r>
                      <w:r>
                        <w:rPr>
                          <w:color w:val="000000"/>
                          <w:spacing w:val="-8"/>
                        </w:rPr>
                        <w:t xml:space="preserve"> </w:t>
                      </w:r>
                      <w:r>
                        <w:rPr>
                          <w:color w:val="000000"/>
                        </w:rPr>
                        <w:t>review. As part</w:t>
                      </w:r>
                      <w:r>
                        <w:rPr>
                          <w:color w:val="000000"/>
                          <w:spacing w:val="-1"/>
                        </w:rPr>
                        <w:t xml:space="preserve"> </w:t>
                      </w:r>
                      <w:r>
                        <w:rPr>
                          <w:color w:val="000000"/>
                        </w:rPr>
                        <w:t>of</w:t>
                      </w:r>
                      <w:r>
                        <w:rPr>
                          <w:color w:val="000000"/>
                          <w:spacing w:val="-1"/>
                        </w:rPr>
                        <w:t xml:space="preserve"> </w:t>
                      </w:r>
                      <w:r>
                        <w:rPr>
                          <w:color w:val="000000"/>
                        </w:rPr>
                        <w:t>this</w:t>
                      </w:r>
                      <w:r>
                        <w:rPr>
                          <w:color w:val="000000"/>
                          <w:spacing w:val="-1"/>
                        </w:rPr>
                        <w:t xml:space="preserve"> </w:t>
                      </w:r>
                      <w:r>
                        <w:rPr>
                          <w:color w:val="000000"/>
                        </w:rPr>
                        <w:t>review,</w:t>
                      </w:r>
                      <w:r>
                        <w:rPr>
                          <w:color w:val="000000"/>
                          <w:spacing w:val="-3"/>
                        </w:rPr>
                        <w:t xml:space="preserve"> </w:t>
                      </w:r>
                      <w:r>
                        <w:rPr>
                          <w:color w:val="000000"/>
                        </w:rPr>
                        <w:t>consideration</w:t>
                      </w:r>
                      <w:r>
                        <w:rPr>
                          <w:color w:val="000000"/>
                          <w:spacing w:val="-1"/>
                        </w:rPr>
                        <w:t xml:space="preserve"> </w:t>
                      </w:r>
                      <w:r>
                        <w:rPr>
                          <w:color w:val="000000"/>
                        </w:rPr>
                        <w:t>should</w:t>
                      </w:r>
                      <w:r>
                        <w:rPr>
                          <w:color w:val="000000"/>
                          <w:spacing w:val="-2"/>
                        </w:rPr>
                        <w:t xml:space="preserve"> </w:t>
                      </w:r>
                      <w:r>
                        <w:rPr>
                          <w:color w:val="000000"/>
                        </w:rPr>
                        <w:t>be</w:t>
                      </w:r>
                      <w:r>
                        <w:rPr>
                          <w:color w:val="000000"/>
                          <w:spacing w:val="-2"/>
                        </w:rPr>
                        <w:t xml:space="preserve"> </w:t>
                      </w:r>
                      <w:r>
                        <w:rPr>
                          <w:color w:val="000000"/>
                        </w:rPr>
                        <w:t>given</w:t>
                      </w:r>
                      <w:r>
                        <w:rPr>
                          <w:color w:val="000000"/>
                          <w:spacing w:val="-1"/>
                        </w:rPr>
                        <w:t xml:space="preserve"> </w:t>
                      </w:r>
                      <w:r>
                        <w:rPr>
                          <w:color w:val="000000"/>
                        </w:rPr>
                        <w:t>to the human</w:t>
                      </w:r>
                      <w:r>
                        <w:rPr>
                          <w:color w:val="000000"/>
                          <w:spacing w:val="-2"/>
                        </w:rPr>
                        <w:t xml:space="preserve"> </w:t>
                      </w:r>
                      <w:r>
                        <w:rPr>
                          <w:color w:val="000000"/>
                        </w:rPr>
                        <w:t>rights</w:t>
                      </w:r>
                      <w:r>
                        <w:rPr>
                          <w:color w:val="000000"/>
                          <w:spacing w:val="-1"/>
                        </w:rPr>
                        <w:t xml:space="preserve"> </w:t>
                      </w:r>
                      <w:r>
                        <w:rPr>
                          <w:color w:val="000000"/>
                        </w:rPr>
                        <w:t>enactment providing</w:t>
                      </w:r>
                      <w:r>
                        <w:rPr>
                          <w:color w:val="000000"/>
                          <w:spacing w:val="-2"/>
                        </w:rPr>
                        <w:t xml:space="preserve"> </w:t>
                      </w:r>
                      <w:r>
                        <w:rPr>
                          <w:color w:val="000000"/>
                        </w:rPr>
                        <w:t>that non-government schools and health services be subject to any Tasmanian Charter of Rights from the outset, rather than deferring decisions about their inclusion to future reviews.</w:t>
                      </w:r>
                    </w:p>
                  </w:txbxContent>
                </v:textbox>
                <w10:wrap type="topAndBottom" anchorx="page"/>
              </v:shape>
            </w:pict>
          </mc:Fallback>
        </mc:AlternateContent>
      </w:r>
    </w:p>
    <w:p w14:paraId="7CB260C8" w14:textId="77777777" w:rsidR="008A4099" w:rsidRDefault="006A6EE2">
      <w:pPr>
        <w:pStyle w:val="Heading3"/>
        <w:spacing w:before="219"/>
      </w:pPr>
      <w:bookmarkStart w:id="31" w:name="_TOC_250029"/>
      <w:r>
        <w:t>Courts</w:t>
      </w:r>
      <w:r>
        <w:rPr>
          <w:spacing w:val="-3"/>
        </w:rPr>
        <w:t xml:space="preserve"> </w:t>
      </w:r>
      <w:r>
        <w:t>and</w:t>
      </w:r>
      <w:bookmarkEnd w:id="31"/>
      <w:r>
        <w:rPr>
          <w:spacing w:val="-2"/>
        </w:rPr>
        <w:t xml:space="preserve"> tribunals</w:t>
      </w:r>
    </w:p>
    <w:p w14:paraId="7CB260C9" w14:textId="77777777" w:rsidR="008A4099" w:rsidRDefault="006A6EE2">
      <w:pPr>
        <w:pStyle w:val="ListParagraph"/>
        <w:numPr>
          <w:ilvl w:val="2"/>
          <w:numId w:val="3"/>
        </w:numPr>
        <w:tabs>
          <w:tab w:val="left" w:pos="879"/>
        </w:tabs>
        <w:spacing w:before="241"/>
        <w:ind w:right="677" w:firstLine="0"/>
        <w:jc w:val="both"/>
        <w:rPr>
          <w:sz w:val="13"/>
        </w:rPr>
      </w:pPr>
      <w:r>
        <w:t>In the 2007 Final Report, the TLRI considered the role of courts and tribunals under the proposed</w:t>
      </w:r>
      <w:r>
        <w:rPr>
          <w:spacing w:val="-7"/>
        </w:rPr>
        <w:t xml:space="preserve"> </w:t>
      </w:r>
      <w:r>
        <w:t>model</w:t>
      </w:r>
      <w:r>
        <w:rPr>
          <w:spacing w:val="-6"/>
        </w:rPr>
        <w:t xml:space="preserve"> </w:t>
      </w:r>
      <w:r>
        <w:t>for</w:t>
      </w:r>
      <w:r>
        <w:rPr>
          <w:spacing w:val="-6"/>
        </w:rPr>
        <w:t xml:space="preserve"> </w:t>
      </w:r>
      <w:r>
        <w:t>a</w:t>
      </w:r>
      <w:r>
        <w:rPr>
          <w:spacing w:val="-4"/>
        </w:rPr>
        <w:t xml:space="preserve"> </w:t>
      </w:r>
      <w:r>
        <w:t>human</w:t>
      </w:r>
      <w:r>
        <w:rPr>
          <w:spacing w:val="-5"/>
        </w:rPr>
        <w:t xml:space="preserve"> </w:t>
      </w:r>
      <w:r>
        <w:t>rights</w:t>
      </w:r>
      <w:r>
        <w:rPr>
          <w:spacing w:val="-4"/>
        </w:rPr>
        <w:t xml:space="preserve"> </w:t>
      </w:r>
      <w:r>
        <w:t>enactment.</w:t>
      </w:r>
      <w:r>
        <w:rPr>
          <w:spacing w:val="-5"/>
        </w:rPr>
        <w:t xml:space="preserve"> </w:t>
      </w:r>
      <w:r>
        <w:t>Fundamental</w:t>
      </w:r>
      <w:r>
        <w:rPr>
          <w:spacing w:val="-6"/>
        </w:rPr>
        <w:t xml:space="preserve"> </w:t>
      </w:r>
      <w:r>
        <w:t>to</w:t>
      </w:r>
      <w:r>
        <w:rPr>
          <w:spacing w:val="-5"/>
        </w:rPr>
        <w:t xml:space="preserve"> </w:t>
      </w:r>
      <w:r>
        <w:t>the</w:t>
      </w:r>
      <w:r>
        <w:rPr>
          <w:spacing w:val="-4"/>
        </w:rPr>
        <w:t xml:space="preserve"> </w:t>
      </w:r>
      <w:r>
        <w:t>approach</w:t>
      </w:r>
      <w:r>
        <w:rPr>
          <w:spacing w:val="-7"/>
        </w:rPr>
        <w:t xml:space="preserve"> </w:t>
      </w:r>
      <w:r>
        <w:t>taken</w:t>
      </w:r>
      <w:r>
        <w:rPr>
          <w:spacing w:val="-7"/>
        </w:rPr>
        <w:t xml:space="preserve"> </w:t>
      </w:r>
      <w:r>
        <w:t>was</w:t>
      </w:r>
      <w:r>
        <w:rPr>
          <w:spacing w:val="-4"/>
        </w:rPr>
        <w:t xml:space="preserve"> </w:t>
      </w:r>
      <w:r>
        <w:t>the</w:t>
      </w:r>
      <w:r>
        <w:rPr>
          <w:spacing w:val="-4"/>
        </w:rPr>
        <w:t xml:space="preserve"> </w:t>
      </w:r>
      <w:r>
        <w:t>objective</w:t>
      </w:r>
      <w:r>
        <w:rPr>
          <w:spacing w:val="-4"/>
        </w:rPr>
        <w:t xml:space="preserve"> </w:t>
      </w:r>
      <w:r>
        <w:t>of requiring courts to interpret all Tasmanian laws, as far as possible, in a manner that complies with human rights. This remains the view of the TLRI, as discussed below. In the 2007 Final Report, Recommendations</w:t>
      </w:r>
      <w:r>
        <w:rPr>
          <w:spacing w:val="-8"/>
        </w:rPr>
        <w:t xml:space="preserve"> </w:t>
      </w:r>
      <w:r>
        <w:t>8</w:t>
      </w:r>
      <w:r>
        <w:rPr>
          <w:spacing w:val="-9"/>
        </w:rPr>
        <w:t xml:space="preserve"> </w:t>
      </w:r>
      <w:r>
        <w:t>(What</w:t>
      </w:r>
      <w:r>
        <w:rPr>
          <w:spacing w:val="-10"/>
        </w:rPr>
        <w:t xml:space="preserve"> </w:t>
      </w:r>
      <w:r>
        <w:t>is</w:t>
      </w:r>
      <w:r>
        <w:rPr>
          <w:spacing w:val="-8"/>
        </w:rPr>
        <w:t xml:space="preserve"> </w:t>
      </w:r>
      <w:r>
        <w:t>a</w:t>
      </w:r>
      <w:r>
        <w:rPr>
          <w:spacing w:val="-11"/>
        </w:rPr>
        <w:t xml:space="preserve"> </w:t>
      </w:r>
      <w:r>
        <w:t>‘public</w:t>
      </w:r>
      <w:r>
        <w:rPr>
          <w:spacing w:val="-8"/>
        </w:rPr>
        <w:t xml:space="preserve"> </w:t>
      </w:r>
      <w:r>
        <w:t>authority?’)</w:t>
      </w:r>
      <w:r>
        <w:rPr>
          <w:spacing w:val="-8"/>
        </w:rPr>
        <w:t xml:space="preserve"> </w:t>
      </w:r>
      <w:r>
        <w:t>and</w:t>
      </w:r>
      <w:r>
        <w:rPr>
          <w:spacing w:val="-11"/>
        </w:rPr>
        <w:t xml:space="preserve"> </w:t>
      </w:r>
      <w:r>
        <w:t>11</w:t>
      </w:r>
      <w:r>
        <w:rPr>
          <w:spacing w:val="-9"/>
        </w:rPr>
        <w:t xml:space="preserve"> </w:t>
      </w:r>
      <w:r>
        <w:t>(Role</w:t>
      </w:r>
      <w:r>
        <w:rPr>
          <w:spacing w:val="-8"/>
        </w:rPr>
        <w:t xml:space="preserve"> </w:t>
      </w:r>
      <w:r>
        <w:t>of</w:t>
      </w:r>
      <w:r>
        <w:rPr>
          <w:spacing w:val="-10"/>
        </w:rPr>
        <w:t xml:space="preserve"> </w:t>
      </w:r>
      <w:r>
        <w:t>the</w:t>
      </w:r>
      <w:r>
        <w:rPr>
          <w:spacing w:val="-11"/>
        </w:rPr>
        <w:t xml:space="preserve"> </w:t>
      </w:r>
      <w:r>
        <w:t>courts)</w:t>
      </w:r>
      <w:r>
        <w:rPr>
          <w:spacing w:val="-8"/>
        </w:rPr>
        <w:t xml:space="preserve"> </w:t>
      </w:r>
      <w:r>
        <w:t>were</w:t>
      </w:r>
      <w:r>
        <w:rPr>
          <w:spacing w:val="-8"/>
        </w:rPr>
        <w:t xml:space="preserve"> </w:t>
      </w:r>
      <w:r>
        <w:t>closely</w:t>
      </w:r>
      <w:r>
        <w:rPr>
          <w:spacing w:val="-9"/>
        </w:rPr>
        <w:t xml:space="preserve"> </w:t>
      </w:r>
      <w:r>
        <w:t>related</w:t>
      </w:r>
      <w:r>
        <w:rPr>
          <w:spacing w:val="-11"/>
        </w:rPr>
        <w:t xml:space="preserve"> </w:t>
      </w:r>
      <w:r>
        <w:t>and sought to give</w:t>
      </w:r>
      <w:r>
        <w:rPr>
          <w:spacing w:val="-1"/>
        </w:rPr>
        <w:t xml:space="preserve"> </w:t>
      </w:r>
      <w:r>
        <w:t>effect to the</w:t>
      </w:r>
      <w:r>
        <w:rPr>
          <w:spacing w:val="-1"/>
        </w:rPr>
        <w:t xml:space="preserve"> </w:t>
      </w:r>
      <w:r>
        <w:t>TLRI’s view</w:t>
      </w:r>
      <w:r>
        <w:rPr>
          <w:spacing w:val="-2"/>
        </w:rPr>
        <w:t xml:space="preserve"> </w:t>
      </w:r>
      <w:r>
        <w:t>that the Charter should</w:t>
      </w:r>
      <w:r>
        <w:rPr>
          <w:spacing w:val="-1"/>
        </w:rPr>
        <w:t xml:space="preserve"> </w:t>
      </w:r>
      <w:r>
        <w:t>apply to</w:t>
      </w:r>
      <w:r>
        <w:rPr>
          <w:spacing w:val="-1"/>
        </w:rPr>
        <w:t xml:space="preserve"> </w:t>
      </w:r>
      <w:r>
        <w:t>courts</w:t>
      </w:r>
      <w:r>
        <w:rPr>
          <w:spacing w:val="-1"/>
        </w:rPr>
        <w:t xml:space="preserve"> </w:t>
      </w:r>
      <w:r>
        <w:t>in</w:t>
      </w:r>
      <w:r>
        <w:rPr>
          <w:spacing w:val="-2"/>
        </w:rPr>
        <w:t xml:space="preserve"> </w:t>
      </w:r>
      <w:r>
        <w:t>the</w:t>
      </w:r>
      <w:r>
        <w:rPr>
          <w:spacing w:val="-1"/>
        </w:rPr>
        <w:t xml:space="preserve"> </w:t>
      </w:r>
      <w:r>
        <w:t>interpretive role of</w:t>
      </w:r>
      <w:r>
        <w:rPr>
          <w:spacing w:val="-1"/>
        </w:rPr>
        <w:t xml:space="preserve"> </w:t>
      </w:r>
      <w:r>
        <w:t>the</w:t>
      </w:r>
      <w:r>
        <w:rPr>
          <w:spacing w:val="-1"/>
        </w:rPr>
        <w:t xml:space="preserve"> </w:t>
      </w:r>
      <w:r>
        <w:t>Charter to</w:t>
      </w:r>
      <w:r>
        <w:rPr>
          <w:spacing w:val="-4"/>
        </w:rPr>
        <w:t xml:space="preserve"> </w:t>
      </w:r>
      <w:r>
        <w:t>the</w:t>
      </w:r>
      <w:r>
        <w:rPr>
          <w:spacing w:val="-1"/>
        </w:rPr>
        <w:t xml:space="preserve"> </w:t>
      </w:r>
      <w:r>
        <w:t>common</w:t>
      </w:r>
      <w:r>
        <w:rPr>
          <w:spacing w:val="-1"/>
        </w:rPr>
        <w:t xml:space="preserve"> </w:t>
      </w:r>
      <w:r>
        <w:t>law.</w:t>
      </w:r>
      <w:r>
        <w:rPr>
          <w:spacing w:val="-1"/>
        </w:rPr>
        <w:t xml:space="preserve"> </w:t>
      </w:r>
      <w:r>
        <w:t>As</w:t>
      </w:r>
      <w:r>
        <w:rPr>
          <w:spacing w:val="-1"/>
        </w:rPr>
        <w:t xml:space="preserve"> </w:t>
      </w:r>
      <w:r>
        <w:t>stated</w:t>
      </w:r>
      <w:r>
        <w:rPr>
          <w:spacing w:val="-3"/>
        </w:rPr>
        <w:t xml:space="preserve"> </w:t>
      </w:r>
      <w:r>
        <w:t>in</w:t>
      </w:r>
      <w:r>
        <w:rPr>
          <w:spacing w:val="-1"/>
        </w:rPr>
        <w:t xml:space="preserve"> </w:t>
      </w:r>
      <w:r>
        <w:t>the</w:t>
      </w:r>
      <w:r>
        <w:rPr>
          <w:spacing w:val="-1"/>
        </w:rPr>
        <w:t xml:space="preserve"> </w:t>
      </w:r>
      <w:r>
        <w:t>2007</w:t>
      </w:r>
      <w:r>
        <w:rPr>
          <w:spacing w:val="-1"/>
        </w:rPr>
        <w:t xml:space="preserve"> </w:t>
      </w:r>
      <w:r>
        <w:t>Final Report,</w:t>
      </w:r>
      <w:r>
        <w:rPr>
          <w:spacing w:val="-1"/>
        </w:rPr>
        <w:t xml:space="preserve"> </w:t>
      </w:r>
      <w:r>
        <w:t>the</w:t>
      </w:r>
      <w:r>
        <w:rPr>
          <w:spacing w:val="-1"/>
        </w:rPr>
        <w:t xml:space="preserve"> </w:t>
      </w:r>
      <w:r>
        <w:t>purpose</w:t>
      </w:r>
      <w:r>
        <w:rPr>
          <w:spacing w:val="-1"/>
        </w:rPr>
        <w:t xml:space="preserve"> </w:t>
      </w:r>
      <w:r>
        <w:t>of the</w:t>
      </w:r>
      <w:r>
        <w:rPr>
          <w:spacing w:val="-1"/>
        </w:rPr>
        <w:t xml:space="preserve"> </w:t>
      </w:r>
      <w:r>
        <w:t>Charter is</w:t>
      </w:r>
      <w:r>
        <w:rPr>
          <w:spacing w:val="-1"/>
        </w:rPr>
        <w:t xml:space="preserve"> </w:t>
      </w:r>
      <w:r>
        <w:t>‘to provide over-arching, clearly articulated principles that provide a compass in the interpretation, implementation, formulation and development of all Tasmanian laws’.</w:t>
      </w:r>
      <w:r>
        <w:rPr>
          <w:position w:val="7"/>
          <w:sz w:val="13"/>
        </w:rPr>
        <w:t>366</w:t>
      </w:r>
    </w:p>
    <w:p w14:paraId="7CB260CA" w14:textId="77777777" w:rsidR="008A4099" w:rsidRDefault="006A6EE2">
      <w:pPr>
        <w:pStyle w:val="Heading4"/>
        <w:spacing w:before="234"/>
      </w:pPr>
      <w:bookmarkStart w:id="32" w:name="_TOC_250028"/>
      <w:r>
        <w:t>Interpreting</w:t>
      </w:r>
      <w:r>
        <w:rPr>
          <w:spacing w:val="-4"/>
        </w:rPr>
        <w:t xml:space="preserve"> </w:t>
      </w:r>
      <w:r>
        <w:t>the</w:t>
      </w:r>
      <w:r>
        <w:rPr>
          <w:spacing w:val="-4"/>
        </w:rPr>
        <w:t xml:space="preserve"> </w:t>
      </w:r>
      <w:bookmarkEnd w:id="32"/>
      <w:r>
        <w:rPr>
          <w:spacing w:val="-5"/>
        </w:rPr>
        <w:t>law</w:t>
      </w:r>
    </w:p>
    <w:p w14:paraId="7CB260CB" w14:textId="77777777" w:rsidR="008A4099" w:rsidRDefault="006A6EE2">
      <w:pPr>
        <w:pStyle w:val="Heading3"/>
        <w:spacing w:before="261"/>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0CC" w14:textId="77777777" w:rsidR="008A4099" w:rsidRDefault="006A6EE2">
      <w:pPr>
        <w:pStyle w:val="ListParagraph"/>
        <w:numPr>
          <w:ilvl w:val="2"/>
          <w:numId w:val="3"/>
        </w:numPr>
        <w:tabs>
          <w:tab w:val="left" w:pos="879"/>
        </w:tabs>
        <w:spacing w:before="260"/>
        <w:ind w:right="675" w:firstLine="0"/>
        <w:jc w:val="both"/>
      </w:pPr>
      <w:r>
        <w:t>In the 2007 Final Report, the TLRI’s view was that courts and tribunals should be required to interpret all Tasmanian laws (statutes and common law) in a manner that was consistent with Charter rights. Recommendation 11 provided that:</w:t>
      </w:r>
    </w:p>
    <w:p w14:paraId="7CB260CD" w14:textId="77777777" w:rsidR="008A4099" w:rsidRDefault="006A6EE2">
      <w:pPr>
        <w:pStyle w:val="BodyText"/>
        <w:spacing w:before="218" w:line="276" w:lineRule="auto"/>
        <w:ind w:left="868" w:right="1343"/>
        <w:jc w:val="both"/>
      </w:pPr>
      <w:r>
        <w:t>Subject to the requirement to interpret statutory provisions consistently with their purpose, all Tasmanian courts and tribunals should be required to interpret all Tasmanian</w:t>
      </w:r>
      <w:r>
        <w:rPr>
          <w:spacing w:val="-6"/>
        </w:rPr>
        <w:t xml:space="preserve"> </w:t>
      </w:r>
      <w:r>
        <w:t>laws,</w:t>
      </w:r>
      <w:r>
        <w:rPr>
          <w:spacing w:val="-6"/>
        </w:rPr>
        <w:t xml:space="preserve"> </w:t>
      </w:r>
      <w:r>
        <w:t>including</w:t>
      </w:r>
      <w:r>
        <w:rPr>
          <w:spacing w:val="-6"/>
        </w:rPr>
        <w:t xml:space="preserve"> </w:t>
      </w:r>
      <w:r>
        <w:t>statutory</w:t>
      </w:r>
      <w:r>
        <w:rPr>
          <w:spacing w:val="-6"/>
        </w:rPr>
        <w:t xml:space="preserve"> </w:t>
      </w:r>
      <w:r>
        <w:t>provisions,</w:t>
      </w:r>
      <w:r>
        <w:rPr>
          <w:spacing w:val="-4"/>
        </w:rPr>
        <w:t xml:space="preserve"> </w:t>
      </w:r>
      <w:r>
        <w:t>as</w:t>
      </w:r>
      <w:r>
        <w:rPr>
          <w:spacing w:val="-5"/>
        </w:rPr>
        <w:t xml:space="preserve"> </w:t>
      </w:r>
      <w:r>
        <w:t>far</w:t>
      </w:r>
      <w:r>
        <w:rPr>
          <w:spacing w:val="-5"/>
        </w:rPr>
        <w:t xml:space="preserve"> </w:t>
      </w:r>
      <w:r>
        <w:t>as</w:t>
      </w:r>
      <w:r>
        <w:rPr>
          <w:spacing w:val="-3"/>
        </w:rPr>
        <w:t xml:space="preserve"> </w:t>
      </w:r>
      <w:r>
        <w:t>it</w:t>
      </w:r>
      <w:r>
        <w:rPr>
          <w:spacing w:val="-5"/>
        </w:rPr>
        <w:t xml:space="preserve"> </w:t>
      </w:r>
      <w:r>
        <w:t>is</w:t>
      </w:r>
      <w:r>
        <w:rPr>
          <w:spacing w:val="-3"/>
        </w:rPr>
        <w:t xml:space="preserve"> </w:t>
      </w:r>
      <w:r>
        <w:t>possible</w:t>
      </w:r>
      <w:r>
        <w:rPr>
          <w:spacing w:val="-6"/>
        </w:rPr>
        <w:t xml:space="preserve"> </w:t>
      </w:r>
      <w:r>
        <w:t>to</w:t>
      </w:r>
      <w:r>
        <w:rPr>
          <w:spacing w:val="-4"/>
        </w:rPr>
        <w:t xml:space="preserve"> </w:t>
      </w:r>
      <w:r>
        <w:t>do</w:t>
      </w:r>
      <w:r>
        <w:rPr>
          <w:spacing w:val="-6"/>
        </w:rPr>
        <w:t xml:space="preserve"> </w:t>
      </w:r>
      <w:r>
        <w:t>so</w:t>
      </w:r>
      <w:r>
        <w:rPr>
          <w:spacing w:val="-5"/>
        </w:rPr>
        <w:t xml:space="preserve"> </w:t>
      </w:r>
      <w:r>
        <w:t>in</w:t>
      </w:r>
      <w:r>
        <w:rPr>
          <w:spacing w:val="-6"/>
        </w:rPr>
        <w:t xml:space="preserve"> </w:t>
      </w:r>
      <w:r>
        <w:t>a</w:t>
      </w:r>
      <w:r>
        <w:rPr>
          <w:spacing w:val="-6"/>
        </w:rPr>
        <w:t xml:space="preserve"> </w:t>
      </w:r>
      <w:r>
        <w:t>way that is compatible with human rights.</w:t>
      </w:r>
    </w:p>
    <w:p w14:paraId="7CB260CE" w14:textId="77777777" w:rsidR="008A4099" w:rsidRDefault="008A4099">
      <w:pPr>
        <w:pStyle w:val="BodyText"/>
        <w:rPr>
          <w:sz w:val="20"/>
        </w:rPr>
      </w:pPr>
    </w:p>
    <w:p w14:paraId="7CB260CF" w14:textId="77777777" w:rsidR="008A4099" w:rsidRDefault="006A6EE2">
      <w:pPr>
        <w:pStyle w:val="BodyText"/>
        <w:spacing w:before="163"/>
        <w:rPr>
          <w:sz w:val="20"/>
        </w:rPr>
      </w:pPr>
      <w:r>
        <w:rPr>
          <w:noProof/>
        </w:rPr>
        <mc:AlternateContent>
          <mc:Choice Requires="wps">
            <w:drawing>
              <wp:anchor distT="0" distB="0" distL="0" distR="0" simplePos="0" relativeHeight="487619072" behindDoc="1" locked="0" layoutInCell="1" allowOverlap="1" wp14:anchorId="7CB26653" wp14:editId="7CB26654">
                <wp:simplePos x="0" y="0"/>
                <wp:positionH relativeFrom="page">
                  <wp:posOffset>914704</wp:posOffset>
                </wp:positionH>
                <wp:positionV relativeFrom="paragraph">
                  <wp:posOffset>265092</wp:posOffset>
                </wp:positionV>
                <wp:extent cx="1829435" cy="762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1B774F" id="Graphic 109" o:spid="_x0000_s1026" style="position:absolute;margin-left:1in;margin-top:20.85pt;width:144.05pt;height:.6pt;z-index:-156974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" path="m1829054,l,,,7619r1829054,l1829054,xe" fillcolor="black" stroked="f">
                <v:path arrowok="t"/>
                <w10:wrap type="topAndBottom" anchorx="page"/>
              </v:shape>
            </w:pict>
          </mc:Fallback>
        </mc:AlternateContent>
      </w:r>
    </w:p>
    <w:p w14:paraId="7CB260D0" w14:textId="77777777" w:rsidR="008A4099" w:rsidRDefault="006A6EE2">
      <w:pPr>
        <w:spacing w:before="112"/>
        <w:ind w:left="160"/>
        <w:rPr>
          <w:sz w:val="18"/>
        </w:rPr>
      </w:pPr>
      <w:r>
        <w:rPr>
          <w:sz w:val="18"/>
          <w:vertAlign w:val="superscript"/>
        </w:rPr>
        <w:t>366</w:t>
      </w:r>
      <w:r>
        <w:rPr>
          <w:spacing w:val="-1"/>
          <w:sz w:val="18"/>
        </w:rPr>
        <w:t xml:space="preserve"> </w:t>
      </w:r>
      <w:r>
        <w:rPr>
          <w:sz w:val="18"/>
        </w:rPr>
        <w:t>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 [4.7.11];</w:t>
      </w:r>
      <w:r>
        <w:rPr>
          <w:spacing w:val="-1"/>
          <w:sz w:val="18"/>
        </w:rPr>
        <w:t xml:space="preserve"> </w:t>
      </w:r>
      <w:r>
        <w:rPr>
          <w:sz w:val="18"/>
        </w:rPr>
        <w:t>see</w:t>
      </w:r>
      <w:r>
        <w:rPr>
          <w:spacing w:val="-1"/>
          <w:sz w:val="18"/>
        </w:rPr>
        <w:t xml:space="preserve"> </w:t>
      </w:r>
      <w:r>
        <w:rPr>
          <w:sz w:val="18"/>
        </w:rPr>
        <w:t xml:space="preserve">also </w:t>
      </w:r>
      <w:r>
        <w:rPr>
          <w:spacing w:val="-2"/>
          <w:sz w:val="18"/>
        </w:rPr>
        <w:t>[4.7.10].</w:t>
      </w:r>
    </w:p>
    <w:p w14:paraId="7CB260D1" w14:textId="77777777" w:rsidR="008A4099" w:rsidRDefault="008A4099">
      <w:pPr>
        <w:rPr>
          <w:sz w:val="18"/>
        </w:rPr>
        <w:sectPr w:rsidR="008A4099" w:rsidSect="00D43B2D">
          <w:pgSz w:w="11910" w:h="16840"/>
          <w:pgMar w:top="980" w:right="760" w:bottom="940" w:left="1280" w:header="718" w:footer="753" w:gutter="0"/>
          <w:cols w:space="720"/>
        </w:sectPr>
      </w:pPr>
    </w:p>
    <w:p w14:paraId="7CB260D2" w14:textId="77777777" w:rsidR="008A4099" w:rsidRDefault="008A4099">
      <w:pPr>
        <w:pStyle w:val="BodyText"/>
        <w:spacing w:before="194"/>
      </w:pPr>
    </w:p>
    <w:p w14:paraId="7CB260D3" w14:textId="77777777" w:rsidR="008A4099" w:rsidRDefault="006A6EE2">
      <w:pPr>
        <w:pStyle w:val="BodyText"/>
        <w:spacing w:line="254" w:lineRule="auto"/>
        <w:ind w:left="160" w:right="680"/>
        <w:jc w:val="both"/>
      </w:pPr>
      <w:r>
        <w:t>As it related to statutes, Recommendation 11 was aligned with the position in Victoria, the ACT and Queensland.</w:t>
      </w:r>
      <w:r>
        <w:rPr>
          <w:vertAlign w:val="superscript"/>
        </w:rPr>
        <w:t>367</w:t>
      </w:r>
      <w:r>
        <w:t xml:space="preserve"> Similarly, in its position paper, the AHRC recommended that the formulation that best expresses</w:t>
      </w:r>
      <w:r>
        <w:rPr>
          <w:spacing w:val="-1"/>
        </w:rPr>
        <w:t xml:space="preserve"> </w:t>
      </w:r>
      <w:r>
        <w:t>the</w:t>
      </w:r>
      <w:r>
        <w:rPr>
          <w:spacing w:val="-1"/>
        </w:rPr>
        <w:t xml:space="preserve"> </w:t>
      </w:r>
      <w:r>
        <w:t>approach</w:t>
      </w:r>
      <w:r>
        <w:rPr>
          <w:spacing w:val="-1"/>
        </w:rPr>
        <w:t xml:space="preserve"> </w:t>
      </w:r>
      <w:r>
        <w:t>is</w:t>
      </w:r>
      <w:r>
        <w:rPr>
          <w:spacing w:val="-3"/>
        </w:rPr>
        <w:t xml:space="preserve"> </w:t>
      </w:r>
      <w:r>
        <w:t>that ‘all …</w:t>
      </w:r>
      <w:r>
        <w:rPr>
          <w:spacing w:val="-4"/>
        </w:rPr>
        <w:t xml:space="preserve"> </w:t>
      </w:r>
      <w:r>
        <w:t>legislation</w:t>
      </w:r>
      <w:r>
        <w:rPr>
          <w:spacing w:val="-1"/>
        </w:rPr>
        <w:t xml:space="preserve"> </w:t>
      </w:r>
      <w:r>
        <w:t>is</w:t>
      </w:r>
      <w:r>
        <w:rPr>
          <w:spacing w:val="-1"/>
        </w:rPr>
        <w:t xml:space="preserve"> </w:t>
      </w:r>
      <w:r>
        <w:t>to</w:t>
      </w:r>
      <w:r>
        <w:rPr>
          <w:spacing w:val="-1"/>
        </w:rPr>
        <w:t xml:space="preserve"> </w:t>
      </w:r>
      <w:r>
        <w:t>be</w:t>
      </w:r>
      <w:r>
        <w:rPr>
          <w:spacing w:val="-1"/>
        </w:rPr>
        <w:t xml:space="preserve"> </w:t>
      </w:r>
      <w:r>
        <w:t>interpreted,</w:t>
      </w:r>
      <w:r>
        <w:rPr>
          <w:spacing w:val="-1"/>
        </w:rPr>
        <w:t xml:space="preserve"> </w:t>
      </w:r>
      <w:r>
        <w:t>so</w:t>
      </w:r>
      <w:r>
        <w:rPr>
          <w:spacing w:val="-1"/>
        </w:rPr>
        <w:t xml:space="preserve"> </w:t>
      </w:r>
      <w:r>
        <w:t>far as</w:t>
      </w:r>
      <w:r>
        <w:rPr>
          <w:spacing w:val="-1"/>
        </w:rPr>
        <w:t xml:space="preserve"> </w:t>
      </w:r>
      <w:r>
        <w:t>is</w:t>
      </w:r>
      <w:r>
        <w:rPr>
          <w:spacing w:val="-1"/>
        </w:rPr>
        <w:t xml:space="preserve"> </w:t>
      </w:r>
      <w:r>
        <w:t>reasonable</w:t>
      </w:r>
      <w:r>
        <w:rPr>
          <w:spacing w:val="-1"/>
        </w:rPr>
        <w:t xml:space="preserve"> </w:t>
      </w:r>
      <w:r>
        <w:t>possible,</w:t>
      </w:r>
      <w:r>
        <w:rPr>
          <w:spacing w:val="-1"/>
        </w:rPr>
        <w:t xml:space="preserve"> </w:t>
      </w:r>
      <w:r>
        <w:t>in a manner that is consistent with human rights’.</w:t>
      </w:r>
      <w:r>
        <w:rPr>
          <w:vertAlign w:val="superscript"/>
        </w:rPr>
        <w:t>368</w:t>
      </w:r>
    </w:p>
    <w:p w14:paraId="7CB260D4" w14:textId="77777777" w:rsidR="008A4099" w:rsidRDefault="006A6EE2">
      <w:pPr>
        <w:pStyle w:val="ListParagraph"/>
        <w:numPr>
          <w:ilvl w:val="2"/>
          <w:numId w:val="3"/>
        </w:numPr>
        <w:tabs>
          <w:tab w:val="left" w:pos="879"/>
        </w:tabs>
        <w:spacing w:before="200" w:line="244" w:lineRule="auto"/>
        <w:ind w:right="673" w:firstLine="0"/>
        <w:jc w:val="both"/>
      </w:pPr>
      <w:r>
        <w:t>In</w:t>
      </w:r>
      <w:r>
        <w:rPr>
          <w:spacing w:val="-4"/>
        </w:rPr>
        <w:t xml:space="preserve"> </w:t>
      </w:r>
      <w:r>
        <w:t>relation</w:t>
      </w:r>
      <w:r>
        <w:rPr>
          <w:spacing w:val="-6"/>
        </w:rPr>
        <w:t xml:space="preserve"> </w:t>
      </w:r>
      <w:r>
        <w:t>to</w:t>
      </w:r>
      <w:r>
        <w:rPr>
          <w:spacing w:val="-6"/>
        </w:rPr>
        <w:t xml:space="preserve"> </w:t>
      </w:r>
      <w:r>
        <w:t>the</w:t>
      </w:r>
      <w:r>
        <w:rPr>
          <w:spacing w:val="-6"/>
        </w:rPr>
        <w:t xml:space="preserve"> </w:t>
      </w:r>
      <w:r>
        <w:t>common</w:t>
      </w:r>
      <w:r>
        <w:rPr>
          <w:spacing w:val="-6"/>
        </w:rPr>
        <w:t xml:space="preserve"> </w:t>
      </w:r>
      <w:r>
        <w:t>law,</w:t>
      </w:r>
      <w:r>
        <w:rPr>
          <w:spacing w:val="-4"/>
        </w:rPr>
        <w:t xml:space="preserve"> </w:t>
      </w:r>
      <w:r>
        <w:t>as</w:t>
      </w:r>
      <w:r>
        <w:rPr>
          <w:spacing w:val="-5"/>
        </w:rPr>
        <w:t xml:space="preserve"> </w:t>
      </w:r>
      <w:r>
        <w:t>set</w:t>
      </w:r>
      <w:r>
        <w:rPr>
          <w:spacing w:val="-5"/>
        </w:rPr>
        <w:t xml:space="preserve"> </w:t>
      </w:r>
      <w:r>
        <w:t>out</w:t>
      </w:r>
      <w:r>
        <w:rPr>
          <w:spacing w:val="-5"/>
        </w:rPr>
        <w:t xml:space="preserve"> </w:t>
      </w:r>
      <w:r>
        <w:t>in</w:t>
      </w:r>
      <w:r>
        <w:rPr>
          <w:spacing w:val="-4"/>
        </w:rPr>
        <w:t xml:space="preserve"> </w:t>
      </w:r>
      <w:r>
        <w:t>Recommendation</w:t>
      </w:r>
      <w:r>
        <w:rPr>
          <w:spacing w:val="-6"/>
        </w:rPr>
        <w:t xml:space="preserve"> </w:t>
      </w:r>
      <w:r>
        <w:t>11,</w:t>
      </w:r>
      <w:r>
        <w:rPr>
          <w:spacing w:val="-6"/>
        </w:rPr>
        <w:t xml:space="preserve"> </w:t>
      </w:r>
      <w:r>
        <w:t>the</w:t>
      </w:r>
      <w:r>
        <w:rPr>
          <w:spacing w:val="-6"/>
        </w:rPr>
        <w:t xml:space="preserve"> </w:t>
      </w:r>
      <w:r>
        <w:t>TLRI’s</w:t>
      </w:r>
      <w:r>
        <w:rPr>
          <w:spacing w:val="-6"/>
        </w:rPr>
        <w:t xml:space="preserve"> </w:t>
      </w:r>
      <w:r>
        <w:t>view</w:t>
      </w:r>
      <w:r>
        <w:rPr>
          <w:spacing w:val="-9"/>
        </w:rPr>
        <w:t xml:space="preserve"> </w:t>
      </w:r>
      <w:r>
        <w:t>was</w:t>
      </w:r>
      <w:r>
        <w:rPr>
          <w:spacing w:val="-3"/>
        </w:rPr>
        <w:t xml:space="preserve"> </w:t>
      </w:r>
      <w:r>
        <w:t>that</w:t>
      </w:r>
      <w:r>
        <w:rPr>
          <w:spacing w:val="-7"/>
        </w:rPr>
        <w:t xml:space="preserve"> </w:t>
      </w:r>
      <w:r>
        <w:t>the Charter</w:t>
      </w:r>
      <w:r>
        <w:rPr>
          <w:spacing w:val="-14"/>
        </w:rPr>
        <w:t xml:space="preserve"> </w:t>
      </w:r>
      <w:r>
        <w:t>should</w:t>
      </w:r>
      <w:r>
        <w:rPr>
          <w:spacing w:val="-14"/>
        </w:rPr>
        <w:t xml:space="preserve"> </w:t>
      </w:r>
      <w:r>
        <w:t>also</w:t>
      </w:r>
      <w:r>
        <w:rPr>
          <w:spacing w:val="-14"/>
        </w:rPr>
        <w:t xml:space="preserve"> </w:t>
      </w:r>
      <w:r>
        <w:t>apply</w:t>
      </w:r>
      <w:r>
        <w:rPr>
          <w:spacing w:val="-13"/>
        </w:rPr>
        <w:t xml:space="preserve"> </w:t>
      </w:r>
      <w:r>
        <w:t>to</w:t>
      </w:r>
      <w:r>
        <w:rPr>
          <w:spacing w:val="-14"/>
        </w:rPr>
        <w:t xml:space="preserve"> </w:t>
      </w:r>
      <w:r>
        <w:t>the</w:t>
      </w:r>
      <w:r>
        <w:rPr>
          <w:spacing w:val="-14"/>
        </w:rPr>
        <w:t xml:space="preserve"> </w:t>
      </w:r>
      <w:r>
        <w:t>development</w:t>
      </w:r>
      <w:r>
        <w:rPr>
          <w:spacing w:val="-12"/>
        </w:rPr>
        <w:t xml:space="preserve"> </w:t>
      </w:r>
      <w:r>
        <w:t>of</w:t>
      </w:r>
      <w:r>
        <w:rPr>
          <w:spacing w:val="-13"/>
        </w:rPr>
        <w:t xml:space="preserve"> </w:t>
      </w:r>
      <w:r>
        <w:t>the</w:t>
      </w:r>
      <w:r>
        <w:rPr>
          <w:spacing w:val="-13"/>
        </w:rPr>
        <w:t xml:space="preserve"> </w:t>
      </w:r>
      <w:r>
        <w:t>common</w:t>
      </w:r>
      <w:r>
        <w:rPr>
          <w:spacing w:val="-13"/>
        </w:rPr>
        <w:t xml:space="preserve"> </w:t>
      </w:r>
      <w:r>
        <w:t>law.</w:t>
      </w:r>
      <w:r>
        <w:rPr>
          <w:spacing w:val="-14"/>
        </w:rPr>
        <w:t xml:space="preserve"> </w:t>
      </w:r>
      <w:r>
        <w:t>This</w:t>
      </w:r>
      <w:r>
        <w:rPr>
          <w:spacing w:val="-12"/>
        </w:rPr>
        <w:t xml:space="preserve"> </w:t>
      </w:r>
      <w:r>
        <w:t>differed</w:t>
      </w:r>
      <w:r>
        <w:rPr>
          <w:spacing w:val="-13"/>
        </w:rPr>
        <w:t xml:space="preserve"> </w:t>
      </w:r>
      <w:r>
        <w:t>from</w:t>
      </w:r>
      <w:r>
        <w:rPr>
          <w:spacing w:val="-14"/>
        </w:rPr>
        <w:t xml:space="preserve"> </w:t>
      </w:r>
      <w:r>
        <w:t>the</w:t>
      </w:r>
      <w:r>
        <w:rPr>
          <w:spacing w:val="-13"/>
        </w:rPr>
        <w:t xml:space="preserve"> </w:t>
      </w:r>
      <w:r>
        <w:t>approach</w:t>
      </w:r>
      <w:r>
        <w:rPr>
          <w:spacing w:val="-13"/>
        </w:rPr>
        <w:t xml:space="preserve"> </w:t>
      </w:r>
      <w:r>
        <w:t>taken in</w:t>
      </w:r>
      <w:r>
        <w:rPr>
          <w:spacing w:val="-5"/>
        </w:rPr>
        <w:t xml:space="preserve"> </w:t>
      </w:r>
      <w:r>
        <w:t>Victoria,</w:t>
      </w:r>
      <w:r>
        <w:rPr>
          <w:spacing w:val="-4"/>
        </w:rPr>
        <w:t xml:space="preserve"> </w:t>
      </w:r>
      <w:r>
        <w:t>Queensland,</w:t>
      </w:r>
      <w:r>
        <w:rPr>
          <w:spacing w:val="-7"/>
        </w:rPr>
        <w:t xml:space="preserve"> </w:t>
      </w:r>
      <w:r>
        <w:t>and</w:t>
      </w:r>
      <w:r>
        <w:rPr>
          <w:spacing w:val="-5"/>
        </w:rPr>
        <w:t xml:space="preserve"> </w:t>
      </w:r>
      <w:r>
        <w:t>the</w:t>
      </w:r>
      <w:r>
        <w:rPr>
          <w:spacing w:val="-7"/>
        </w:rPr>
        <w:t xml:space="preserve"> </w:t>
      </w:r>
      <w:r>
        <w:t>ACT,</w:t>
      </w:r>
      <w:r>
        <w:rPr>
          <w:spacing w:val="-5"/>
        </w:rPr>
        <w:t xml:space="preserve"> </w:t>
      </w:r>
      <w:r>
        <w:t>where</w:t>
      </w:r>
      <w:r>
        <w:rPr>
          <w:spacing w:val="-4"/>
        </w:rPr>
        <w:t xml:space="preserve"> </w:t>
      </w:r>
      <w:r>
        <w:t>the</w:t>
      </w:r>
      <w:r>
        <w:rPr>
          <w:spacing w:val="-4"/>
        </w:rPr>
        <w:t xml:space="preserve"> </w:t>
      </w:r>
      <w:r>
        <w:t>human</w:t>
      </w:r>
      <w:r>
        <w:rPr>
          <w:spacing w:val="-5"/>
        </w:rPr>
        <w:t xml:space="preserve"> </w:t>
      </w:r>
      <w:r>
        <w:t>rights</w:t>
      </w:r>
      <w:r>
        <w:rPr>
          <w:spacing w:val="-4"/>
        </w:rPr>
        <w:t xml:space="preserve"> </w:t>
      </w:r>
      <w:r>
        <w:t>enactments</w:t>
      </w:r>
      <w:r>
        <w:rPr>
          <w:spacing w:val="-7"/>
        </w:rPr>
        <w:t xml:space="preserve"> </w:t>
      </w:r>
      <w:r>
        <w:t>specify</w:t>
      </w:r>
      <w:r>
        <w:rPr>
          <w:spacing w:val="-7"/>
        </w:rPr>
        <w:t xml:space="preserve"> </w:t>
      </w:r>
      <w:r>
        <w:t>that</w:t>
      </w:r>
      <w:r>
        <w:rPr>
          <w:spacing w:val="-4"/>
        </w:rPr>
        <w:t xml:space="preserve"> </w:t>
      </w:r>
      <w:r>
        <w:t>they</w:t>
      </w:r>
      <w:r>
        <w:rPr>
          <w:spacing w:val="-4"/>
        </w:rPr>
        <w:t xml:space="preserve"> </w:t>
      </w:r>
      <w:r>
        <w:t>apply</w:t>
      </w:r>
      <w:r>
        <w:rPr>
          <w:spacing w:val="-3"/>
        </w:rPr>
        <w:t xml:space="preserve"> </w:t>
      </w:r>
      <w:r>
        <w:t>only to the interpretation of statute.</w:t>
      </w:r>
      <w:r>
        <w:rPr>
          <w:vertAlign w:val="superscript"/>
        </w:rPr>
        <w:t>369</w:t>
      </w:r>
      <w:r>
        <w:t xml:space="preserve"> The TLRI view instead reflects the position in the United Kingdom and</w:t>
      </w:r>
      <w:r>
        <w:rPr>
          <w:spacing w:val="-16"/>
        </w:rPr>
        <w:t xml:space="preserve"> </w:t>
      </w:r>
      <w:r>
        <w:t>New</w:t>
      </w:r>
      <w:r>
        <w:rPr>
          <w:spacing w:val="-14"/>
        </w:rPr>
        <w:t xml:space="preserve"> </w:t>
      </w:r>
      <w:r>
        <w:t>Zealand.</w:t>
      </w:r>
      <w:r>
        <w:rPr>
          <w:spacing w:val="-14"/>
        </w:rPr>
        <w:t xml:space="preserve"> </w:t>
      </w:r>
      <w:r>
        <w:t>While</w:t>
      </w:r>
      <w:r>
        <w:rPr>
          <w:spacing w:val="-13"/>
        </w:rPr>
        <w:t xml:space="preserve"> </w:t>
      </w:r>
      <w:r>
        <w:t>the</w:t>
      </w:r>
      <w:r>
        <w:rPr>
          <w:spacing w:val="-14"/>
        </w:rPr>
        <w:t xml:space="preserve"> </w:t>
      </w:r>
      <w:r>
        <w:t>human</w:t>
      </w:r>
      <w:r>
        <w:rPr>
          <w:spacing w:val="-14"/>
        </w:rPr>
        <w:t xml:space="preserve"> </w:t>
      </w:r>
      <w:r>
        <w:t>rights</w:t>
      </w:r>
      <w:r>
        <w:rPr>
          <w:spacing w:val="-14"/>
        </w:rPr>
        <w:t xml:space="preserve"> </w:t>
      </w:r>
      <w:r>
        <w:t>enactments</w:t>
      </w:r>
      <w:r>
        <w:rPr>
          <w:spacing w:val="-13"/>
        </w:rPr>
        <w:t xml:space="preserve"> </w:t>
      </w:r>
      <w:r>
        <w:t>in</w:t>
      </w:r>
      <w:r>
        <w:rPr>
          <w:spacing w:val="-14"/>
        </w:rPr>
        <w:t xml:space="preserve"> </w:t>
      </w:r>
      <w:r>
        <w:t>these</w:t>
      </w:r>
      <w:r>
        <w:rPr>
          <w:spacing w:val="-14"/>
        </w:rPr>
        <w:t xml:space="preserve"> </w:t>
      </w:r>
      <w:r>
        <w:t>jurisdictions</w:t>
      </w:r>
      <w:r>
        <w:rPr>
          <w:spacing w:val="-14"/>
        </w:rPr>
        <w:t xml:space="preserve"> </w:t>
      </w:r>
      <w:r>
        <w:t>do</w:t>
      </w:r>
      <w:r>
        <w:rPr>
          <w:spacing w:val="-13"/>
        </w:rPr>
        <w:t xml:space="preserve"> </w:t>
      </w:r>
      <w:r>
        <w:t>not</w:t>
      </w:r>
      <w:r>
        <w:rPr>
          <w:spacing w:val="-14"/>
        </w:rPr>
        <w:t xml:space="preserve"> </w:t>
      </w:r>
      <w:r>
        <w:t>specify</w:t>
      </w:r>
      <w:r>
        <w:rPr>
          <w:spacing w:val="-14"/>
        </w:rPr>
        <w:t xml:space="preserve"> </w:t>
      </w:r>
      <w:r>
        <w:t>that</w:t>
      </w:r>
      <w:r>
        <w:rPr>
          <w:spacing w:val="-14"/>
        </w:rPr>
        <w:t xml:space="preserve"> </w:t>
      </w:r>
      <w:r>
        <w:t>the</w:t>
      </w:r>
      <w:r>
        <w:rPr>
          <w:spacing w:val="-13"/>
        </w:rPr>
        <w:t xml:space="preserve"> </w:t>
      </w:r>
      <w:r>
        <w:t>rights set</w:t>
      </w:r>
      <w:r>
        <w:rPr>
          <w:spacing w:val="-8"/>
        </w:rPr>
        <w:t xml:space="preserve"> </w:t>
      </w:r>
      <w:r>
        <w:t>out</w:t>
      </w:r>
      <w:r>
        <w:rPr>
          <w:spacing w:val="-7"/>
        </w:rPr>
        <w:t xml:space="preserve"> </w:t>
      </w:r>
      <w:r>
        <w:t>apply</w:t>
      </w:r>
      <w:r>
        <w:rPr>
          <w:spacing w:val="-9"/>
        </w:rPr>
        <w:t xml:space="preserve"> </w:t>
      </w:r>
      <w:r>
        <w:t>to</w:t>
      </w:r>
      <w:r>
        <w:rPr>
          <w:spacing w:val="-9"/>
        </w:rPr>
        <w:t xml:space="preserve"> </w:t>
      </w:r>
      <w:r>
        <w:t>the</w:t>
      </w:r>
      <w:r>
        <w:rPr>
          <w:spacing w:val="-8"/>
        </w:rPr>
        <w:t xml:space="preserve"> </w:t>
      </w:r>
      <w:r>
        <w:t>interpretation</w:t>
      </w:r>
      <w:r>
        <w:rPr>
          <w:spacing w:val="-6"/>
        </w:rPr>
        <w:t xml:space="preserve"> </w:t>
      </w:r>
      <w:r>
        <w:t>of</w:t>
      </w:r>
      <w:r>
        <w:rPr>
          <w:spacing w:val="-5"/>
        </w:rPr>
        <w:t xml:space="preserve"> </w:t>
      </w:r>
      <w:r>
        <w:t>both</w:t>
      </w:r>
      <w:r>
        <w:rPr>
          <w:spacing w:val="-9"/>
        </w:rPr>
        <w:t xml:space="preserve"> </w:t>
      </w:r>
      <w:r>
        <w:t>statute</w:t>
      </w:r>
      <w:r>
        <w:rPr>
          <w:spacing w:val="-8"/>
        </w:rPr>
        <w:t xml:space="preserve"> </w:t>
      </w:r>
      <w:r>
        <w:t>law</w:t>
      </w:r>
      <w:r>
        <w:rPr>
          <w:spacing w:val="-7"/>
        </w:rPr>
        <w:t xml:space="preserve"> </w:t>
      </w:r>
      <w:r>
        <w:t>and</w:t>
      </w:r>
      <w:r>
        <w:rPr>
          <w:spacing w:val="-6"/>
        </w:rPr>
        <w:t xml:space="preserve"> </w:t>
      </w:r>
      <w:r>
        <w:t>common</w:t>
      </w:r>
      <w:r>
        <w:rPr>
          <w:spacing w:val="-6"/>
        </w:rPr>
        <w:t xml:space="preserve"> </w:t>
      </w:r>
      <w:r>
        <w:t>law,</w:t>
      </w:r>
      <w:r>
        <w:rPr>
          <w:position w:val="7"/>
          <w:sz w:val="13"/>
        </w:rPr>
        <w:t>370</w:t>
      </w:r>
      <w:r>
        <w:rPr>
          <w:spacing w:val="16"/>
          <w:position w:val="7"/>
          <w:sz w:val="13"/>
        </w:rPr>
        <w:t xml:space="preserve"> </w:t>
      </w:r>
      <w:r>
        <w:t>this</w:t>
      </w:r>
      <w:r>
        <w:rPr>
          <w:spacing w:val="-8"/>
        </w:rPr>
        <w:t xml:space="preserve"> </w:t>
      </w:r>
      <w:r>
        <w:t>is</w:t>
      </w:r>
      <w:r>
        <w:rPr>
          <w:spacing w:val="-5"/>
        </w:rPr>
        <w:t xml:space="preserve"> </w:t>
      </w:r>
      <w:r>
        <w:t>the</w:t>
      </w:r>
      <w:r>
        <w:rPr>
          <w:spacing w:val="-8"/>
        </w:rPr>
        <w:t xml:space="preserve"> </w:t>
      </w:r>
      <w:r>
        <w:t>interpretation</w:t>
      </w:r>
      <w:r>
        <w:rPr>
          <w:spacing w:val="-9"/>
        </w:rPr>
        <w:t xml:space="preserve"> </w:t>
      </w:r>
      <w:r>
        <w:t>of</w:t>
      </w:r>
      <w:r>
        <w:rPr>
          <w:spacing w:val="-8"/>
        </w:rPr>
        <w:t xml:space="preserve"> </w:t>
      </w:r>
      <w:r>
        <w:t>the application of Charter set out in case law, following from the inclusion of courts within the definition of government agencies to be bound by the human rights enactment.</w:t>
      </w:r>
      <w:r>
        <w:rPr>
          <w:vertAlign w:val="superscript"/>
        </w:rPr>
        <w:t>371</w:t>
      </w:r>
    </w:p>
    <w:p w14:paraId="7CB260D5" w14:textId="77777777" w:rsidR="008A4099" w:rsidRDefault="006A6EE2">
      <w:pPr>
        <w:pStyle w:val="ListParagraph"/>
        <w:numPr>
          <w:ilvl w:val="2"/>
          <w:numId w:val="3"/>
        </w:numPr>
        <w:tabs>
          <w:tab w:val="left" w:pos="879"/>
        </w:tabs>
        <w:spacing w:before="215" w:line="242" w:lineRule="auto"/>
        <w:ind w:right="675" w:firstLine="0"/>
        <w:jc w:val="both"/>
      </w:pPr>
      <w:r>
        <w:t>In other Australian jurisdictions, a reason advanced for not applying human rights enactments to</w:t>
      </w:r>
      <w:r>
        <w:rPr>
          <w:spacing w:val="-4"/>
        </w:rPr>
        <w:t xml:space="preserve"> </w:t>
      </w:r>
      <w:r>
        <w:t>the</w:t>
      </w:r>
      <w:r>
        <w:rPr>
          <w:spacing w:val="-3"/>
        </w:rPr>
        <w:t xml:space="preserve"> </w:t>
      </w:r>
      <w:r>
        <w:t>common</w:t>
      </w:r>
      <w:r>
        <w:rPr>
          <w:spacing w:val="-4"/>
        </w:rPr>
        <w:t xml:space="preserve"> </w:t>
      </w:r>
      <w:r>
        <w:t>law</w:t>
      </w:r>
      <w:r>
        <w:rPr>
          <w:spacing w:val="-1"/>
        </w:rPr>
        <w:t xml:space="preserve"> </w:t>
      </w:r>
      <w:r>
        <w:t>rests</w:t>
      </w:r>
      <w:r>
        <w:rPr>
          <w:spacing w:val="-3"/>
        </w:rPr>
        <w:t xml:space="preserve"> </w:t>
      </w:r>
      <w:r>
        <w:t>on</w:t>
      </w:r>
      <w:r>
        <w:rPr>
          <w:spacing w:val="-4"/>
        </w:rPr>
        <w:t xml:space="preserve"> </w:t>
      </w:r>
      <w:r>
        <w:t>the</w:t>
      </w:r>
      <w:r>
        <w:rPr>
          <w:spacing w:val="-3"/>
        </w:rPr>
        <w:t xml:space="preserve"> </w:t>
      </w:r>
      <w:r>
        <w:t>doctrine</w:t>
      </w:r>
      <w:r>
        <w:rPr>
          <w:spacing w:val="-3"/>
        </w:rPr>
        <w:t xml:space="preserve"> </w:t>
      </w:r>
      <w:r>
        <w:t>of</w:t>
      </w:r>
      <w:r>
        <w:rPr>
          <w:spacing w:val="-3"/>
        </w:rPr>
        <w:t xml:space="preserve"> </w:t>
      </w:r>
      <w:r>
        <w:t>the</w:t>
      </w:r>
      <w:r>
        <w:rPr>
          <w:spacing w:val="-1"/>
        </w:rPr>
        <w:t xml:space="preserve"> </w:t>
      </w:r>
      <w:r>
        <w:t>unity</w:t>
      </w:r>
      <w:r>
        <w:rPr>
          <w:spacing w:val="-1"/>
        </w:rPr>
        <w:t xml:space="preserve"> </w:t>
      </w:r>
      <w:r>
        <w:t>of</w:t>
      </w:r>
      <w:r>
        <w:rPr>
          <w:spacing w:val="-3"/>
        </w:rPr>
        <w:t xml:space="preserve"> </w:t>
      </w:r>
      <w:r>
        <w:t>the</w:t>
      </w:r>
      <w:r>
        <w:rPr>
          <w:spacing w:val="-3"/>
        </w:rPr>
        <w:t xml:space="preserve"> </w:t>
      </w:r>
      <w:r>
        <w:t>common</w:t>
      </w:r>
      <w:r>
        <w:rPr>
          <w:spacing w:val="-4"/>
        </w:rPr>
        <w:t xml:space="preserve"> </w:t>
      </w:r>
      <w:r>
        <w:t>law.</w:t>
      </w:r>
      <w:r>
        <w:rPr>
          <w:vertAlign w:val="superscript"/>
        </w:rPr>
        <w:t>372</w:t>
      </w:r>
      <w:r>
        <w:rPr>
          <w:spacing w:val="-1"/>
        </w:rPr>
        <w:t xml:space="preserve"> </w:t>
      </w:r>
      <w:r>
        <w:t>This</w:t>
      </w:r>
      <w:r>
        <w:rPr>
          <w:spacing w:val="-3"/>
        </w:rPr>
        <w:t xml:space="preserve"> </w:t>
      </w:r>
      <w:r>
        <w:t>doctrine</w:t>
      </w:r>
      <w:r>
        <w:rPr>
          <w:spacing w:val="-3"/>
        </w:rPr>
        <w:t xml:space="preserve"> </w:t>
      </w:r>
      <w:r>
        <w:t>provides</w:t>
      </w:r>
      <w:r>
        <w:rPr>
          <w:spacing w:val="-3"/>
        </w:rPr>
        <w:t xml:space="preserve"> </w:t>
      </w:r>
      <w:r>
        <w:t>that under Australia’s</w:t>
      </w:r>
      <w:r>
        <w:rPr>
          <w:spacing w:val="-2"/>
        </w:rPr>
        <w:t xml:space="preserve"> </w:t>
      </w:r>
      <w:r>
        <w:t>federal system there is one ‘unified</w:t>
      </w:r>
      <w:r>
        <w:rPr>
          <w:spacing w:val="-2"/>
        </w:rPr>
        <w:t xml:space="preserve"> </w:t>
      </w:r>
      <w:r>
        <w:t>common law’, which</w:t>
      </w:r>
      <w:r>
        <w:rPr>
          <w:spacing w:val="-2"/>
        </w:rPr>
        <w:t xml:space="preserve"> </w:t>
      </w:r>
      <w:r>
        <w:t>applies</w:t>
      </w:r>
      <w:r>
        <w:rPr>
          <w:spacing w:val="-2"/>
        </w:rPr>
        <w:t xml:space="preserve"> </w:t>
      </w:r>
      <w:r>
        <w:t>in each State but is not</w:t>
      </w:r>
      <w:r>
        <w:rPr>
          <w:spacing w:val="-14"/>
        </w:rPr>
        <w:t xml:space="preserve"> </w:t>
      </w:r>
      <w:r>
        <w:t>itself</w:t>
      </w:r>
      <w:r>
        <w:rPr>
          <w:spacing w:val="-14"/>
        </w:rPr>
        <w:t xml:space="preserve"> </w:t>
      </w:r>
      <w:r>
        <w:t>the</w:t>
      </w:r>
      <w:r>
        <w:rPr>
          <w:spacing w:val="-14"/>
        </w:rPr>
        <w:t xml:space="preserve"> </w:t>
      </w:r>
      <w:r>
        <w:t>product</w:t>
      </w:r>
      <w:r>
        <w:rPr>
          <w:spacing w:val="-13"/>
        </w:rPr>
        <w:t xml:space="preserve"> </w:t>
      </w:r>
      <w:r>
        <w:t>of</w:t>
      </w:r>
      <w:r>
        <w:rPr>
          <w:spacing w:val="-14"/>
        </w:rPr>
        <w:t xml:space="preserve"> </w:t>
      </w:r>
      <w:r>
        <w:t>any</w:t>
      </w:r>
      <w:r>
        <w:rPr>
          <w:spacing w:val="-14"/>
        </w:rPr>
        <w:t xml:space="preserve"> </w:t>
      </w:r>
      <w:r>
        <w:t>State.</w:t>
      </w:r>
      <w:r>
        <w:rPr>
          <w:spacing w:val="-14"/>
        </w:rPr>
        <w:t xml:space="preserve"> </w:t>
      </w:r>
      <w:r>
        <w:t>In</w:t>
      </w:r>
      <w:r>
        <w:rPr>
          <w:spacing w:val="-13"/>
        </w:rPr>
        <w:t xml:space="preserve"> </w:t>
      </w:r>
      <w:r>
        <w:t>this</w:t>
      </w:r>
      <w:r>
        <w:rPr>
          <w:spacing w:val="-14"/>
        </w:rPr>
        <w:t xml:space="preserve"> </w:t>
      </w:r>
      <w:r>
        <w:t>view,</w:t>
      </w:r>
      <w:r>
        <w:rPr>
          <w:spacing w:val="-14"/>
        </w:rPr>
        <w:t xml:space="preserve"> </w:t>
      </w:r>
      <w:r>
        <w:t>because</w:t>
      </w:r>
      <w:r>
        <w:rPr>
          <w:spacing w:val="-14"/>
        </w:rPr>
        <w:t xml:space="preserve"> </w:t>
      </w:r>
      <w:r>
        <w:t>no</w:t>
      </w:r>
      <w:r>
        <w:rPr>
          <w:spacing w:val="-13"/>
        </w:rPr>
        <w:t xml:space="preserve"> </w:t>
      </w:r>
      <w:r>
        <w:t>State</w:t>
      </w:r>
      <w:r>
        <w:rPr>
          <w:spacing w:val="-14"/>
        </w:rPr>
        <w:t xml:space="preserve"> </w:t>
      </w:r>
      <w:r>
        <w:t>can</w:t>
      </w:r>
      <w:r>
        <w:rPr>
          <w:spacing w:val="-14"/>
        </w:rPr>
        <w:t xml:space="preserve"> </w:t>
      </w:r>
      <w:r>
        <w:t>have</w:t>
      </w:r>
      <w:r>
        <w:rPr>
          <w:spacing w:val="-14"/>
        </w:rPr>
        <w:t xml:space="preserve"> </w:t>
      </w:r>
      <w:r>
        <w:t>a</w:t>
      </w:r>
      <w:r>
        <w:rPr>
          <w:spacing w:val="-13"/>
        </w:rPr>
        <w:t xml:space="preserve"> </w:t>
      </w:r>
      <w:r>
        <w:t>separate</w:t>
      </w:r>
      <w:r>
        <w:rPr>
          <w:spacing w:val="-14"/>
        </w:rPr>
        <w:t xml:space="preserve"> </w:t>
      </w:r>
      <w:r>
        <w:t>and</w:t>
      </w:r>
      <w:r>
        <w:rPr>
          <w:spacing w:val="-14"/>
        </w:rPr>
        <w:t xml:space="preserve"> </w:t>
      </w:r>
      <w:r>
        <w:t>unique</w:t>
      </w:r>
      <w:r>
        <w:rPr>
          <w:spacing w:val="-14"/>
        </w:rPr>
        <w:t xml:space="preserve"> </w:t>
      </w:r>
      <w:r>
        <w:t>common law,</w:t>
      </w:r>
      <w:r>
        <w:rPr>
          <w:spacing w:val="-1"/>
        </w:rPr>
        <w:t xml:space="preserve"> </w:t>
      </w:r>
      <w:r>
        <w:t>it may</w:t>
      </w:r>
      <w:r>
        <w:rPr>
          <w:spacing w:val="-1"/>
        </w:rPr>
        <w:t xml:space="preserve"> </w:t>
      </w:r>
      <w:r>
        <w:t>not be</w:t>
      </w:r>
      <w:r>
        <w:rPr>
          <w:spacing w:val="-1"/>
        </w:rPr>
        <w:t xml:space="preserve"> </w:t>
      </w:r>
      <w:r>
        <w:t>possible</w:t>
      </w:r>
      <w:r>
        <w:rPr>
          <w:spacing w:val="-3"/>
        </w:rPr>
        <w:t xml:space="preserve"> </w:t>
      </w:r>
      <w:r>
        <w:t>for</w:t>
      </w:r>
      <w:r>
        <w:rPr>
          <w:spacing w:val="-1"/>
        </w:rPr>
        <w:t xml:space="preserve"> </w:t>
      </w:r>
      <w:r>
        <w:t>State</w:t>
      </w:r>
      <w:r>
        <w:rPr>
          <w:spacing w:val="-1"/>
        </w:rPr>
        <w:t xml:space="preserve"> </w:t>
      </w:r>
      <w:r>
        <w:t>legislatures</w:t>
      </w:r>
      <w:r>
        <w:rPr>
          <w:spacing w:val="-3"/>
        </w:rPr>
        <w:t xml:space="preserve"> </w:t>
      </w:r>
      <w:r>
        <w:t>to</w:t>
      </w:r>
      <w:r>
        <w:rPr>
          <w:spacing w:val="-1"/>
        </w:rPr>
        <w:t xml:space="preserve"> </w:t>
      </w:r>
      <w:r>
        <w:t>direct the</w:t>
      </w:r>
      <w:r>
        <w:rPr>
          <w:spacing w:val="-1"/>
        </w:rPr>
        <w:t xml:space="preserve"> </w:t>
      </w:r>
      <w:r>
        <w:t>courts</w:t>
      </w:r>
      <w:r>
        <w:rPr>
          <w:spacing w:val="-1"/>
        </w:rPr>
        <w:t xml:space="preserve"> </w:t>
      </w:r>
      <w:r>
        <w:t>to</w:t>
      </w:r>
      <w:r>
        <w:rPr>
          <w:spacing w:val="-1"/>
        </w:rPr>
        <w:t xml:space="preserve"> </w:t>
      </w:r>
      <w:r>
        <w:t>develop</w:t>
      </w:r>
      <w:r>
        <w:rPr>
          <w:spacing w:val="-1"/>
        </w:rPr>
        <w:t xml:space="preserve"> </w:t>
      </w:r>
      <w:r>
        <w:t>the</w:t>
      </w:r>
      <w:r>
        <w:rPr>
          <w:spacing w:val="-3"/>
        </w:rPr>
        <w:t xml:space="preserve"> </w:t>
      </w:r>
      <w:r>
        <w:t>common</w:t>
      </w:r>
      <w:r>
        <w:rPr>
          <w:spacing w:val="-4"/>
        </w:rPr>
        <w:t xml:space="preserve"> </w:t>
      </w:r>
      <w:r>
        <w:t>law</w:t>
      </w:r>
      <w:r>
        <w:rPr>
          <w:spacing w:val="-1"/>
        </w:rPr>
        <w:t xml:space="preserve"> </w:t>
      </w:r>
      <w:r>
        <w:t>in</w:t>
      </w:r>
      <w:r>
        <w:rPr>
          <w:spacing w:val="-3"/>
        </w:rPr>
        <w:t xml:space="preserve"> </w:t>
      </w:r>
      <w:r>
        <w:t>any one State according to principles that differ from those that apply elsewhere in Australia. While State Parliaments may directly modify or abrogate the common law, they cannot indirectly influence its development in the courts. Accordingly, it has been thought that it might be unconstitutional for State Parliaments to direct State courts to develop the common law in accordance with a State Charter of Human Rights, as to do so would be to require the court to develop a separate common law for a particular State, distinct from that applying elsewhere.</w:t>
      </w:r>
    </w:p>
    <w:p w14:paraId="7CB260D6" w14:textId="77777777" w:rsidR="008A4099" w:rsidRDefault="006A6EE2">
      <w:pPr>
        <w:pStyle w:val="ListParagraph"/>
        <w:numPr>
          <w:ilvl w:val="2"/>
          <w:numId w:val="3"/>
        </w:numPr>
        <w:tabs>
          <w:tab w:val="left" w:pos="879"/>
        </w:tabs>
        <w:spacing w:before="209" w:line="244" w:lineRule="auto"/>
        <w:ind w:right="673" w:firstLine="0"/>
        <w:jc w:val="both"/>
      </w:pPr>
      <w:r>
        <w:t>The unity of the common law doctrine was considered in detail in</w:t>
      </w:r>
      <w:r>
        <w:rPr>
          <w:spacing w:val="-2"/>
        </w:rPr>
        <w:t xml:space="preserve"> </w:t>
      </w:r>
      <w:r>
        <w:t>the 2007 Final Report, and, while</w:t>
      </w:r>
      <w:r>
        <w:rPr>
          <w:spacing w:val="-11"/>
        </w:rPr>
        <w:t xml:space="preserve"> </w:t>
      </w:r>
      <w:r>
        <w:t>acknowledging</w:t>
      </w:r>
      <w:r>
        <w:rPr>
          <w:spacing w:val="-11"/>
        </w:rPr>
        <w:t xml:space="preserve"> </w:t>
      </w:r>
      <w:r>
        <w:t>the</w:t>
      </w:r>
      <w:r>
        <w:rPr>
          <w:spacing w:val="-8"/>
        </w:rPr>
        <w:t xml:space="preserve"> </w:t>
      </w:r>
      <w:r>
        <w:t>arguments</w:t>
      </w:r>
      <w:r>
        <w:rPr>
          <w:spacing w:val="-10"/>
        </w:rPr>
        <w:t xml:space="preserve"> </w:t>
      </w:r>
      <w:r>
        <w:t>that</w:t>
      </w:r>
      <w:r>
        <w:rPr>
          <w:spacing w:val="-8"/>
        </w:rPr>
        <w:t xml:space="preserve"> </w:t>
      </w:r>
      <w:r>
        <w:t>may</w:t>
      </w:r>
      <w:r>
        <w:rPr>
          <w:spacing w:val="-8"/>
        </w:rPr>
        <w:t xml:space="preserve"> </w:t>
      </w:r>
      <w:r>
        <w:t>arise,</w:t>
      </w:r>
      <w:r>
        <w:rPr>
          <w:spacing w:val="-8"/>
        </w:rPr>
        <w:t xml:space="preserve"> </w:t>
      </w:r>
      <w:r>
        <w:t>the</w:t>
      </w:r>
      <w:r>
        <w:rPr>
          <w:spacing w:val="-11"/>
        </w:rPr>
        <w:t xml:space="preserve"> </w:t>
      </w:r>
      <w:r>
        <w:t>TLRI’s</w:t>
      </w:r>
      <w:r>
        <w:rPr>
          <w:spacing w:val="-8"/>
        </w:rPr>
        <w:t xml:space="preserve"> </w:t>
      </w:r>
      <w:r>
        <w:t>view</w:t>
      </w:r>
      <w:r>
        <w:rPr>
          <w:spacing w:val="-9"/>
        </w:rPr>
        <w:t xml:space="preserve"> </w:t>
      </w:r>
      <w:r>
        <w:t>was</w:t>
      </w:r>
      <w:r>
        <w:rPr>
          <w:spacing w:val="-10"/>
        </w:rPr>
        <w:t xml:space="preserve"> </w:t>
      </w:r>
      <w:r>
        <w:t>that</w:t>
      </w:r>
      <w:r>
        <w:rPr>
          <w:spacing w:val="-8"/>
        </w:rPr>
        <w:t xml:space="preserve"> </w:t>
      </w:r>
      <w:r>
        <w:t>issues</w:t>
      </w:r>
      <w:r>
        <w:rPr>
          <w:spacing w:val="-8"/>
        </w:rPr>
        <w:t xml:space="preserve"> </w:t>
      </w:r>
      <w:r>
        <w:t>of</w:t>
      </w:r>
      <w:r>
        <w:rPr>
          <w:spacing w:val="-8"/>
        </w:rPr>
        <w:t xml:space="preserve"> </w:t>
      </w:r>
      <w:r>
        <w:t>constitutionality may be avoided by addressing the law rather than focusing on the courts.</w:t>
      </w:r>
      <w:r>
        <w:rPr>
          <w:vertAlign w:val="superscript"/>
        </w:rPr>
        <w:t>373</w:t>
      </w:r>
      <w:r>
        <w:t xml:space="preserve"> This was the approach set out by Perry J, who suggested that a human rights enactment applying to the interpretation of the common</w:t>
      </w:r>
      <w:r>
        <w:rPr>
          <w:spacing w:val="-4"/>
        </w:rPr>
        <w:t xml:space="preserve"> </w:t>
      </w:r>
      <w:r>
        <w:t>law</w:t>
      </w:r>
      <w:r>
        <w:rPr>
          <w:spacing w:val="-1"/>
        </w:rPr>
        <w:t xml:space="preserve"> </w:t>
      </w:r>
      <w:r>
        <w:t>was</w:t>
      </w:r>
      <w:r>
        <w:rPr>
          <w:spacing w:val="-1"/>
        </w:rPr>
        <w:t xml:space="preserve"> </w:t>
      </w:r>
      <w:r>
        <w:t>an</w:t>
      </w:r>
      <w:r>
        <w:rPr>
          <w:spacing w:val="-4"/>
        </w:rPr>
        <w:t xml:space="preserve"> </w:t>
      </w:r>
      <w:r>
        <w:t>example</w:t>
      </w:r>
      <w:r>
        <w:rPr>
          <w:spacing w:val="-1"/>
        </w:rPr>
        <w:t xml:space="preserve"> </w:t>
      </w:r>
      <w:r>
        <w:t>of</w:t>
      </w:r>
      <w:r>
        <w:rPr>
          <w:spacing w:val="-3"/>
        </w:rPr>
        <w:t xml:space="preserve"> </w:t>
      </w:r>
      <w:r>
        <w:t>modification</w:t>
      </w:r>
      <w:r>
        <w:rPr>
          <w:spacing w:val="-4"/>
        </w:rPr>
        <w:t xml:space="preserve"> </w:t>
      </w:r>
      <w:r>
        <w:t>of</w:t>
      </w:r>
      <w:r>
        <w:rPr>
          <w:spacing w:val="-3"/>
        </w:rPr>
        <w:t xml:space="preserve"> </w:t>
      </w:r>
      <w:r>
        <w:t>the</w:t>
      </w:r>
      <w:r>
        <w:rPr>
          <w:spacing w:val="-3"/>
        </w:rPr>
        <w:t xml:space="preserve"> </w:t>
      </w:r>
      <w:r>
        <w:t>common</w:t>
      </w:r>
      <w:r>
        <w:rPr>
          <w:spacing w:val="-1"/>
        </w:rPr>
        <w:t xml:space="preserve"> </w:t>
      </w:r>
      <w:r>
        <w:t>law</w:t>
      </w:r>
      <w:r>
        <w:rPr>
          <w:spacing w:val="-1"/>
        </w:rPr>
        <w:t xml:space="preserve"> </w:t>
      </w:r>
      <w:r>
        <w:t>by</w:t>
      </w:r>
      <w:r>
        <w:rPr>
          <w:spacing w:val="-4"/>
        </w:rPr>
        <w:t xml:space="preserve"> </w:t>
      </w:r>
      <w:r>
        <w:t>statute</w:t>
      </w:r>
      <w:r>
        <w:rPr>
          <w:spacing w:val="-3"/>
        </w:rPr>
        <w:t xml:space="preserve"> </w:t>
      </w:r>
      <w:r>
        <w:t>(which</w:t>
      </w:r>
      <w:r>
        <w:rPr>
          <w:spacing w:val="-1"/>
        </w:rPr>
        <w:t xml:space="preserve"> </w:t>
      </w:r>
      <w:r>
        <w:t>is</w:t>
      </w:r>
      <w:r>
        <w:rPr>
          <w:spacing w:val="-3"/>
        </w:rPr>
        <w:t xml:space="preserve"> </w:t>
      </w:r>
      <w:r>
        <w:t>not</w:t>
      </w:r>
      <w:r>
        <w:rPr>
          <w:spacing w:val="-3"/>
        </w:rPr>
        <w:t xml:space="preserve"> </w:t>
      </w:r>
      <w:r>
        <w:t>exceptional) and</w:t>
      </w:r>
      <w:r>
        <w:rPr>
          <w:spacing w:val="-9"/>
        </w:rPr>
        <w:t xml:space="preserve"> </w:t>
      </w:r>
      <w:r>
        <w:t>as</w:t>
      </w:r>
      <w:r>
        <w:rPr>
          <w:spacing w:val="-9"/>
        </w:rPr>
        <w:t xml:space="preserve"> </w:t>
      </w:r>
      <w:r>
        <w:t>such</w:t>
      </w:r>
      <w:r>
        <w:rPr>
          <w:spacing w:val="-11"/>
        </w:rPr>
        <w:t xml:space="preserve"> </w:t>
      </w:r>
      <w:r>
        <w:t>is</w:t>
      </w:r>
      <w:r>
        <w:rPr>
          <w:spacing w:val="-12"/>
        </w:rPr>
        <w:t xml:space="preserve"> </w:t>
      </w:r>
      <w:r>
        <w:t>not</w:t>
      </w:r>
      <w:r>
        <w:rPr>
          <w:spacing w:val="-11"/>
        </w:rPr>
        <w:t xml:space="preserve"> </w:t>
      </w:r>
      <w:r>
        <w:t>unconstitutional.</w:t>
      </w:r>
      <w:r>
        <w:rPr>
          <w:vertAlign w:val="superscript"/>
        </w:rPr>
        <w:t>374</w:t>
      </w:r>
      <w:r>
        <w:rPr>
          <w:spacing w:val="-9"/>
        </w:rPr>
        <w:t xml:space="preserve"> </w:t>
      </w:r>
      <w:r>
        <w:t>This</w:t>
      </w:r>
      <w:r>
        <w:rPr>
          <w:spacing w:val="-11"/>
        </w:rPr>
        <w:t xml:space="preserve"> </w:t>
      </w:r>
      <w:r>
        <w:t>reasoning</w:t>
      </w:r>
      <w:r>
        <w:rPr>
          <w:spacing w:val="-10"/>
        </w:rPr>
        <w:t xml:space="preserve"> </w:t>
      </w:r>
      <w:r>
        <w:t>was</w:t>
      </w:r>
      <w:r>
        <w:rPr>
          <w:spacing w:val="-11"/>
        </w:rPr>
        <w:t xml:space="preserve"> </w:t>
      </w:r>
      <w:r>
        <w:t>adopted</w:t>
      </w:r>
      <w:r>
        <w:rPr>
          <w:spacing w:val="-9"/>
        </w:rPr>
        <w:t xml:space="preserve"> </w:t>
      </w:r>
      <w:r>
        <w:t>by</w:t>
      </w:r>
      <w:r>
        <w:rPr>
          <w:spacing w:val="-11"/>
        </w:rPr>
        <w:t xml:space="preserve"> </w:t>
      </w:r>
      <w:r>
        <w:t>the</w:t>
      </w:r>
      <w:r>
        <w:rPr>
          <w:spacing w:val="-9"/>
        </w:rPr>
        <w:t xml:space="preserve"> </w:t>
      </w:r>
      <w:r>
        <w:t>TLRI</w:t>
      </w:r>
      <w:r>
        <w:rPr>
          <w:spacing w:val="-11"/>
        </w:rPr>
        <w:t xml:space="preserve"> </w:t>
      </w:r>
      <w:r>
        <w:t>and</w:t>
      </w:r>
      <w:r>
        <w:rPr>
          <w:spacing w:val="-10"/>
        </w:rPr>
        <w:t xml:space="preserve"> </w:t>
      </w:r>
      <w:r>
        <w:t>so,</w:t>
      </w:r>
      <w:r>
        <w:rPr>
          <w:spacing w:val="-9"/>
        </w:rPr>
        <w:t xml:space="preserve"> </w:t>
      </w:r>
      <w:r>
        <w:t>in</w:t>
      </w:r>
      <w:r>
        <w:rPr>
          <w:spacing w:val="-11"/>
        </w:rPr>
        <w:t xml:space="preserve"> </w:t>
      </w:r>
      <w:r>
        <w:t>the</w:t>
      </w:r>
      <w:r>
        <w:rPr>
          <w:spacing w:val="-12"/>
        </w:rPr>
        <w:t xml:space="preserve"> </w:t>
      </w:r>
      <w:r>
        <w:t>2007</w:t>
      </w:r>
      <w:r>
        <w:rPr>
          <w:spacing w:val="-10"/>
        </w:rPr>
        <w:t xml:space="preserve"> </w:t>
      </w:r>
      <w:r>
        <w:t>Final Report, it recommended that all laws be interpreted as far as it is possible to do so in a way that is compatible with human rights (Recommendation 11) and that the Tasmanian Charter ‘should contain explicit</w:t>
      </w:r>
      <w:r>
        <w:rPr>
          <w:spacing w:val="34"/>
        </w:rPr>
        <w:t xml:space="preserve"> </w:t>
      </w:r>
      <w:r>
        <w:t>provision</w:t>
      </w:r>
      <w:r>
        <w:rPr>
          <w:spacing w:val="35"/>
        </w:rPr>
        <w:t xml:space="preserve"> </w:t>
      </w:r>
      <w:r>
        <w:t>to</w:t>
      </w:r>
      <w:r>
        <w:rPr>
          <w:spacing w:val="35"/>
        </w:rPr>
        <w:t xml:space="preserve"> </w:t>
      </w:r>
      <w:r>
        <w:t>the</w:t>
      </w:r>
      <w:r>
        <w:rPr>
          <w:spacing w:val="38"/>
        </w:rPr>
        <w:t xml:space="preserve"> </w:t>
      </w:r>
      <w:r>
        <w:t>effect</w:t>
      </w:r>
      <w:r>
        <w:rPr>
          <w:spacing w:val="36"/>
        </w:rPr>
        <w:t xml:space="preserve"> </w:t>
      </w:r>
      <w:r>
        <w:t>that</w:t>
      </w:r>
      <w:r>
        <w:rPr>
          <w:spacing w:val="36"/>
        </w:rPr>
        <w:t xml:space="preserve"> </w:t>
      </w:r>
      <w:r>
        <w:t>all</w:t>
      </w:r>
      <w:r>
        <w:rPr>
          <w:spacing w:val="39"/>
        </w:rPr>
        <w:t xml:space="preserve"> </w:t>
      </w:r>
      <w:r>
        <w:t>non-statutory</w:t>
      </w:r>
      <w:r>
        <w:rPr>
          <w:spacing w:val="35"/>
        </w:rPr>
        <w:t xml:space="preserve"> </w:t>
      </w:r>
      <w:r>
        <w:t>law,</w:t>
      </w:r>
      <w:r>
        <w:rPr>
          <w:spacing w:val="34"/>
        </w:rPr>
        <w:t xml:space="preserve"> </w:t>
      </w:r>
      <w:r>
        <w:t>including</w:t>
      </w:r>
      <w:r>
        <w:rPr>
          <w:spacing w:val="35"/>
        </w:rPr>
        <w:t xml:space="preserve"> </w:t>
      </w:r>
      <w:r>
        <w:t>the</w:t>
      </w:r>
      <w:r>
        <w:rPr>
          <w:spacing w:val="38"/>
        </w:rPr>
        <w:t xml:space="preserve"> </w:t>
      </w:r>
      <w:r>
        <w:t>substantive</w:t>
      </w:r>
      <w:r>
        <w:rPr>
          <w:spacing w:val="38"/>
        </w:rPr>
        <w:t xml:space="preserve"> </w:t>
      </w:r>
      <w:r>
        <w:t>and</w:t>
      </w:r>
      <w:r>
        <w:rPr>
          <w:spacing w:val="38"/>
        </w:rPr>
        <w:t xml:space="preserve"> </w:t>
      </w:r>
      <w:r>
        <w:rPr>
          <w:spacing w:val="-2"/>
        </w:rPr>
        <w:t>adjectival</w:t>
      </w:r>
    </w:p>
    <w:p w14:paraId="7CB260D7" w14:textId="77777777" w:rsidR="008A4099" w:rsidRDefault="006A6EE2">
      <w:pPr>
        <w:pStyle w:val="BodyText"/>
        <w:spacing w:before="106"/>
        <w:rPr>
          <w:sz w:val="20"/>
        </w:rPr>
      </w:pPr>
      <w:r>
        <w:rPr>
          <w:noProof/>
        </w:rPr>
        <mc:AlternateContent>
          <mc:Choice Requires="wps">
            <w:drawing>
              <wp:anchor distT="0" distB="0" distL="0" distR="0" simplePos="0" relativeHeight="487619584" behindDoc="1" locked="0" layoutInCell="1" allowOverlap="1" wp14:anchorId="7CB26655" wp14:editId="7CB26656">
                <wp:simplePos x="0" y="0"/>
                <wp:positionH relativeFrom="page">
                  <wp:posOffset>914704</wp:posOffset>
                </wp:positionH>
                <wp:positionV relativeFrom="paragraph">
                  <wp:posOffset>229113</wp:posOffset>
                </wp:positionV>
                <wp:extent cx="1829435" cy="762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BE1821" id="Graphic 110" o:spid="_x0000_s1026" style="position:absolute;margin-left:1in;margin-top:18.05pt;width:144.05pt;height:.6pt;z-index:-156968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" path="m1829054,l,,,7620r1829054,l1829054,xe" fillcolor="black" stroked="f">
                <v:path arrowok="t"/>
                <w10:wrap type="topAndBottom" anchorx="page"/>
              </v:shape>
            </w:pict>
          </mc:Fallback>
        </mc:AlternateContent>
      </w:r>
    </w:p>
    <w:p w14:paraId="7CB260D8" w14:textId="77777777" w:rsidR="008A4099" w:rsidRDefault="006A6EE2">
      <w:pPr>
        <w:spacing w:before="112"/>
        <w:ind w:left="160"/>
        <w:jc w:val="both"/>
        <w:rPr>
          <w:sz w:val="18"/>
        </w:rPr>
      </w:pPr>
      <w:r>
        <w:rPr>
          <w:sz w:val="18"/>
          <w:vertAlign w:val="superscript"/>
        </w:rPr>
        <w:t>367</w:t>
      </w:r>
      <w:r>
        <w:rPr>
          <w:spacing w:val="-1"/>
          <w:sz w:val="18"/>
        </w:rPr>
        <w:t xml:space="preserve"> </w:t>
      </w:r>
      <w:r>
        <w:rPr>
          <w:sz w:val="18"/>
        </w:rPr>
        <w:t>Vic</w:t>
      </w:r>
      <w:r>
        <w:rPr>
          <w:spacing w:val="-1"/>
          <w:sz w:val="18"/>
        </w:rPr>
        <w:t xml:space="preserve"> </w:t>
      </w:r>
      <w:r>
        <w:rPr>
          <w:sz w:val="18"/>
        </w:rPr>
        <w:t>Human</w:t>
      </w:r>
      <w:r>
        <w:rPr>
          <w:spacing w:val="1"/>
          <w:sz w:val="18"/>
        </w:rPr>
        <w:t xml:space="preserve"> </w:t>
      </w:r>
      <w:r>
        <w:rPr>
          <w:sz w:val="18"/>
        </w:rPr>
        <w:t>Rights</w:t>
      </w:r>
      <w:r>
        <w:rPr>
          <w:spacing w:val="-1"/>
          <w:sz w:val="18"/>
        </w:rPr>
        <w:t xml:space="preserve"> </w:t>
      </w:r>
      <w:r>
        <w:rPr>
          <w:sz w:val="18"/>
        </w:rPr>
        <w:t>Charter s</w:t>
      </w:r>
      <w:r>
        <w:rPr>
          <w:spacing w:val="-2"/>
          <w:sz w:val="18"/>
        </w:rPr>
        <w:t xml:space="preserve"> </w:t>
      </w:r>
      <w:r>
        <w:rPr>
          <w:sz w:val="18"/>
        </w:rPr>
        <w:t>32(1);</w:t>
      </w:r>
      <w:r>
        <w:rPr>
          <w:spacing w:val="3"/>
          <w:sz w:val="18"/>
        </w:rPr>
        <w:t xml:space="preserve"> </w:t>
      </w:r>
      <w:r>
        <w:rPr>
          <w:i/>
          <w:sz w:val="18"/>
        </w:rPr>
        <w:t>Human</w:t>
      </w:r>
      <w:r>
        <w:rPr>
          <w:i/>
          <w:spacing w:val="-2"/>
          <w:sz w:val="18"/>
        </w:rPr>
        <w:t xml:space="preserve"> </w:t>
      </w:r>
      <w:r>
        <w:rPr>
          <w:i/>
          <w:sz w:val="18"/>
        </w:rPr>
        <w:t>Rights Act</w:t>
      </w:r>
      <w:r>
        <w:rPr>
          <w:i/>
          <w:spacing w:val="-2"/>
          <w:sz w:val="18"/>
        </w:rPr>
        <w:t xml:space="preserve"> </w:t>
      </w:r>
      <w:r>
        <w:rPr>
          <w:i/>
          <w:sz w:val="18"/>
        </w:rPr>
        <w:t>2004</w:t>
      </w:r>
      <w:r>
        <w:rPr>
          <w:i/>
          <w:spacing w:val="3"/>
          <w:sz w:val="18"/>
        </w:rPr>
        <w:t xml:space="preserve"> </w:t>
      </w:r>
      <w:r>
        <w:rPr>
          <w:sz w:val="18"/>
        </w:rPr>
        <w:t>(ACT)</w:t>
      </w:r>
      <w:r>
        <w:rPr>
          <w:spacing w:val="-1"/>
          <w:sz w:val="18"/>
        </w:rPr>
        <w:t xml:space="preserve"> </w:t>
      </w:r>
      <w:r>
        <w:rPr>
          <w:sz w:val="18"/>
        </w:rPr>
        <w:t>s 30;</w:t>
      </w:r>
      <w:r>
        <w:rPr>
          <w:spacing w:val="-1"/>
          <w:sz w:val="18"/>
        </w:rPr>
        <w:t xml:space="preserve"> </w:t>
      </w:r>
      <w:r>
        <w:rPr>
          <w:i/>
          <w:sz w:val="18"/>
        </w:rPr>
        <w:t>Human Rights Act 2019</w:t>
      </w:r>
      <w:r>
        <w:rPr>
          <w:i/>
          <w:spacing w:val="3"/>
          <w:sz w:val="18"/>
        </w:rPr>
        <w:t xml:space="preserve"> </w:t>
      </w:r>
      <w:r>
        <w:rPr>
          <w:sz w:val="18"/>
        </w:rPr>
        <w:t>(Qld)</w:t>
      </w:r>
      <w:r>
        <w:rPr>
          <w:spacing w:val="-1"/>
          <w:sz w:val="18"/>
        </w:rPr>
        <w:t xml:space="preserve"> </w:t>
      </w:r>
      <w:r>
        <w:rPr>
          <w:sz w:val="18"/>
        </w:rPr>
        <w:t xml:space="preserve">s </w:t>
      </w:r>
      <w:r>
        <w:rPr>
          <w:spacing w:val="-2"/>
          <w:sz w:val="18"/>
        </w:rPr>
        <w:t>48(1).</w:t>
      </w:r>
    </w:p>
    <w:p w14:paraId="7CB260D9" w14:textId="77777777" w:rsidR="008A4099" w:rsidRDefault="006A6EE2">
      <w:pPr>
        <w:spacing w:before="24" w:line="244" w:lineRule="auto"/>
        <w:ind w:left="160" w:right="674"/>
        <w:jc w:val="both"/>
        <w:rPr>
          <w:sz w:val="18"/>
        </w:rPr>
      </w:pPr>
      <w:r>
        <w:rPr>
          <w:sz w:val="18"/>
          <w:vertAlign w:val="superscript"/>
        </w:rPr>
        <w:t>368</w:t>
      </w:r>
      <w:r>
        <w:rPr>
          <w:sz w:val="18"/>
        </w:rPr>
        <w:t xml:space="preserve"> AHRC, </w:t>
      </w:r>
      <w:r>
        <w:rPr>
          <w:i/>
          <w:sz w:val="18"/>
        </w:rPr>
        <w:t xml:space="preserve">A National Human Rights Act for Australia </w:t>
      </w:r>
      <w:r>
        <w:rPr>
          <w:sz w:val="18"/>
        </w:rPr>
        <w:t>251, adopting the formulation developed by the Law Council in its Human</w:t>
      </w:r>
      <w:r>
        <w:rPr>
          <w:spacing w:val="29"/>
          <w:sz w:val="18"/>
        </w:rPr>
        <w:t xml:space="preserve">  </w:t>
      </w:r>
      <w:r>
        <w:rPr>
          <w:sz w:val="18"/>
        </w:rPr>
        <w:t>Rights</w:t>
      </w:r>
      <w:r>
        <w:rPr>
          <w:spacing w:val="31"/>
          <w:sz w:val="18"/>
        </w:rPr>
        <w:t xml:space="preserve">  </w:t>
      </w:r>
      <w:r>
        <w:rPr>
          <w:sz w:val="18"/>
        </w:rPr>
        <w:t>Charter</w:t>
      </w:r>
      <w:r>
        <w:rPr>
          <w:spacing w:val="29"/>
          <w:sz w:val="18"/>
        </w:rPr>
        <w:t xml:space="preserve">  </w:t>
      </w:r>
      <w:r>
        <w:rPr>
          <w:sz w:val="18"/>
        </w:rPr>
        <w:t>policy,</w:t>
      </w:r>
      <w:r>
        <w:rPr>
          <w:spacing w:val="31"/>
          <w:sz w:val="18"/>
        </w:rPr>
        <w:t xml:space="preserve">  </w:t>
      </w:r>
      <w:r>
        <w:rPr>
          <w:sz w:val="18"/>
        </w:rPr>
        <w:t>Law</w:t>
      </w:r>
      <w:r>
        <w:rPr>
          <w:spacing w:val="31"/>
          <w:sz w:val="18"/>
        </w:rPr>
        <w:t xml:space="preserve">  </w:t>
      </w:r>
      <w:r>
        <w:rPr>
          <w:sz w:val="18"/>
        </w:rPr>
        <w:t>Council</w:t>
      </w:r>
      <w:r>
        <w:rPr>
          <w:spacing w:val="30"/>
          <w:sz w:val="18"/>
        </w:rPr>
        <w:t xml:space="preserve">  </w:t>
      </w:r>
      <w:r>
        <w:rPr>
          <w:sz w:val="18"/>
        </w:rPr>
        <w:t>of</w:t>
      </w:r>
      <w:r>
        <w:rPr>
          <w:spacing w:val="30"/>
          <w:sz w:val="18"/>
        </w:rPr>
        <w:t xml:space="preserve">  </w:t>
      </w:r>
      <w:r>
        <w:rPr>
          <w:sz w:val="18"/>
        </w:rPr>
        <w:t>Australia,</w:t>
      </w:r>
      <w:r>
        <w:rPr>
          <w:spacing w:val="34"/>
          <w:sz w:val="18"/>
        </w:rPr>
        <w:t xml:space="preserve">  </w:t>
      </w:r>
      <w:r>
        <w:rPr>
          <w:i/>
          <w:sz w:val="18"/>
        </w:rPr>
        <w:t>Human</w:t>
      </w:r>
      <w:r>
        <w:rPr>
          <w:i/>
          <w:spacing w:val="30"/>
          <w:sz w:val="18"/>
        </w:rPr>
        <w:t xml:space="preserve">  </w:t>
      </w:r>
      <w:r>
        <w:rPr>
          <w:i/>
          <w:sz w:val="18"/>
        </w:rPr>
        <w:t>Rights</w:t>
      </w:r>
      <w:r>
        <w:rPr>
          <w:i/>
          <w:spacing w:val="31"/>
          <w:sz w:val="18"/>
        </w:rPr>
        <w:t xml:space="preserve">  </w:t>
      </w:r>
      <w:r>
        <w:rPr>
          <w:i/>
          <w:sz w:val="18"/>
        </w:rPr>
        <w:t>Charter</w:t>
      </w:r>
      <w:r>
        <w:rPr>
          <w:i/>
          <w:spacing w:val="31"/>
          <w:sz w:val="18"/>
        </w:rPr>
        <w:t xml:space="preserve">  </w:t>
      </w:r>
      <w:r>
        <w:rPr>
          <w:i/>
          <w:sz w:val="18"/>
        </w:rPr>
        <w:t>Policy</w:t>
      </w:r>
      <w:r>
        <w:rPr>
          <w:i/>
          <w:spacing w:val="32"/>
          <w:sz w:val="18"/>
        </w:rPr>
        <w:t xml:space="preserve">  </w:t>
      </w:r>
      <w:r>
        <w:rPr>
          <w:sz w:val="18"/>
        </w:rPr>
        <w:t>(November</w:t>
      </w:r>
      <w:r>
        <w:rPr>
          <w:spacing w:val="31"/>
          <w:sz w:val="18"/>
        </w:rPr>
        <w:t xml:space="preserve">  </w:t>
      </w:r>
      <w:r>
        <w:rPr>
          <w:spacing w:val="-2"/>
          <w:sz w:val="18"/>
        </w:rPr>
        <w:t>2020)</w:t>
      </w:r>
    </w:p>
    <w:p w14:paraId="7CB260DA" w14:textId="77777777" w:rsidR="008A4099" w:rsidRDefault="006A6EE2">
      <w:pPr>
        <w:ind w:left="160" w:right="673"/>
        <w:jc w:val="both"/>
        <w:rPr>
          <w:sz w:val="18"/>
        </w:rPr>
      </w:pPr>
      <w:r>
        <w:rPr>
          <w:sz w:val="18"/>
        </w:rPr>
        <w:t>&lt;https://humanrights.gov.au/human-rights-act-for-australia&gt;. It is noted that the Law Council added that ‘such a provision should require courts, tribunals and others interpreting legislation to depart from accepted interpretations of legislative provisions [in a way that is consistent with human rights] where this is reasonably possible and does not fundamentally undermine</w:t>
      </w:r>
      <w:r>
        <w:rPr>
          <w:spacing w:val="-4"/>
          <w:sz w:val="18"/>
        </w:rPr>
        <w:t xml:space="preserve"> </w:t>
      </w:r>
      <w:r>
        <w:rPr>
          <w:sz w:val="18"/>
        </w:rPr>
        <w:t>or</w:t>
      </w:r>
      <w:r>
        <w:rPr>
          <w:spacing w:val="-3"/>
          <w:sz w:val="18"/>
        </w:rPr>
        <w:t xml:space="preserve"> </w:t>
      </w:r>
      <w:r>
        <w:rPr>
          <w:sz w:val="18"/>
        </w:rPr>
        <w:t>distort</w:t>
      </w:r>
      <w:r>
        <w:rPr>
          <w:spacing w:val="-3"/>
          <w:sz w:val="18"/>
        </w:rPr>
        <w:t xml:space="preserve"> </w:t>
      </w:r>
      <w:r>
        <w:rPr>
          <w:sz w:val="18"/>
        </w:rPr>
        <w:t>the</w:t>
      </w:r>
      <w:r>
        <w:rPr>
          <w:spacing w:val="-4"/>
          <w:sz w:val="18"/>
        </w:rPr>
        <w:t xml:space="preserve"> </w:t>
      </w:r>
      <w:r>
        <w:rPr>
          <w:sz w:val="18"/>
        </w:rPr>
        <w:t>purpose</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legislation’:</w:t>
      </w:r>
      <w:r>
        <w:rPr>
          <w:spacing w:val="-1"/>
          <w:sz w:val="18"/>
        </w:rPr>
        <w:t xml:space="preserve"> </w:t>
      </w:r>
      <w:r>
        <w:rPr>
          <w:sz w:val="18"/>
        </w:rPr>
        <w:t>AHRC,</w:t>
      </w:r>
      <w:r>
        <w:rPr>
          <w:spacing w:val="-3"/>
          <w:sz w:val="18"/>
        </w:rPr>
        <w:t xml:space="preserve"> </w:t>
      </w:r>
      <w:r>
        <w:rPr>
          <w:i/>
          <w:sz w:val="18"/>
        </w:rPr>
        <w:t>A</w:t>
      </w:r>
      <w:r>
        <w:rPr>
          <w:i/>
          <w:spacing w:val="-3"/>
          <w:sz w:val="18"/>
        </w:rPr>
        <w:t xml:space="preserve"> </w:t>
      </w:r>
      <w:r>
        <w:rPr>
          <w:i/>
          <w:sz w:val="18"/>
        </w:rPr>
        <w:t>National</w:t>
      </w:r>
      <w:r>
        <w:rPr>
          <w:i/>
          <w:spacing w:val="-3"/>
          <w:sz w:val="18"/>
        </w:rPr>
        <w:t xml:space="preserve"> </w:t>
      </w:r>
      <w:r>
        <w:rPr>
          <w:i/>
          <w:sz w:val="18"/>
        </w:rPr>
        <w:t>Human</w:t>
      </w:r>
      <w:r>
        <w:rPr>
          <w:i/>
          <w:spacing w:val="-2"/>
          <w:sz w:val="18"/>
        </w:rPr>
        <w:t xml:space="preserve"> </w:t>
      </w:r>
      <w:r>
        <w:rPr>
          <w:i/>
          <w:sz w:val="18"/>
        </w:rPr>
        <w:t>Rights</w:t>
      </w:r>
      <w:r>
        <w:rPr>
          <w:i/>
          <w:spacing w:val="-3"/>
          <w:sz w:val="18"/>
        </w:rPr>
        <w:t xml:space="preserve"> </w:t>
      </w:r>
      <w:r>
        <w:rPr>
          <w:i/>
          <w:sz w:val="18"/>
        </w:rPr>
        <w:t>Act</w:t>
      </w:r>
      <w:r>
        <w:rPr>
          <w:i/>
          <w:spacing w:val="-3"/>
          <w:sz w:val="18"/>
        </w:rPr>
        <w:t xml:space="preserve"> </w:t>
      </w:r>
      <w:r>
        <w:rPr>
          <w:i/>
          <w:sz w:val="18"/>
        </w:rPr>
        <w:t>for</w:t>
      </w:r>
      <w:r>
        <w:rPr>
          <w:i/>
          <w:spacing w:val="-4"/>
          <w:sz w:val="18"/>
        </w:rPr>
        <w:t xml:space="preserve"> </w:t>
      </w:r>
      <w:r>
        <w:rPr>
          <w:i/>
          <w:sz w:val="18"/>
        </w:rPr>
        <w:t>Australia</w:t>
      </w:r>
      <w:r>
        <w:rPr>
          <w:i/>
          <w:spacing w:val="-2"/>
          <w:sz w:val="18"/>
        </w:rPr>
        <w:t xml:space="preserve"> </w:t>
      </w:r>
      <w:r>
        <w:rPr>
          <w:sz w:val="18"/>
        </w:rPr>
        <w:t>251,</w:t>
      </w:r>
      <w:r>
        <w:rPr>
          <w:spacing w:val="-3"/>
          <w:sz w:val="18"/>
        </w:rPr>
        <w:t xml:space="preserve"> </w:t>
      </w:r>
      <w:r>
        <w:rPr>
          <w:sz w:val="18"/>
        </w:rPr>
        <w:t>quoting</w:t>
      </w:r>
      <w:r>
        <w:rPr>
          <w:spacing w:val="-2"/>
          <w:sz w:val="18"/>
        </w:rPr>
        <w:t xml:space="preserve"> </w:t>
      </w:r>
      <w:r>
        <w:rPr>
          <w:sz w:val="18"/>
        </w:rPr>
        <w:t>the</w:t>
      </w:r>
      <w:r>
        <w:rPr>
          <w:spacing w:val="-4"/>
          <w:sz w:val="18"/>
        </w:rPr>
        <w:t xml:space="preserve"> </w:t>
      </w:r>
      <w:r>
        <w:rPr>
          <w:sz w:val="18"/>
        </w:rPr>
        <w:t xml:space="preserve">Law </w:t>
      </w:r>
      <w:r>
        <w:rPr>
          <w:spacing w:val="-2"/>
          <w:sz w:val="18"/>
        </w:rPr>
        <w:t>Council.</w:t>
      </w:r>
    </w:p>
    <w:p w14:paraId="7CB260DB" w14:textId="77777777" w:rsidR="008A4099" w:rsidRDefault="006A6EE2">
      <w:pPr>
        <w:spacing w:before="15" w:line="244" w:lineRule="auto"/>
        <w:ind w:left="160" w:right="673"/>
        <w:jc w:val="both"/>
        <w:rPr>
          <w:sz w:val="18"/>
        </w:rPr>
      </w:pPr>
      <w:r>
        <w:rPr>
          <w:sz w:val="18"/>
          <w:vertAlign w:val="superscript"/>
        </w:rPr>
        <w:t>369</w:t>
      </w:r>
      <w:r>
        <w:rPr>
          <w:spacing w:val="11"/>
          <w:sz w:val="18"/>
        </w:rPr>
        <w:t xml:space="preserve"> </w:t>
      </w:r>
      <w:r>
        <w:rPr>
          <w:sz w:val="18"/>
        </w:rPr>
        <w:t>Vic</w:t>
      </w:r>
      <w:r>
        <w:rPr>
          <w:spacing w:val="10"/>
          <w:sz w:val="18"/>
        </w:rPr>
        <w:t xml:space="preserve"> </w:t>
      </w:r>
      <w:r>
        <w:rPr>
          <w:sz w:val="18"/>
        </w:rPr>
        <w:t>Human</w:t>
      </w:r>
      <w:r>
        <w:rPr>
          <w:spacing w:val="10"/>
          <w:sz w:val="18"/>
        </w:rPr>
        <w:t xml:space="preserve"> </w:t>
      </w:r>
      <w:r>
        <w:rPr>
          <w:sz w:val="18"/>
        </w:rPr>
        <w:t>Rights</w:t>
      </w:r>
      <w:r>
        <w:rPr>
          <w:spacing w:val="8"/>
          <w:sz w:val="18"/>
        </w:rPr>
        <w:t xml:space="preserve"> </w:t>
      </w:r>
      <w:r>
        <w:rPr>
          <w:sz w:val="18"/>
        </w:rPr>
        <w:t>Charter</w:t>
      </w:r>
      <w:r>
        <w:rPr>
          <w:spacing w:val="8"/>
          <w:sz w:val="18"/>
        </w:rPr>
        <w:t xml:space="preserve"> </w:t>
      </w:r>
      <w:r>
        <w:rPr>
          <w:sz w:val="18"/>
        </w:rPr>
        <w:t>s</w:t>
      </w:r>
      <w:r>
        <w:rPr>
          <w:spacing w:val="8"/>
          <w:sz w:val="18"/>
        </w:rPr>
        <w:t xml:space="preserve"> </w:t>
      </w:r>
      <w:r>
        <w:rPr>
          <w:sz w:val="18"/>
        </w:rPr>
        <w:t>32(1);</w:t>
      </w:r>
      <w:r>
        <w:rPr>
          <w:spacing w:val="14"/>
          <w:sz w:val="18"/>
        </w:rPr>
        <w:t xml:space="preserve"> </w:t>
      </w:r>
      <w:r>
        <w:rPr>
          <w:i/>
          <w:sz w:val="18"/>
        </w:rPr>
        <w:t>Human</w:t>
      </w:r>
      <w:r>
        <w:rPr>
          <w:i/>
          <w:spacing w:val="12"/>
          <w:sz w:val="18"/>
        </w:rPr>
        <w:t xml:space="preserve"> </w:t>
      </w:r>
      <w:r>
        <w:rPr>
          <w:i/>
          <w:sz w:val="18"/>
        </w:rPr>
        <w:t>Rights</w:t>
      </w:r>
      <w:r>
        <w:rPr>
          <w:i/>
          <w:spacing w:val="8"/>
          <w:sz w:val="18"/>
        </w:rPr>
        <w:t xml:space="preserve"> </w:t>
      </w:r>
      <w:r>
        <w:rPr>
          <w:i/>
          <w:sz w:val="18"/>
        </w:rPr>
        <w:t>Act</w:t>
      </w:r>
      <w:r>
        <w:rPr>
          <w:i/>
          <w:spacing w:val="9"/>
          <w:sz w:val="18"/>
        </w:rPr>
        <w:t xml:space="preserve"> </w:t>
      </w:r>
      <w:r>
        <w:rPr>
          <w:i/>
          <w:sz w:val="18"/>
        </w:rPr>
        <w:t>2004</w:t>
      </w:r>
      <w:r>
        <w:rPr>
          <w:i/>
          <w:spacing w:val="11"/>
          <w:sz w:val="18"/>
        </w:rPr>
        <w:t xml:space="preserve"> </w:t>
      </w:r>
      <w:r>
        <w:rPr>
          <w:sz w:val="18"/>
        </w:rPr>
        <w:t>(ACT)</w:t>
      </w:r>
      <w:r>
        <w:rPr>
          <w:spacing w:val="11"/>
          <w:sz w:val="18"/>
        </w:rPr>
        <w:t xml:space="preserve"> </w:t>
      </w:r>
      <w:r>
        <w:rPr>
          <w:sz w:val="18"/>
        </w:rPr>
        <w:t>ss</w:t>
      </w:r>
      <w:r>
        <w:rPr>
          <w:spacing w:val="8"/>
          <w:sz w:val="18"/>
        </w:rPr>
        <w:t xml:space="preserve"> </w:t>
      </w:r>
      <w:r>
        <w:rPr>
          <w:sz w:val="18"/>
        </w:rPr>
        <w:t>3</w:t>
      </w:r>
      <w:r>
        <w:rPr>
          <w:spacing w:val="10"/>
          <w:sz w:val="18"/>
        </w:rPr>
        <w:t xml:space="preserve"> </w:t>
      </w:r>
      <w:r>
        <w:rPr>
          <w:sz w:val="18"/>
        </w:rPr>
        <w:t>(dictionary),</w:t>
      </w:r>
      <w:r>
        <w:rPr>
          <w:spacing w:val="9"/>
          <w:sz w:val="18"/>
        </w:rPr>
        <w:t xml:space="preserve"> </w:t>
      </w:r>
      <w:r>
        <w:rPr>
          <w:sz w:val="18"/>
        </w:rPr>
        <w:t>30;</w:t>
      </w:r>
      <w:r>
        <w:rPr>
          <w:spacing w:val="14"/>
          <w:sz w:val="18"/>
        </w:rPr>
        <w:t xml:space="preserve"> </w:t>
      </w:r>
      <w:r>
        <w:rPr>
          <w:i/>
          <w:sz w:val="18"/>
        </w:rPr>
        <w:t>Human</w:t>
      </w:r>
      <w:r>
        <w:rPr>
          <w:i/>
          <w:spacing w:val="7"/>
          <w:sz w:val="18"/>
        </w:rPr>
        <w:t xml:space="preserve"> </w:t>
      </w:r>
      <w:r>
        <w:rPr>
          <w:i/>
          <w:sz w:val="18"/>
        </w:rPr>
        <w:t>Rights</w:t>
      </w:r>
      <w:r>
        <w:rPr>
          <w:i/>
          <w:spacing w:val="8"/>
          <w:sz w:val="18"/>
        </w:rPr>
        <w:t xml:space="preserve"> </w:t>
      </w:r>
      <w:r>
        <w:rPr>
          <w:i/>
          <w:sz w:val="18"/>
        </w:rPr>
        <w:t>Act</w:t>
      </w:r>
      <w:r>
        <w:rPr>
          <w:i/>
          <w:spacing w:val="9"/>
          <w:sz w:val="18"/>
        </w:rPr>
        <w:t xml:space="preserve"> </w:t>
      </w:r>
      <w:r>
        <w:rPr>
          <w:i/>
          <w:sz w:val="18"/>
        </w:rPr>
        <w:t>2019</w:t>
      </w:r>
      <w:r>
        <w:rPr>
          <w:i/>
          <w:spacing w:val="12"/>
          <w:sz w:val="18"/>
        </w:rPr>
        <w:t xml:space="preserve"> </w:t>
      </w:r>
      <w:r>
        <w:rPr>
          <w:sz w:val="18"/>
        </w:rPr>
        <w:t>(Qld) s 48(1).</w:t>
      </w:r>
    </w:p>
    <w:p w14:paraId="7CB260DC" w14:textId="77777777" w:rsidR="008A4099" w:rsidRDefault="006A6EE2">
      <w:pPr>
        <w:spacing w:before="14" w:line="244" w:lineRule="auto"/>
        <w:ind w:left="160" w:right="680"/>
        <w:jc w:val="both"/>
        <w:rPr>
          <w:sz w:val="18"/>
        </w:rPr>
      </w:pPr>
      <w:r>
        <w:rPr>
          <w:sz w:val="18"/>
          <w:vertAlign w:val="superscript"/>
        </w:rPr>
        <w:t>370</w:t>
      </w:r>
      <w:r>
        <w:rPr>
          <w:spacing w:val="-6"/>
          <w:sz w:val="18"/>
        </w:rPr>
        <w:t xml:space="preserve"> </w:t>
      </w:r>
      <w:r>
        <w:rPr>
          <w:sz w:val="18"/>
        </w:rPr>
        <w:t>In</w:t>
      </w:r>
      <w:r>
        <w:rPr>
          <w:spacing w:val="-5"/>
          <w:sz w:val="18"/>
        </w:rPr>
        <w:t xml:space="preserve"> </w:t>
      </w:r>
      <w:r>
        <w:rPr>
          <w:sz w:val="18"/>
        </w:rPr>
        <w:t>the</w:t>
      </w:r>
      <w:r>
        <w:rPr>
          <w:spacing w:val="-6"/>
          <w:sz w:val="18"/>
        </w:rPr>
        <w:t xml:space="preserve"> </w:t>
      </w:r>
      <w:r>
        <w:rPr>
          <w:i/>
          <w:sz w:val="18"/>
        </w:rPr>
        <w:t>Human</w:t>
      </w:r>
      <w:r>
        <w:rPr>
          <w:i/>
          <w:spacing w:val="-7"/>
          <w:sz w:val="18"/>
        </w:rPr>
        <w:t xml:space="preserve"> </w:t>
      </w:r>
      <w:r>
        <w:rPr>
          <w:i/>
          <w:sz w:val="18"/>
        </w:rPr>
        <w:t>Rights</w:t>
      </w:r>
      <w:r>
        <w:rPr>
          <w:i/>
          <w:spacing w:val="-6"/>
          <w:sz w:val="18"/>
        </w:rPr>
        <w:t xml:space="preserve"> </w:t>
      </w:r>
      <w:r>
        <w:rPr>
          <w:i/>
          <w:sz w:val="18"/>
        </w:rPr>
        <w:t>Act</w:t>
      </w:r>
      <w:r>
        <w:rPr>
          <w:i/>
          <w:spacing w:val="-6"/>
          <w:sz w:val="18"/>
        </w:rPr>
        <w:t xml:space="preserve"> </w:t>
      </w:r>
      <w:r>
        <w:rPr>
          <w:i/>
          <w:sz w:val="18"/>
        </w:rPr>
        <w:t>1998</w:t>
      </w:r>
      <w:r>
        <w:rPr>
          <w:i/>
          <w:spacing w:val="-3"/>
          <w:sz w:val="18"/>
        </w:rPr>
        <w:t xml:space="preserve"> </w:t>
      </w:r>
      <w:r>
        <w:rPr>
          <w:sz w:val="18"/>
        </w:rPr>
        <w:t>(UK)</w:t>
      </w:r>
      <w:r>
        <w:rPr>
          <w:spacing w:val="-6"/>
          <w:sz w:val="18"/>
        </w:rPr>
        <w:t xml:space="preserve"> </w:t>
      </w:r>
      <w:r>
        <w:rPr>
          <w:sz w:val="18"/>
        </w:rPr>
        <w:t>s</w:t>
      </w:r>
      <w:r>
        <w:rPr>
          <w:spacing w:val="-6"/>
          <w:sz w:val="18"/>
        </w:rPr>
        <w:t xml:space="preserve"> </w:t>
      </w:r>
      <w:r>
        <w:rPr>
          <w:sz w:val="18"/>
        </w:rPr>
        <w:t>3,</w:t>
      </w:r>
      <w:r>
        <w:rPr>
          <w:spacing w:val="-5"/>
          <w:sz w:val="18"/>
        </w:rPr>
        <w:t xml:space="preserve"> </w:t>
      </w:r>
      <w:r>
        <w:rPr>
          <w:sz w:val="18"/>
        </w:rPr>
        <w:t>the</w:t>
      </w:r>
      <w:r>
        <w:rPr>
          <w:spacing w:val="-6"/>
          <w:sz w:val="18"/>
        </w:rPr>
        <w:t xml:space="preserve"> </w:t>
      </w:r>
      <w:r>
        <w:rPr>
          <w:sz w:val="18"/>
        </w:rPr>
        <w:t>interpretative</w:t>
      </w:r>
      <w:r>
        <w:rPr>
          <w:spacing w:val="-6"/>
          <w:sz w:val="18"/>
        </w:rPr>
        <w:t xml:space="preserve"> </w:t>
      </w:r>
      <w:r>
        <w:rPr>
          <w:sz w:val="18"/>
        </w:rPr>
        <w:t>role</w:t>
      </w:r>
      <w:r>
        <w:rPr>
          <w:spacing w:val="-6"/>
          <w:sz w:val="18"/>
        </w:rPr>
        <w:t xml:space="preserve"> </w:t>
      </w:r>
      <w:r>
        <w:rPr>
          <w:sz w:val="18"/>
        </w:rPr>
        <w:t>of</w:t>
      </w:r>
      <w:r>
        <w:rPr>
          <w:spacing w:val="-6"/>
          <w:sz w:val="18"/>
        </w:rPr>
        <w:t xml:space="preserve"> </w:t>
      </w:r>
      <w:r>
        <w:rPr>
          <w:sz w:val="18"/>
        </w:rPr>
        <w:t>courts</w:t>
      </w:r>
      <w:r>
        <w:rPr>
          <w:spacing w:val="-6"/>
          <w:sz w:val="18"/>
        </w:rPr>
        <w:t xml:space="preserve"> </w:t>
      </w:r>
      <w:r>
        <w:rPr>
          <w:sz w:val="18"/>
        </w:rPr>
        <w:t>is</w:t>
      </w:r>
      <w:r>
        <w:rPr>
          <w:spacing w:val="-6"/>
          <w:sz w:val="18"/>
        </w:rPr>
        <w:t xml:space="preserve"> </w:t>
      </w:r>
      <w:r>
        <w:rPr>
          <w:sz w:val="18"/>
        </w:rPr>
        <w:t>confined</w:t>
      </w:r>
      <w:r>
        <w:rPr>
          <w:spacing w:val="-5"/>
          <w:sz w:val="18"/>
        </w:rPr>
        <w:t xml:space="preserve"> </w:t>
      </w:r>
      <w:r>
        <w:rPr>
          <w:sz w:val="18"/>
        </w:rPr>
        <w:t>to</w:t>
      </w:r>
      <w:r>
        <w:rPr>
          <w:spacing w:val="-7"/>
          <w:sz w:val="18"/>
        </w:rPr>
        <w:t xml:space="preserve"> </w:t>
      </w:r>
      <w:r>
        <w:rPr>
          <w:sz w:val="18"/>
        </w:rPr>
        <w:t>the</w:t>
      </w:r>
      <w:r>
        <w:rPr>
          <w:spacing w:val="-6"/>
          <w:sz w:val="18"/>
        </w:rPr>
        <w:t xml:space="preserve"> </w:t>
      </w:r>
      <w:r>
        <w:rPr>
          <w:sz w:val="18"/>
        </w:rPr>
        <w:t>interpretation</w:t>
      </w:r>
      <w:r>
        <w:rPr>
          <w:spacing w:val="-7"/>
          <w:sz w:val="18"/>
        </w:rPr>
        <w:t xml:space="preserve"> </w:t>
      </w:r>
      <w:r>
        <w:rPr>
          <w:sz w:val="18"/>
        </w:rPr>
        <w:t>of</w:t>
      </w:r>
      <w:r>
        <w:rPr>
          <w:spacing w:val="-6"/>
          <w:sz w:val="18"/>
        </w:rPr>
        <w:t xml:space="preserve"> </w:t>
      </w:r>
      <w:r>
        <w:rPr>
          <w:sz w:val="18"/>
        </w:rPr>
        <w:t>legislation.</w:t>
      </w:r>
      <w:r>
        <w:rPr>
          <w:spacing w:val="-5"/>
          <w:sz w:val="18"/>
        </w:rPr>
        <w:t xml:space="preserve"> </w:t>
      </w:r>
      <w:r>
        <w:rPr>
          <w:sz w:val="18"/>
        </w:rPr>
        <w:t xml:space="preserve">This is also the case in New Zealand. See </w:t>
      </w:r>
      <w:r>
        <w:rPr>
          <w:i/>
          <w:sz w:val="18"/>
        </w:rPr>
        <w:t xml:space="preserve">Bill of Rights Act 1900 </w:t>
      </w:r>
      <w:r>
        <w:rPr>
          <w:sz w:val="18"/>
        </w:rPr>
        <w:t>(NZ) s 6.</w:t>
      </w:r>
    </w:p>
    <w:p w14:paraId="7CB260DD" w14:textId="77777777" w:rsidR="008A4099" w:rsidRDefault="006A6EE2">
      <w:pPr>
        <w:spacing w:before="15" w:line="244" w:lineRule="auto"/>
        <w:ind w:left="160" w:right="673"/>
        <w:jc w:val="both"/>
        <w:rPr>
          <w:sz w:val="18"/>
        </w:rPr>
      </w:pPr>
      <w:r>
        <w:rPr>
          <w:sz w:val="18"/>
          <w:vertAlign w:val="superscript"/>
        </w:rPr>
        <w:t>371</w:t>
      </w:r>
      <w:r>
        <w:rPr>
          <w:sz w:val="18"/>
        </w:rPr>
        <w:t xml:space="preserve"> See, for example, </w:t>
      </w:r>
      <w:r>
        <w:rPr>
          <w:i/>
          <w:sz w:val="18"/>
        </w:rPr>
        <w:t>Venables &amp; Thompson v New Group Newspape</w:t>
      </w:r>
      <w:r>
        <w:rPr>
          <w:sz w:val="18"/>
        </w:rPr>
        <w:t xml:space="preserve">rs </w:t>
      </w:r>
      <w:r>
        <w:rPr>
          <w:i/>
          <w:sz w:val="18"/>
        </w:rPr>
        <w:t xml:space="preserve">Ltd and Ors </w:t>
      </w:r>
      <w:r>
        <w:rPr>
          <w:sz w:val="18"/>
        </w:rPr>
        <w:t xml:space="preserve">[2001] 2 WLR 1038, 1049; </w:t>
      </w:r>
      <w:r>
        <w:rPr>
          <w:i/>
          <w:sz w:val="18"/>
        </w:rPr>
        <w:t xml:space="preserve">Hosking v Bunting </w:t>
      </w:r>
      <w:r>
        <w:rPr>
          <w:sz w:val="18"/>
        </w:rPr>
        <w:t>[2005] 1 NZLR 1. See discussion of courts as a public authority at [4.2.21]–[4.2.29].</w:t>
      </w:r>
    </w:p>
    <w:p w14:paraId="7CB260DE" w14:textId="77777777" w:rsidR="008A4099" w:rsidRDefault="006A6EE2">
      <w:pPr>
        <w:spacing w:before="14" w:line="244" w:lineRule="auto"/>
        <w:ind w:left="160" w:right="682"/>
        <w:jc w:val="both"/>
        <w:rPr>
          <w:sz w:val="18"/>
        </w:rPr>
      </w:pPr>
      <w:r>
        <w:rPr>
          <w:sz w:val="18"/>
          <w:vertAlign w:val="superscript"/>
        </w:rPr>
        <w:t>372</w:t>
      </w:r>
      <w:r>
        <w:rPr>
          <w:sz w:val="18"/>
        </w:rPr>
        <w:t xml:space="preserve"> See Victorian Human Rights Consultation Committee, </w:t>
      </w:r>
      <w:r>
        <w:rPr>
          <w:i/>
          <w:sz w:val="18"/>
        </w:rPr>
        <w:t xml:space="preserve">Rights, Responsibilities and Respect: The Report of the Human Rights Consultation Committee </w:t>
      </w:r>
      <w:r>
        <w:rPr>
          <w:sz w:val="18"/>
        </w:rPr>
        <w:t>(Department of Justice, 2005) 59.</w:t>
      </w:r>
    </w:p>
    <w:p w14:paraId="7CB260DF" w14:textId="77777777" w:rsidR="008A4099" w:rsidRDefault="006A6EE2">
      <w:pPr>
        <w:spacing w:before="15"/>
        <w:ind w:left="160"/>
        <w:jc w:val="both"/>
        <w:rPr>
          <w:sz w:val="18"/>
        </w:rPr>
      </w:pPr>
      <w:r>
        <w:rPr>
          <w:sz w:val="18"/>
          <w:vertAlign w:val="superscript"/>
        </w:rPr>
        <w:t>373</w:t>
      </w:r>
      <w:r>
        <w:rPr>
          <w:sz w:val="18"/>
        </w:rPr>
        <w:t xml:space="preserve"> See TLRI</w:t>
      </w:r>
      <w:r>
        <w:rPr>
          <w:spacing w:val="1"/>
          <w:sz w:val="18"/>
        </w:rPr>
        <w:t xml:space="preserve"> </w:t>
      </w:r>
      <w:r>
        <w:rPr>
          <w:sz w:val="18"/>
        </w:rPr>
        <w:t>2007</w:t>
      </w:r>
      <w:r>
        <w:rPr>
          <w:spacing w:val="2"/>
          <w:sz w:val="18"/>
        </w:rPr>
        <w:t xml:space="preserve"> </w:t>
      </w:r>
      <w:r>
        <w:rPr>
          <w:sz w:val="18"/>
        </w:rPr>
        <w:t>Final Report</w:t>
      </w:r>
      <w:r>
        <w:rPr>
          <w:spacing w:val="1"/>
          <w:sz w:val="18"/>
        </w:rPr>
        <w:t xml:space="preserve"> </w:t>
      </w:r>
      <w:r>
        <w:rPr>
          <w:spacing w:val="-2"/>
          <w:sz w:val="18"/>
        </w:rPr>
        <w:t>[4.7].</w:t>
      </w:r>
    </w:p>
    <w:p w14:paraId="7CB260E0" w14:textId="77777777" w:rsidR="008A4099" w:rsidRDefault="006A6EE2">
      <w:pPr>
        <w:spacing w:before="23" w:line="244" w:lineRule="auto"/>
        <w:ind w:left="160" w:right="680"/>
        <w:rPr>
          <w:sz w:val="18"/>
        </w:rPr>
      </w:pPr>
      <w:r>
        <w:rPr>
          <w:sz w:val="18"/>
          <w:vertAlign w:val="superscript"/>
        </w:rPr>
        <w:t>374</w:t>
      </w:r>
      <w:r>
        <w:rPr>
          <w:sz w:val="18"/>
        </w:rPr>
        <w:t xml:space="preserve"> John W Perry, </w:t>
      </w:r>
      <w:r>
        <w:rPr>
          <w:i/>
          <w:sz w:val="18"/>
        </w:rPr>
        <w:t xml:space="preserve">International Human Rights and Domestic Law and Advocacy </w:t>
      </w:r>
      <w:r>
        <w:rPr>
          <w:sz w:val="18"/>
        </w:rPr>
        <w:t>(Paper presented at the Human Rights Law Resource Centre, Melbourne, 7 August 2006) 12–16</w:t>
      </w:r>
    </w:p>
    <w:p w14:paraId="7CB260E1" w14:textId="77777777" w:rsidR="008A4099" w:rsidRDefault="006A6EE2">
      <w:pPr>
        <w:spacing w:line="242" w:lineRule="auto"/>
        <w:ind w:left="160"/>
        <w:rPr>
          <w:sz w:val="18"/>
        </w:rPr>
      </w:pPr>
      <w:r>
        <w:rPr>
          <w:spacing w:val="-2"/>
          <w:sz w:val="18"/>
        </w:rPr>
        <w:t>&lt;https://static1.squarespace.com/static/580025f66b8f5b2dabbe4291/t/59e42794f14aa11443222fba/1508124567051/justice+ perry+paper.pdf&gt;.</w:t>
      </w:r>
    </w:p>
    <w:p w14:paraId="7CB260E2" w14:textId="77777777" w:rsidR="008A4099" w:rsidRDefault="008A4099">
      <w:pPr>
        <w:spacing w:line="242" w:lineRule="auto"/>
        <w:rPr>
          <w:sz w:val="18"/>
        </w:rPr>
        <w:sectPr w:rsidR="008A4099" w:rsidSect="00D43B2D">
          <w:pgSz w:w="11910" w:h="16840"/>
          <w:pgMar w:top="980" w:right="760" w:bottom="940" w:left="1280" w:header="718" w:footer="753" w:gutter="0"/>
          <w:cols w:space="720"/>
        </w:sectPr>
      </w:pPr>
    </w:p>
    <w:p w14:paraId="7CB260E3" w14:textId="77777777" w:rsidR="008A4099" w:rsidRDefault="008A4099">
      <w:pPr>
        <w:pStyle w:val="BodyText"/>
        <w:spacing w:before="194"/>
      </w:pPr>
    </w:p>
    <w:p w14:paraId="7CB260E4" w14:textId="77777777" w:rsidR="008A4099" w:rsidRDefault="006A6EE2">
      <w:pPr>
        <w:pStyle w:val="BodyText"/>
        <w:spacing w:line="242" w:lineRule="auto"/>
        <w:ind w:left="160" w:right="680"/>
        <w:jc w:val="both"/>
      </w:pPr>
      <w:r>
        <w:t>(procedural)</w:t>
      </w:r>
      <w:r>
        <w:rPr>
          <w:spacing w:val="-1"/>
        </w:rPr>
        <w:t xml:space="preserve"> </w:t>
      </w:r>
      <w:r>
        <w:t>law</w:t>
      </w:r>
      <w:r>
        <w:rPr>
          <w:spacing w:val="-1"/>
        </w:rPr>
        <w:t xml:space="preserve"> </w:t>
      </w:r>
      <w:r>
        <w:t>is</w:t>
      </w:r>
      <w:r>
        <w:rPr>
          <w:spacing w:val="-1"/>
        </w:rPr>
        <w:t xml:space="preserve"> </w:t>
      </w:r>
      <w:r>
        <w:t>amended</w:t>
      </w:r>
      <w:r>
        <w:rPr>
          <w:spacing w:val="-1"/>
        </w:rPr>
        <w:t xml:space="preserve"> </w:t>
      </w:r>
      <w:r>
        <w:t>by</w:t>
      </w:r>
      <w:r>
        <w:rPr>
          <w:spacing w:val="-1"/>
        </w:rPr>
        <w:t xml:space="preserve"> </w:t>
      </w:r>
      <w:r>
        <w:t>the</w:t>
      </w:r>
      <w:r>
        <w:rPr>
          <w:spacing w:val="-1"/>
        </w:rPr>
        <w:t xml:space="preserve"> </w:t>
      </w:r>
      <w:r>
        <w:t>Charter so</w:t>
      </w:r>
      <w:r>
        <w:rPr>
          <w:spacing w:val="-1"/>
        </w:rPr>
        <w:t xml:space="preserve"> </w:t>
      </w:r>
      <w:r>
        <w:t>as</w:t>
      </w:r>
      <w:r>
        <w:rPr>
          <w:spacing w:val="-1"/>
        </w:rPr>
        <w:t xml:space="preserve"> </w:t>
      </w:r>
      <w:r>
        <w:t>to</w:t>
      </w:r>
      <w:r>
        <w:rPr>
          <w:spacing w:val="-1"/>
        </w:rPr>
        <w:t xml:space="preserve"> </w:t>
      </w:r>
      <w:r>
        <w:t>conform to</w:t>
      </w:r>
      <w:r>
        <w:rPr>
          <w:spacing w:val="-1"/>
        </w:rPr>
        <w:t xml:space="preserve"> </w:t>
      </w:r>
      <w:r>
        <w:t>human</w:t>
      </w:r>
      <w:r>
        <w:rPr>
          <w:spacing w:val="-1"/>
        </w:rPr>
        <w:t xml:space="preserve"> </w:t>
      </w:r>
      <w:r>
        <w:t>rights</w:t>
      </w:r>
      <w:r>
        <w:rPr>
          <w:spacing w:val="-1"/>
        </w:rPr>
        <w:t xml:space="preserve"> </w:t>
      </w:r>
      <w:r>
        <w:t>as</w:t>
      </w:r>
      <w:r>
        <w:rPr>
          <w:spacing w:val="-1"/>
        </w:rPr>
        <w:t xml:space="preserve"> </w:t>
      </w:r>
      <w:r>
        <w:t>defined</w:t>
      </w:r>
      <w:r>
        <w:rPr>
          <w:spacing w:val="-1"/>
        </w:rPr>
        <w:t xml:space="preserve"> </w:t>
      </w:r>
      <w:r>
        <w:t>and</w:t>
      </w:r>
      <w:r>
        <w:rPr>
          <w:spacing w:val="-1"/>
        </w:rPr>
        <w:t xml:space="preserve"> </w:t>
      </w:r>
      <w:r>
        <w:t>limited</w:t>
      </w:r>
      <w:r>
        <w:rPr>
          <w:spacing w:val="-1"/>
        </w:rPr>
        <w:t xml:space="preserve"> </w:t>
      </w:r>
      <w:r>
        <w:t>in the Charter, and that any conflict with Charter rights is to be resolved in favour of the Charter’ (Recommendation 8).</w:t>
      </w:r>
    </w:p>
    <w:p w14:paraId="7CB260E5" w14:textId="77777777" w:rsidR="008A4099" w:rsidRDefault="006A6EE2">
      <w:pPr>
        <w:pStyle w:val="Heading3"/>
        <w:spacing w:before="213"/>
      </w:pPr>
      <w:r>
        <w:t>TLRI’s</w:t>
      </w:r>
      <w:r>
        <w:rPr>
          <w:spacing w:val="-5"/>
        </w:rPr>
        <w:t xml:space="preserve"> </w:t>
      </w:r>
      <w:r>
        <w:t>current</w:t>
      </w:r>
      <w:r>
        <w:rPr>
          <w:spacing w:val="-3"/>
        </w:rPr>
        <w:t xml:space="preserve"> </w:t>
      </w:r>
      <w:r>
        <w:rPr>
          <w:spacing w:val="-4"/>
        </w:rPr>
        <w:t>views</w:t>
      </w:r>
    </w:p>
    <w:p w14:paraId="7CB260E6" w14:textId="77777777" w:rsidR="008A4099" w:rsidRDefault="006A6EE2">
      <w:pPr>
        <w:pStyle w:val="ListParagraph"/>
        <w:numPr>
          <w:ilvl w:val="2"/>
          <w:numId w:val="3"/>
        </w:numPr>
        <w:tabs>
          <w:tab w:val="left" w:pos="879"/>
        </w:tabs>
        <w:spacing w:before="259"/>
        <w:ind w:right="674" w:firstLine="0"/>
        <w:jc w:val="both"/>
      </w:pPr>
      <w:r>
        <w:t>The TLRI’s views expressed in the 2007 Final Report about the application of the Charter to the</w:t>
      </w:r>
      <w:r>
        <w:rPr>
          <w:spacing w:val="-14"/>
        </w:rPr>
        <w:t xml:space="preserve"> </w:t>
      </w:r>
      <w:r>
        <w:t>common</w:t>
      </w:r>
      <w:r>
        <w:rPr>
          <w:spacing w:val="-14"/>
        </w:rPr>
        <w:t xml:space="preserve"> </w:t>
      </w:r>
      <w:r>
        <w:t>law</w:t>
      </w:r>
      <w:r>
        <w:rPr>
          <w:spacing w:val="-14"/>
        </w:rPr>
        <w:t xml:space="preserve"> </w:t>
      </w:r>
      <w:r>
        <w:t>are</w:t>
      </w:r>
      <w:r>
        <w:rPr>
          <w:spacing w:val="-13"/>
        </w:rPr>
        <w:t xml:space="preserve"> </w:t>
      </w:r>
      <w:r>
        <w:t>reiterated</w:t>
      </w:r>
      <w:r>
        <w:rPr>
          <w:spacing w:val="-14"/>
        </w:rPr>
        <w:t xml:space="preserve"> </w:t>
      </w:r>
      <w:r>
        <w:t>and</w:t>
      </w:r>
      <w:r>
        <w:rPr>
          <w:spacing w:val="-14"/>
        </w:rPr>
        <w:t xml:space="preserve"> </w:t>
      </w:r>
      <w:r>
        <w:t>it</w:t>
      </w:r>
      <w:r>
        <w:rPr>
          <w:spacing w:val="-14"/>
        </w:rPr>
        <w:t xml:space="preserve"> </w:t>
      </w:r>
      <w:r>
        <w:t>remains</w:t>
      </w:r>
      <w:r>
        <w:rPr>
          <w:spacing w:val="-13"/>
        </w:rPr>
        <w:t xml:space="preserve"> </w:t>
      </w:r>
      <w:r>
        <w:t>the</w:t>
      </w:r>
      <w:r>
        <w:rPr>
          <w:spacing w:val="-14"/>
        </w:rPr>
        <w:t xml:space="preserve"> </w:t>
      </w:r>
      <w:r>
        <w:t>view</w:t>
      </w:r>
      <w:r>
        <w:rPr>
          <w:spacing w:val="-14"/>
        </w:rPr>
        <w:t xml:space="preserve"> </w:t>
      </w:r>
      <w:r>
        <w:t>of</w:t>
      </w:r>
      <w:r>
        <w:rPr>
          <w:spacing w:val="-14"/>
        </w:rPr>
        <w:t xml:space="preserve"> </w:t>
      </w:r>
      <w:r>
        <w:t>the</w:t>
      </w:r>
      <w:r>
        <w:rPr>
          <w:spacing w:val="-13"/>
        </w:rPr>
        <w:t xml:space="preserve"> </w:t>
      </w:r>
      <w:r>
        <w:t>TLRI</w:t>
      </w:r>
      <w:r>
        <w:rPr>
          <w:spacing w:val="-14"/>
        </w:rPr>
        <w:t xml:space="preserve"> </w:t>
      </w:r>
      <w:r>
        <w:t>that</w:t>
      </w:r>
      <w:r>
        <w:rPr>
          <w:spacing w:val="-14"/>
        </w:rPr>
        <w:t xml:space="preserve"> </w:t>
      </w:r>
      <w:r>
        <w:t>the</w:t>
      </w:r>
      <w:r>
        <w:rPr>
          <w:spacing w:val="-14"/>
        </w:rPr>
        <w:t xml:space="preserve"> </w:t>
      </w:r>
      <w:r>
        <w:t>approach</w:t>
      </w:r>
      <w:r>
        <w:rPr>
          <w:spacing w:val="-13"/>
        </w:rPr>
        <w:t xml:space="preserve"> </w:t>
      </w:r>
      <w:r>
        <w:t>of</w:t>
      </w:r>
      <w:r>
        <w:rPr>
          <w:spacing w:val="-14"/>
        </w:rPr>
        <w:t xml:space="preserve"> </w:t>
      </w:r>
      <w:r>
        <w:t>Perry</w:t>
      </w:r>
      <w:r>
        <w:rPr>
          <w:spacing w:val="-14"/>
        </w:rPr>
        <w:t xml:space="preserve"> </w:t>
      </w:r>
      <w:r>
        <w:t>J</w:t>
      </w:r>
      <w:r>
        <w:rPr>
          <w:spacing w:val="-14"/>
        </w:rPr>
        <w:t xml:space="preserve"> </w:t>
      </w:r>
      <w:r>
        <w:t>addresses any issues of unconstitutionality that may arise from requiring courts to develop the common law to reflect human</w:t>
      </w:r>
      <w:r>
        <w:rPr>
          <w:spacing w:val="-2"/>
        </w:rPr>
        <w:t xml:space="preserve"> </w:t>
      </w:r>
      <w:r>
        <w:t>rights. The</w:t>
      </w:r>
      <w:r>
        <w:rPr>
          <w:spacing w:val="-3"/>
        </w:rPr>
        <w:t xml:space="preserve"> </w:t>
      </w:r>
      <w:r>
        <w:t>TLRI</w:t>
      </w:r>
      <w:r>
        <w:rPr>
          <w:spacing w:val="-2"/>
        </w:rPr>
        <w:t xml:space="preserve"> </w:t>
      </w:r>
      <w:r>
        <w:t>adheres</w:t>
      </w:r>
      <w:r>
        <w:rPr>
          <w:spacing w:val="-2"/>
        </w:rPr>
        <w:t xml:space="preserve"> </w:t>
      </w:r>
      <w:r>
        <w:t>to Recommendation 11 of</w:t>
      </w:r>
      <w:r>
        <w:rPr>
          <w:spacing w:val="-2"/>
        </w:rPr>
        <w:t xml:space="preserve"> </w:t>
      </w:r>
      <w:r>
        <w:t>the</w:t>
      </w:r>
      <w:r>
        <w:rPr>
          <w:spacing w:val="-2"/>
        </w:rPr>
        <w:t xml:space="preserve"> </w:t>
      </w:r>
      <w:r>
        <w:t>2007 Final</w:t>
      </w:r>
      <w:r>
        <w:rPr>
          <w:spacing w:val="-1"/>
        </w:rPr>
        <w:t xml:space="preserve"> </w:t>
      </w:r>
      <w:r>
        <w:t>Report</w:t>
      </w:r>
      <w:r>
        <w:rPr>
          <w:spacing w:val="-1"/>
        </w:rPr>
        <w:t xml:space="preserve"> </w:t>
      </w:r>
      <w:r>
        <w:t>in relation</w:t>
      </w:r>
      <w:r>
        <w:rPr>
          <w:spacing w:val="-2"/>
        </w:rPr>
        <w:t xml:space="preserve"> </w:t>
      </w:r>
      <w:r>
        <w:t>to the</w:t>
      </w:r>
      <w:r>
        <w:rPr>
          <w:spacing w:val="-14"/>
        </w:rPr>
        <w:t xml:space="preserve"> </w:t>
      </w:r>
      <w:r>
        <w:t>role</w:t>
      </w:r>
      <w:r>
        <w:rPr>
          <w:spacing w:val="-14"/>
        </w:rPr>
        <w:t xml:space="preserve"> </w:t>
      </w:r>
      <w:r>
        <w:t>of</w:t>
      </w:r>
      <w:r>
        <w:rPr>
          <w:spacing w:val="-14"/>
        </w:rPr>
        <w:t xml:space="preserve"> </w:t>
      </w:r>
      <w:r>
        <w:t>courts</w:t>
      </w:r>
      <w:r>
        <w:rPr>
          <w:spacing w:val="-13"/>
        </w:rPr>
        <w:t xml:space="preserve"> </w:t>
      </w:r>
      <w:r>
        <w:t>in</w:t>
      </w:r>
      <w:r>
        <w:rPr>
          <w:spacing w:val="-14"/>
        </w:rPr>
        <w:t xml:space="preserve"> </w:t>
      </w:r>
      <w:r>
        <w:t>interpreting</w:t>
      </w:r>
      <w:r>
        <w:rPr>
          <w:spacing w:val="-14"/>
        </w:rPr>
        <w:t xml:space="preserve"> </w:t>
      </w:r>
      <w:r>
        <w:t>Tasmanian</w:t>
      </w:r>
      <w:r>
        <w:rPr>
          <w:spacing w:val="-13"/>
        </w:rPr>
        <w:t xml:space="preserve"> </w:t>
      </w:r>
      <w:r>
        <w:t>laws.</w:t>
      </w:r>
      <w:r>
        <w:rPr>
          <w:spacing w:val="-10"/>
        </w:rPr>
        <w:t xml:space="preserve"> </w:t>
      </w:r>
      <w:r>
        <w:t>The</w:t>
      </w:r>
      <w:r>
        <w:rPr>
          <w:spacing w:val="-13"/>
        </w:rPr>
        <w:t xml:space="preserve"> </w:t>
      </w:r>
      <w:r>
        <w:t>TLRI</w:t>
      </w:r>
      <w:r>
        <w:rPr>
          <w:spacing w:val="-14"/>
        </w:rPr>
        <w:t xml:space="preserve"> </w:t>
      </w:r>
      <w:r>
        <w:t>maintains</w:t>
      </w:r>
      <w:r>
        <w:rPr>
          <w:spacing w:val="-13"/>
        </w:rPr>
        <w:t xml:space="preserve"> </w:t>
      </w:r>
      <w:r>
        <w:t>the</w:t>
      </w:r>
      <w:r>
        <w:rPr>
          <w:spacing w:val="-13"/>
        </w:rPr>
        <w:t xml:space="preserve"> </w:t>
      </w:r>
      <w:r>
        <w:t>view</w:t>
      </w:r>
      <w:r>
        <w:rPr>
          <w:spacing w:val="-14"/>
        </w:rPr>
        <w:t xml:space="preserve"> </w:t>
      </w:r>
      <w:r>
        <w:t>that</w:t>
      </w:r>
      <w:r>
        <w:rPr>
          <w:spacing w:val="-14"/>
        </w:rPr>
        <w:t xml:space="preserve"> </w:t>
      </w:r>
      <w:r>
        <w:t>a</w:t>
      </w:r>
      <w:r>
        <w:rPr>
          <w:spacing w:val="-13"/>
        </w:rPr>
        <w:t xml:space="preserve"> </w:t>
      </w:r>
      <w:r>
        <w:t>Tasmanian</w:t>
      </w:r>
      <w:r>
        <w:rPr>
          <w:spacing w:val="-13"/>
        </w:rPr>
        <w:t xml:space="preserve"> </w:t>
      </w:r>
      <w:r>
        <w:t>human rights enactment should apply to the common law as well as statutory law (Recommendation 11) and should</w:t>
      </w:r>
      <w:r>
        <w:rPr>
          <w:spacing w:val="-2"/>
        </w:rPr>
        <w:t xml:space="preserve"> </w:t>
      </w:r>
      <w:r>
        <w:t>include</w:t>
      </w:r>
      <w:r>
        <w:rPr>
          <w:spacing w:val="-2"/>
        </w:rPr>
        <w:t xml:space="preserve"> </w:t>
      </w:r>
      <w:r>
        <w:t>‘explicit</w:t>
      </w:r>
      <w:r>
        <w:rPr>
          <w:spacing w:val="-1"/>
        </w:rPr>
        <w:t xml:space="preserve"> </w:t>
      </w:r>
      <w:r>
        <w:t>provision</w:t>
      </w:r>
      <w:r>
        <w:rPr>
          <w:spacing w:val="-2"/>
        </w:rPr>
        <w:t xml:space="preserve"> </w:t>
      </w:r>
      <w:r>
        <w:t>to</w:t>
      </w:r>
      <w:r>
        <w:rPr>
          <w:spacing w:val="-2"/>
        </w:rPr>
        <w:t xml:space="preserve"> </w:t>
      </w:r>
      <w:r>
        <w:t>the</w:t>
      </w:r>
      <w:r>
        <w:rPr>
          <w:spacing w:val="-2"/>
        </w:rPr>
        <w:t xml:space="preserve"> </w:t>
      </w:r>
      <w:r>
        <w:t>effect</w:t>
      </w:r>
      <w:r>
        <w:rPr>
          <w:spacing w:val="-1"/>
        </w:rPr>
        <w:t xml:space="preserve"> </w:t>
      </w:r>
      <w:r>
        <w:t>that</w:t>
      </w:r>
      <w:r>
        <w:rPr>
          <w:spacing w:val="-1"/>
        </w:rPr>
        <w:t xml:space="preserve"> </w:t>
      </w:r>
      <w:r>
        <w:t>all</w:t>
      </w:r>
      <w:r>
        <w:rPr>
          <w:spacing w:val="-4"/>
        </w:rPr>
        <w:t xml:space="preserve"> </w:t>
      </w:r>
      <w:r>
        <w:t>non-statutory</w:t>
      </w:r>
      <w:r>
        <w:rPr>
          <w:spacing w:val="-2"/>
        </w:rPr>
        <w:t xml:space="preserve"> </w:t>
      </w:r>
      <w:r>
        <w:t>law,</w:t>
      </w:r>
      <w:r>
        <w:rPr>
          <w:spacing w:val="-2"/>
        </w:rPr>
        <w:t xml:space="preserve"> </w:t>
      </w:r>
      <w:r>
        <w:t>including</w:t>
      </w:r>
      <w:r>
        <w:rPr>
          <w:spacing w:val="-2"/>
        </w:rPr>
        <w:t xml:space="preserve"> </w:t>
      </w:r>
      <w:r>
        <w:t>the</w:t>
      </w:r>
      <w:r>
        <w:rPr>
          <w:spacing w:val="-2"/>
        </w:rPr>
        <w:t xml:space="preserve"> </w:t>
      </w:r>
      <w:r>
        <w:t>substantive</w:t>
      </w:r>
      <w:r>
        <w:rPr>
          <w:spacing w:val="-2"/>
        </w:rPr>
        <w:t xml:space="preserve"> </w:t>
      </w:r>
      <w:r>
        <w:t>and adjectival</w:t>
      </w:r>
      <w:r>
        <w:rPr>
          <w:spacing w:val="-4"/>
        </w:rPr>
        <w:t xml:space="preserve"> </w:t>
      </w:r>
      <w:r>
        <w:t>(procedural)</w:t>
      </w:r>
      <w:r>
        <w:rPr>
          <w:spacing w:val="-4"/>
        </w:rPr>
        <w:t xml:space="preserve"> </w:t>
      </w:r>
      <w:r>
        <w:t>law,</w:t>
      </w:r>
      <w:r>
        <w:rPr>
          <w:spacing w:val="-7"/>
        </w:rPr>
        <w:t xml:space="preserve"> </w:t>
      </w:r>
      <w:r>
        <w:t>is</w:t>
      </w:r>
      <w:r>
        <w:rPr>
          <w:spacing w:val="-4"/>
        </w:rPr>
        <w:t xml:space="preserve"> </w:t>
      </w:r>
      <w:r>
        <w:t>amended</w:t>
      </w:r>
      <w:r>
        <w:rPr>
          <w:spacing w:val="-4"/>
        </w:rPr>
        <w:t xml:space="preserve"> </w:t>
      </w:r>
      <w:r>
        <w:t>by</w:t>
      </w:r>
      <w:r>
        <w:rPr>
          <w:spacing w:val="-7"/>
        </w:rPr>
        <w:t xml:space="preserve"> </w:t>
      </w:r>
      <w:r>
        <w:t>the</w:t>
      </w:r>
      <w:r>
        <w:rPr>
          <w:spacing w:val="-4"/>
        </w:rPr>
        <w:t xml:space="preserve"> </w:t>
      </w:r>
      <w:r>
        <w:t>Charter</w:t>
      </w:r>
      <w:r>
        <w:rPr>
          <w:spacing w:val="-6"/>
        </w:rPr>
        <w:t xml:space="preserve"> </w:t>
      </w:r>
      <w:r>
        <w:t>so</w:t>
      </w:r>
      <w:r>
        <w:rPr>
          <w:spacing w:val="-4"/>
        </w:rPr>
        <w:t xml:space="preserve"> </w:t>
      </w:r>
      <w:r>
        <w:t>as</w:t>
      </w:r>
      <w:r>
        <w:rPr>
          <w:spacing w:val="-6"/>
        </w:rPr>
        <w:t xml:space="preserve"> </w:t>
      </w:r>
      <w:r>
        <w:t>to</w:t>
      </w:r>
      <w:r>
        <w:rPr>
          <w:spacing w:val="-5"/>
        </w:rPr>
        <w:t xml:space="preserve"> </w:t>
      </w:r>
      <w:r>
        <w:t>conform</w:t>
      </w:r>
      <w:r>
        <w:rPr>
          <w:spacing w:val="-6"/>
        </w:rPr>
        <w:t xml:space="preserve"> </w:t>
      </w:r>
      <w:r>
        <w:t>to</w:t>
      </w:r>
      <w:r>
        <w:rPr>
          <w:spacing w:val="-5"/>
        </w:rPr>
        <w:t xml:space="preserve"> </w:t>
      </w:r>
      <w:r>
        <w:t>human</w:t>
      </w:r>
      <w:r>
        <w:rPr>
          <w:spacing w:val="-4"/>
        </w:rPr>
        <w:t xml:space="preserve"> </w:t>
      </w:r>
      <w:r>
        <w:t>rights</w:t>
      </w:r>
      <w:r>
        <w:rPr>
          <w:spacing w:val="-4"/>
        </w:rPr>
        <w:t xml:space="preserve"> </w:t>
      </w:r>
      <w:r>
        <w:t>as</w:t>
      </w:r>
      <w:r>
        <w:rPr>
          <w:spacing w:val="-6"/>
        </w:rPr>
        <w:t xml:space="preserve"> </w:t>
      </w:r>
      <w:r>
        <w:t>defined</w:t>
      </w:r>
      <w:r>
        <w:rPr>
          <w:spacing w:val="-5"/>
        </w:rPr>
        <w:t xml:space="preserve"> </w:t>
      </w:r>
      <w:r>
        <w:t>and limited</w:t>
      </w:r>
      <w:r>
        <w:rPr>
          <w:spacing w:val="-13"/>
        </w:rPr>
        <w:t xml:space="preserve"> </w:t>
      </w:r>
      <w:r>
        <w:t>in</w:t>
      </w:r>
      <w:r>
        <w:rPr>
          <w:spacing w:val="-13"/>
        </w:rPr>
        <w:t xml:space="preserve"> </w:t>
      </w:r>
      <w:r>
        <w:t>the</w:t>
      </w:r>
      <w:r>
        <w:rPr>
          <w:spacing w:val="-13"/>
        </w:rPr>
        <w:t xml:space="preserve"> </w:t>
      </w:r>
      <w:r>
        <w:t>Charter,</w:t>
      </w:r>
      <w:r>
        <w:rPr>
          <w:spacing w:val="-11"/>
        </w:rPr>
        <w:t xml:space="preserve"> </w:t>
      </w:r>
      <w:r>
        <w:t>and</w:t>
      </w:r>
      <w:r>
        <w:rPr>
          <w:spacing w:val="-11"/>
        </w:rPr>
        <w:t xml:space="preserve"> </w:t>
      </w:r>
      <w:r>
        <w:t>that</w:t>
      </w:r>
      <w:r>
        <w:rPr>
          <w:spacing w:val="-10"/>
        </w:rPr>
        <w:t xml:space="preserve"> </w:t>
      </w:r>
      <w:r>
        <w:t>any</w:t>
      </w:r>
      <w:r>
        <w:rPr>
          <w:spacing w:val="-11"/>
        </w:rPr>
        <w:t xml:space="preserve"> </w:t>
      </w:r>
      <w:r>
        <w:t>conflict</w:t>
      </w:r>
      <w:r>
        <w:rPr>
          <w:spacing w:val="-10"/>
        </w:rPr>
        <w:t xml:space="preserve"> </w:t>
      </w:r>
      <w:r>
        <w:t>with</w:t>
      </w:r>
      <w:r>
        <w:rPr>
          <w:spacing w:val="-11"/>
        </w:rPr>
        <w:t xml:space="preserve"> </w:t>
      </w:r>
      <w:r>
        <w:t>Charter</w:t>
      </w:r>
      <w:r>
        <w:rPr>
          <w:spacing w:val="-10"/>
        </w:rPr>
        <w:t xml:space="preserve"> </w:t>
      </w:r>
      <w:r>
        <w:t>rights</w:t>
      </w:r>
      <w:r>
        <w:rPr>
          <w:spacing w:val="-13"/>
        </w:rPr>
        <w:t xml:space="preserve"> </w:t>
      </w:r>
      <w:r>
        <w:t>is</w:t>
      </w:r>
      <w:r>
        <w:rPr>
          <w:spacing w:val="-13"/>
        </w:rPr>
        <w:t xml:space="preserve"> </w:t>
      </w:r>
      <w:r>
        <w:t>to</w:t>
      </w:r>
      <w:r>
        <w:rPr>
          <w:spacing w:val="-11"/>
        </w:rPr>
        <w:t xml:space="preserve"> </w:t>
      </w:r>
      <w:r>
        <w:t>be</w:t>
      </w:r>
      <w:r>
        <w:rPr>
          <w:spacing w:val="-13"/>
        </w:rPr>
        <w:t xml:space="preserve"> </w:t>
      </w:r>
      <w:r>
        <w:t>resolved</w:t>
      </w:r>
      <w:r>
        <w:rPr>
          <w:spacing w:val="-13"/>
        </w:rPr>
        <w:t xml:space="preserve"> </w:t>
      </w:r>
      <w:r>
        <w:t>in</w:t>
      </w:r>
      <w:r>
        <w:rPr>
          <w:spacing w:val="-13"/>
        </w:rPr>
        <w:t xml:space="preserve"> </w:t>
      </w:r>
      <w:r>
        <w:t>favour</w:t>
      </w:r>
      <w:r>
        <w:rPr>
          <w:spacing w:val="-12"/>
        </w:rPr>
        <w:t xml:space="preserve"> </w:t>
      </w:r>
      <w:r>
        <w:t>of</w:t>
      </w:r>
      <w:r>
        <w:rPr>
          <w:spacing w:val="-13"/>
        </w:rPr>
        <w:t xml:space="preserve"> </w:t>
      </w:r>
      <w:r>
        <w:t>the</w:t>
      </w:r>
      <w:r>
        <w:rPr>
          <w:spacing w:val="-11"/>
        </w:rPr>
        <w:t xml:space="preserve"> </w:t>
      </w:r>
      <w:r>
        <w:t>Charter’ (Recommendation 8).</w:t>
      </w:r>
    </w:p>
    <w:p w14:paraId="7CB260E7" w14:textId="77777777" w:rsidR="008A4099" w:rsidRDefault="006A6EE2">
      <w:pPr>
        <w:pStyle w:val="Heading4"/>
        <w:spacing w:before="237"/>
      </w:pPr>
      <w:bookmarkStart w:id="33" w:name="_TOC_250027"/>
      <w:r>
        <w:t>Courts</w:t>
      </w:r>
      <w:r>
        <w:rPr>
          <w:spacing w:val="-3"/>
        </w:rPr>
        <w:t xml:space="preserve"> </w:t>
      </w:r>
      <w:r>
        <w:t>and</w:t>
      </w:r>
      <w:r>
        <w:rPr>
          <w:spacing w:val="-1"/>
        </w:rPr>
        <w:t xml:space="preserve"> </w:t>
      </w:r>
      <w:r>
        <w:t>tribunals</w:t>
      </w:r>
      <w:r>
        <w:rPr>
          <w:spacing w:val="-3"/>
        </w:rPr>
        <w:t xml:space="preserve"> </w:t>
      </w:r>
      <w:r>
        <w:t>as</w:t>
      </w:r>
      <w:r>
        <w:rPr>
          <w:spacing w:val="-2"/>
        </w:rPr>
        <w:t xml:space="preserve"> </w:t>
      </w:r>
      <w:r>
        <w:t>public</w:t>
      </w:r>
      <w:r>
        <w:rPr>
          <w:spacing w:val="-1"/>
        </w:rPr>
        <w:t xml:space="preserve"> </w:t>
      </w:r>
      <w:bookmarkEnd w:id="33"/>
      <w:r>
        <w:rPr>
          <w:spacing w:val="-2"/>
        </w:rPr>
        <w:t>authorities</w:t>
      </w:r>
    </w:p>
    <w:p w14:paraId="7CB260E8" w14:textId="77777777" w:rsidR="008A4099" w:rsidRDefault="006A6EE2">
      <w:pPr>
        <w:pStyle w:val="ListParagraph"/>
        <w:numPr>
          <w:ilvl w:val="2"/>
          <w:numId w:val="3"/>
        </w:numPr>
        <w:tabs>
          <w:tab w:val="left" w:pos="879"/>
        </w:tabs>
        <w:spacing w:before="261" w:line="242" w:lineRule="auto"/>
        <w:ind w:right="676" w:firstLine="0"/>
        <w:jc w:val="both"/>
      </w:pPr>
      <w:r>
        <w:t>A separate question is the application of a human rights enactment to courts and tribunals as public authorities. As noted, there are distinct functions for courts and tribunals under a human rights enactment, including an interpretative role (as discussed at [4.2.16]–[4.2.20]) and an enforcement role (as discussed at [4.5]). Courts and tribunals may also be required to comply with a human rights enactment</w:t>
      </w:r>
      <w:r>
        <w:rPr>
          <w:spacing w:val="-6"/>
        </w:rPr>
        <w:t xml:space="preserve"> </w:t>
      </w:r>
      <w:r>
        <w:t>as</w:t>
      </w:r>
      <w:r>
        <w:rPr>
          <w:spacing w:val="-4"/>
        </w:rPr>
        <w:t xml:space="preserve"> </w:t>
      </w:r>
      <w:r>
        <w:t>a</w:t>
      </w:r>
      <w:r>
        <w:rPr>
          <w:spacing w:val="-3"/>
        </w:rPr>
        <w:t xml:space="preserve"> </w:t>
      </w:r>
      <w:r>
        <w:t>public</w:t>
      </w:r>
      <w:r>
        <w:rPr>
          <w:spacing w:val="-4"/>
        </w:rPr>
        <w:t xml:space="preserve"> </w:t>
      </w:r>
      <w:r>
        <w:t>authority</w:t>
      </w:r>
      <w:r>
        <w:rPr>
          <w:spacing w:val="-5"/>
        </w:rPr>
        <w:t xml:space="preserve"> </w:t>
      </w:r>
      <w:r>
        <w:t>(a</w:t>
      </w:r>
      <w:r>
        <w:rPr>
          <w:spacing w:val="-7"/>
        </w:rPr>
        <w:t xml:space="preserve"> </w:t>
      </w:r>
      <w:r>
        <w:t>compliance</w:t>
      </w:r>
      <w:r>
        <w:rPr>
          <w:spacing w:val="-4"/>
        </w:rPr>
        <w:t xml:space="preserve"> </w:t>
      </w:r>
      <w:r>
        <w:t>function).</w:t>
      </w:r>
      <w:r>
        <w:rPr>
          <w:vertAlign w:val="superscript"/>
        </w:rPr>
        <w:t>375</w:t>
      </w:r>
      <w:r>
        <w:rPr>
          <w:spacing w:val="-5"/>
        </w:rPr>
        <w:t xml:space="preserve"> </w:t>
      </w:r>
      <w:r>
        <w:t>The</w:t>
      </w:r>
      <w:r>
        <w:rPr>
          <w:spacing w:val="-4"/>
        </w:rPr>
        <w:t xml:space="preserve"> </w:t>
      </w:r>
      <w:r>
        <w:t>issue</w:t>
      </w:r>
      <w:r>
        <w:rPr>
          <w:spacing w:val="-4"/>
        </w:rPr>
        <w:t xml:space="preserve"> </w:t>
      </w:r>
      <w:r>
        <w:t>of</w:t>
      </w:r>
      <w:r>
        <w:rPr>
          <w:spacing w:val="-4"/>
        </w:rPr>
        <w:t xml:space="preserve"> </w:t>
      </w:r>
      <w:r>
        <w:t>how</w:t>
      </w:r>
      <w:r>
        <w:rPr>
          <w:spacing w:val="-6"/>
        </w:rPr>
        <w:t xml:space="preserve"> </w:t>
      </w:r>
      <w:r>
        <w:t>a</w:t>
      </w:r>
      <w:r>
        <w:rPr>
          <w:spacing w:val="-4"/>
        </w:rPr>
        <w:t xml:space="preserve"> </w:t>
      </w:r>
      <w:r>
        <w:t>human</w:t>
      </w:r>
      <w:r>
        <w:rPr>
          <w:spacing w:val="-7"/>
        </w:rPr>
        <w:t xml:space="preserve"> </w:t>
      </w:r>
      <w:r>
        <w:t>rights</w:t>
      </w:r>
      <w:r>
        <w:rPr>
          <w:spacing w:val="-4"/>
        </w:rPr>
        <w:t xml:space="preserve"> </w:t>
      </w:r>
      <w:r>
        <w:t>enactment should apply to the courts as a public authority involves a consideration of whether a human rights enactment should apply to courts and tribunals when acting in an administrative capacity.</w:t>
      </w:r>
    </w:p>
    <w:p w14:paraId="7CB260E9" w14:textId="77777777" w:rsidR="008A4099" w:rsidRDefault="006A6EE2">
      <w:pPr>
        <w:pStyle w:val="ListParagraph"/>
        <w:numPr>
          <w:ilvl w:val="2"/>
          <w:numId w:val="3"/>
        </w:numPr>
        <w:tabs>
          <w:tab w:val="left" w:pos="879"/>
        </w:tabs>
        <w:spacing w:before="216"/>
        <w:ind w:right="675" w:firstLine="0"/>
        <w:jc w:val="both"/>
      </w:pPr>
      <w:r>
        <w:t>Considering developments in the Review Period, the TLRI has re-examined its 2007 recommendations relating to the application of a human rights enactment to courts and tribunals as public authorities.</w:t>
      </w:r>
    </w:p>
    <w:p w14:paraId="7CB260EA" w14:textId="77777777" w:rsidR="008A4099" w:rsidRDefault="006A6EE2">
      <w:pPr>
        <w:pStyle w:val="Heading5"/>
        <w:spacing w:before="238"/>
      </w:pPr>
      <w:r>
        <w:t>2007</w:t>
      </w:r>
      <w:r>
        <w:rPr>
          <w:spacing w:val="-3"/>
        </w:rPr>
        <w:t xml:space="preserve"> </w:t>
      </w:r>
      <w:r>
        <w:t>Final</w:t>
      </w:r>
      <w:r>
        <w:rPr>
          <w:spacing w:val="-1"/>
        </w:rPr>
        <w:t xml:space="preserve"> </w:t>
      </w:r>
      <w:r>
        <w:t>Report</w:t>
      </w:r>
      <w:r>
        <w:rPr>
          <w:spacing w:val="-1"/>
        </w:rPr>
        <w:t xml:space="preserve"> </w:t>
      </w:r>
      <w:r>
        <w:t>and</w:t>
      </w:r>
      <w:r>
        <w:rPr>
          <w:spacing w:val="-5"/>
        </w:rPr>
        <w:t xml:space="preserve"> </w:t>
      </w:r>
      <w:r>
        <w:t>subsequent</w:t>
      </w:r>
      <w:r>
        <w:rPr>
          <w:spacing w:val="-4"/>
        </w:rPr>
        <w:t xml:space="preserve"> </w:t>
      </w:r>
      <w:r>
        <w:rPr>
          <w:spacing w:val="-2"/>
        </w:rPr>
        <w:t>developments</w:t>
      </w:r>
    </w:p>
    <w:p w14:paraId="7CB260EB" w14:textId="77777777" w:rsidR="008A4099" w:rsidRDefault="008A4099">
      <w:pPr>
        <w:pStyle w:val="BodyText"/>
        <w:spacing w:before="23"/>
        <w:rPr>
          <w:b/>
        </w:rPr>
      </w:pPr>
    </w:p>
    <w:p w14:paraId="7CB260EC" w14:textId="77777777" w:rsidR="008A4099" w:rsidRDefault="006A6EE2">
      <w:pPr>
        <w:pStyle w:val="ListParagraph"/>
        <w:numPr>
          <w:ilvl w:val="2"/>
          <w:numId w:val="3"/>
        </w:numPr>
        <w:tabs>
          <w:tab w:val="left" w:pos="879"/>
        </w:tabs>
        <w:spacing w:before="0"/>
        <w:ind w:right="681" w:firstLine="0"/>
        <w:jc w:val="both"/>
      </w:pPr>
      <w:r>
        <w:t>In the 2007 Final Report, the TLRI recommended that the definition of a ‘public authority’ should include tribunals and the courts (Recommendation 8). This recommendation (in conjunction with Recommendation 11) was concerned with binding the courts in their interpretative function.</w:t>
      </w:r>
    </w:p>
    <w:p w14:paraId="7CB260ED" w14:textId="77777777" w:rsidR="008A4099" w:rsidRDefault="006A6EE2">
      <w:pPr>
        <w:pStyle w:val="ListParagraph"/>
        <w:numPr>
          <w:ilvl w:val="2"/>
          <w:numId w:val="3"/>
        </w:numPr>
        <w:tabs>
          <w:tab w:val="left" w:pos="879"/>
        </w:tabs>
        <w:spacing w:before="216" w:line="242" w:lineRule="auto"/>
        <w:ind w:right="673" w:firstLine="0"/>
        <w:jc w:val="both"/>
      </w:pPr>
      <w:r>
        <w:t>The approach taken in the</w:t>
      </w:r>
      <w:r>
        <w:rPr>
          <w:spacing w:val="-1"/>
        </w:rPr>
        <w:t xml:space="preserve"> </w:t>
      </w:r>
      <w:r>
        <w:t>2007 Final Report was different from that taken</w:t>
      </w:r>
      <w:r>
        <w:rPr>
          <w:spacing w:val="-1"/>
        </w:rPr>
        <w:t xml:space="preserve"> </w:t>
      </w:r>
      <w:r>
        <w:t>in other Australian jurisdictions</w:t>
      </w:r>
      <w:r>
        <w:rPr>
          <w:spacing w:val="-9"/>
        </w:rPr>
        <w:t xml:space="preserve"> </w:t>
      </w:r>
      <w:r>
        <w:t>with</w:t>
      </w:r>
      <w:r>
        <w:rPr>
          <w:spacing w:val="-10"/>
        </w:rPr>
        <w:t xml:space="preserve"> </w:t>
      </w:r>
      <w:r>
        <w:t>human</w:t>
      </w:r>
      <w:r>
        <w:rPr>
          <w:spacing w:val="-9"/>
        </w:rPr>
        <w:t xml:space="preserve"> </w:t>
      </w:r>
      <w:r>
        <w:t>rights</w:t>
      </w:r>
      <w:r>
        <w:rPr>
          <w:spacing w:val="-9"/>
        </w:rPr>
        <w:t xml:space="preserve"> </w:t>
      </w:r>
      <w:r>
        <w:t>enactments</w:t>
      </w:r>
      <w:r>
        <w:rPr>
          <w:spacing w:val="-9"/>
        </w:rPr>
        <w:t xml:space="preserve"> </w:t>
      </w:r>
      <w:r>
        <w:t>(the</w:t>
      </w:r>
      <w:r>
        <w:rPr>
          <w:spacing w:val="-9"/>
        </w:rPr>
        <w:t xml:space="preserve"> </w:t>
      </w:r>
      <w:r>
        <w:t>ACT,</w:t>
      </w:r>
      <w:r>
        <w:rPr>
          <w:spacing w:val="-10"/>
        </w:rPr>
        <w:t xml:space="preserve"> </w:t>
      </w:r>
      <w:r>
        <w:t>Queensland,</w:t>
      </w:r>
      <w:r>
        <w:rPr>
          <w:spacing w:val="-9"/>
        </w:rPr>
        <w:t xml:space="preserve"> </w:t>
      </w:r>
      <w:r>
        <w:t>and</w:t>
      </w:r>
      <w:r>
        <w:rPr>
          <w:spacing w:val="-10"/>
        </w:rPr>
        <w:t xml:space="preserve"> </w:t>
      </w:r>
      <w:r>
        <w:t>Victoria).</w:t>
      </w:r>
      <w:r>
        <w:rPr>
          <w:spacing w:val="-10"/>
        </w:rPr>
        <w:t xml:space="preserve"> </w:t>
      </w:r>
      <w:r>
        <w:t>In</w:t>
      </w:r>
      <w:r>
        <w:rPr>
          <w:spacing w:val="-10"/>
        </w:rPr>
        <w:t xml:space="preserve"> </w:t>
      </w:r>
      <w:r>
        <w:t>these</w:t>
      </w:r>
      <w:r>
        <w:rPr>
          <w:spacing w:val="-9"/>
        </w:rPr>
        <w:t xml:space="preserve"> </w:t>
      </w:r>
      <w:r>
        <w:t>jurisdictions, courts and tribunals have been treated differently from most other public authorities and have been specifically</w:t>
      </w:r>
      <w:r>
        <w:rPr>
          <w:spacing w:val="-9"/>
        </w:rPr>
        <w:t xml:space="preserve"> </w:t>
      </w:r>
      <w:r>
        <w:t>excluded</w:t>
      </w:r>
      <w:r>
        <w:rPr>
          <w:spacing w:val="-8"/>
        </w:rPr>
        <w:t xml:space="preserve"> </w:t>
      </w:r>
      <w:r>
        <w:t>from</w:t>
      </w:r>
      <w:r>
        <w:rPr>
          <w:spacing w:val="-8"/>
        </w:rPr>
        <w:t xml:space="preserve"> </w:t>
      </w:r>
      <w:r>
        <w:t>the</w:t>
      </w:r>
      <w:r>
        <w:rPr>
          <w:spacing w:val="-6"/>
        </w:rPr>
        <w:t xml:space="preserve"> </w:t>
      </w:r>
      <w:r>
        <w:t>human</w:t>
      </w:r>
      <w:r>
        <w:rPr>
          <w:spacing w:val="-9"/>
        </w:rPr>
        <w:t xml:space="preserve"> </w:t>
      </w:r>
      <w:r>
        <w:t>rights</w:t>
      </w:r>
      <w:r>
        <w:rPr>
          <w:spacing w:val="-8"/>
        </w:rPr>
        <w:t xml:space="preserve"> </w:t>
      </w:r>
      <w:r>
        <w:t>obligations</w:t>
      </w:r>
      <w:r>
        <w:rPr>
          <w:spacing w:val="-8"/>
        </w:rPr>
        <w:t xml:space="preserve"> </w:t>
      </w:r>
      <w:r>
        <w:t>imposed</w:t>
      </w:r>
      <w:r>
        <w:rPr>
          <w:spacing w:val="-8"/>
        </w:rPr>
        <w:t xml:space="preserve"> </w:t>
      </w:r>
      <w:r>
        <w:t>on</w:t>
      </w:r>
      <w:r>
        <w:rPr>
          <w:spacing w:val="-9"/>
        </w:rPr>
        <w:t xml:space="preserve"> </w:t>
      </w:r>
      <w:r>
        <w:t>public</w:t>
      </w:r>
      <w:r>
        <w:rPr>
          <w:spacing w:val="-8"/>
        </w:rPr>
        <w:t xml:space="preserve"> </w:t>
      </w:r>
      <w:r>
        <w:t>authorities,</w:t>
      </w:r>
      <w:r>
        <w:rPr>
          <w:spacing w:val="-9"/>
        </w:rPr>
        <w:t xml:space="preserve"> </w:t>
      </w:r>
      <w:r>
        <w:t>other</w:t>
      </w:r>
      <w:r>
        <w:rPr>
          <w:spacing w:val="-10"/>
        </w:rPr>
        <w:t xml:space="preserve"> </w:t>
      </w:r>
      <w:r>
        <w:t>than</w:t>
      </w:r>
      <w:r>
        <w:rPr>
          <w:spacing w:val="-8"/>
        </w:rPr>
        <w:t xml:space="preserve"> </w:t>
      </w:r>
      <w:r>
        <w:t>when they are performing administrative functions.</w:t>
      </w:r>
      <w:r>
        <w:rPr>
          <w:vertAlign w:val="superscript"/>
        </w:rPr>
        <w:t>376</w:t>
      </w:r>
      <w:r>
        <w:t xml:space="preserve"> The Australian Human Rights Commission’s 2023 Position</w:t>
      </w:r>
      <w:r>
        <w:rPr>
          <w:spacing w:val="14"/>
        </w:rPr>
        <w:t xml:space="preserve"> </w:t>
      </w:r>
      <w:r>
        <w:t>Paper,</w:t>
      </w:r>
      <w:r>
        <w:rPr>
          <w:spacing w:val="17"/>
        </w:rPr>
        <w:t xml:space="preserve"> </w:t>
      </w:r>
      <w:r>
        <w:rPr>
          <w:i/>
        </w:rPr>
        <w:t>A</w:t>
      </w:r>
      <w:r>
        <w:rPr>
          <w:i/>
          <w:spacing w:val="16"/>
        </w:rPr>
        <w:t xml:space="preserve"> </w:t>
      </w:r>
      <w:r>
        <w:rPr>
          <w:i/>
        </w:rPr>
        <w:t>Human</w:t>
      </w:r>
      <w:r>
        <w:rPr>
          <w:i/>
          <w:spacing w:val="16"/>
        </w:rPr>
        <w:t xml:space="preserve"> </w:t>
      </w:r>
      <w:r>
        <w:rPr>
          <w:i/>
        </w:rPr>
        <w:t>Rights</w:t>
      </w:r>
      <w:r>
        <w:rPr>
          <w:i/>
          <w:spacing w:val="17"/>
        </w:rPr>
        <w:t xml:space="preserve"> </w:t>
      </w:r>
      <w:r>
        <w:rPr>
          <w:i/>
        </w:rPr>
        <w:t>Act</w:t>
      </w:r>
      <w:r>
        <w:rPr>
          <w:i/>
          <w:spacing w:val="15"/>
        </w:rPr>
        <w:t xml:space="preserve"> </w:t>
      </w:r>
      <w:r>
        <w:rPr>
          <w:i/>
        </w:rPr>
        <w:t>for</w:t>
      </w:r>
      <w:r>
        <w:rPr>
          <w:i/>
          <w:spacing w:val="17"/>
        </w:rPr>
        <w:t xml:space="preserve"> </w:t>
      </w:r>
      <w:r>
        <w:rPr>
          <w:i/>
        </w:rPr>
        <w:t>Australia</w:t>
      </w:r>
      <w:r>
        <w:t>,</w:t>
      </w:r>
      <w:r>
        <w:rPr>
          <w:spacing w:val="16"/>
        </w:rPr>
        <w:t xml:space="preserve"> </w:t>
      </w:r>
      <w:r>
        <w:t>also</w:t>
      </w:r>
      <w:r>
        <w:rPr>
          <w:spacing w:val="17"/>
        </w:rPr>
        <w:t xml:space="preserve"> </w:t>
      </w:r>
      <w:r>
        <w:t>proposed</w:t>
      </w:r>
      <w:r>
        <w:rPr>
          <w:spacing w:val="14"/>
        </w:rPr>
        <w:t xml:space="preserve"> </w:t>
      </w:r>
      <w:r>
        <w:t>an</w:t>
      </w:r>
      <w:r>
        <w:rPr>
          <w:spacing w:val="17"/>
        </w:rPr>
        <w:t xml:space="preserve"> </w:t>
      </w:r>
      <w:r>
        <w:t>approach</w:t>
      </w:r>
      <w:r>
        <w:rPr>
          <w:spacing w:val="16"/>
        </w:rPr>
        <w:t xml:space="preserve"> </w:t>
      </w:r>
      <w:r>
        <w:t>that</w:t>
      </w:r>
      <w:r>
        <w:rPr>
          <w:spacing w:val="18"/>
        </w:rPr>
        <w:t xml:space="preserve"> </w:t>
      </w:r>
      <w:r>
        <w:t>would</w:t>
      </w:r>
      <w:r>
        <w:rPr>
          <w:spacing w:val="17"/>
        </w:rPr>
        <w:t xml:space="preserve"> </w:t>
      </w:r>
      <w:r>
        <w:t>adopt</w:t>
      </w:r>
      <w:r>
        <w:rPr>
          <w:spacing w:val="18"/>
        </w:rPr>
        <w:t xml:space="preserve"> </w:t>
      </w:r>
      <w:r>
        <w:rPr>
          <w:spacing w:val="-4"/>
        </w:rPr>
        <w:t>this</w:t>
      </w:r>
    </w:p>
    <w:p w14:paraId="7CB260EE" w14:textId="77777777" w:rsidR="008A4099" w:rsidRDefault="008A4099">
      <w:pPr>
        <w:pStyle w:val="BodyText"/>
        <w:rPr>
          <w:sz w:val="20"/>
        </w:rPr>
      </w:pPr>
    </w:p>
    <w:p w14:paraId="7CB260EF" w14:textId="77777777" w:rsidR="008A4099" w:rsidRDefault="008A4099">
      <w:pPr>
        <w:pStyle w:val="BodyText"/>
        <w:rPr>
          <w:sz w:val="20"/>
        </w:rPr>
      </w:pPr>
    </w:p>
    <w:p w14:paraId="7CB260F0" w14:textId="77777777" w:rsidR="008A4099" w:rsidRDefault="008A4099">
      <w:pPr>
        <w:pStyle w:val="BodyText"/>
        <w:rPr>
          <w:sz w:val="20"/>
        </w:rPr>
      </w:pPr>
    </w:p>
    <w:p w14:paraId="7CB260F1" w14:textId="77777777" w:rsidR="008A4099" w:rsidRDefault="008A4099">
      <w:pPr>
        <w:pStyle w:val="BodyText"/>
        <w:rPr>
          <w:sz w:val="20"/>
        </w:rPr>
      </w:pPr>
    </w:p>
    <w:p w14:paraId="7CB260F2" w14:textId="77777777" w:rsidR="008A4099" w:rsidRDefault="008A4099">
      <w:pPr>
        <w:pStyle w:val="BodyText"/>
        <w:rPr>
          <w:sz w:val="20"/>
        </w:rPr>
      </w:pPr>
    </w:p>
    <w:p w14:paraId="7CB260F3" w14:textId="77777777" w:rsidR="008A4099" w:rsidRDefault="006A6EE2">
      <w:pPr>
        <w:pStyle w:val="BodyText"/>
        <w:spacing w:before="8"/>
        <w:rPr>
          <w:sz w:val="20"/>
        </w:rPr>
      </w:pPr>
      <w:r>
        <w:rPr>
          <w:noProof/>
        </w:rPr>
        <mc:AlternateContent>
          <mc:Choice Requires="wps">
            <w:drawing>
              <wp:anchor distT="0" distB="0" distL="0" distR="0" simplePos="0" relativeHeight="487620096" behindDoc="1" locked="0" layoutInCell="1" allowOverlap="1" wp14:anchorId="7CB26657" wp14:editId="7CB26658">
                <wp:simplePos x="0" y="0"/>
                <wp:positionH relativeFrom="page">
                  <wp:posOffset>914704</wp:posOffset>
                </wp:positionH>
                <wp:positionV relativeFrom="paragraph">
                  <wp:posOffset>166603</wp:posOffset>
                </wp:positionV>
                <wp:extent cx="1829435" cy="762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FC9F0" id="Graphic 111" o:spid="_x0000_s1026" style="position:absolute;margin-left:1in;margin-top:13.1pt;width:144.05pt;height:.6pt;z-index:-156963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" path="m1829054,l,,,7620r1829054,l1829054,xe" fillcolor="black" stroked="f">
                <v:path arrowok="t"/>
                <w10:wrap type="topAndBottom" anchorx="page"/>
              </v:shape>
            </w:pict>
          </mc:Fallback>
        </mc:AlternateContent>
      </w:r>
    </w:p>
    <w:p w14:paraId="7CB260F4" w14:textId="77777777" w:rsidR="008A4099" w:rsidRDefault="006A6EE2">
      <w:pPr>
        <w:spacing w:before="112"/>
        <w:ind w:left="160"/>
        <w:jc w:val="both"/>
        <w:rPr>
          <w:sz w:val="18"/>
        </w:rPr>
      </w:pPr>
      <w:r>
        <w:rPr>
          <w:sz w:val="18"/>
          <w:vertAlign w:val="superscript"/>
        </w:rPr>
        <w:t>375</w:t>
      </w:r>
      <w:r>
        <w:rPr>
          <w:sz w:val="18"/>
        </w:rPr>
        <w:t xml:space="preserve"> Brett</w:t>
      </w:r>
      <w:r>
        <w:rPr>
          <w:spacing w:val="1"/>
          <w:sz w:val="18"/>
        </w:rPr>
        <w:t xml:space="preserve"> </w:t>
      </w:r>
      <w:r>
        <w:rPr>
          <w:sz w:val="18"/>
        </w:rPr>
        <w:t>Young,</w:t>
      </w:r>
      <w:r>
        <w:rPr>
          <w:spacing w:val="1"/>
          <w:sz w:val="18"/>
        </w:rPr>
        <w:t xml:space="preserve"> </w:t>
      </w:r>
      <w:r>
        <w:rPr>
          <w:i/>
          <w:sz w:val="18"/>
        </w:rPr>
        <w:t>From</w:t>
      </w:r>
      <w:r>
        <w:rPr>
          <w:i/>
          <w:spacing w:val="1"/>
          <w:sz w:val="18"/>
        </w:rPr>
        <w:t xml:space="preserve"> </w:t>
      </w:r>
      <w:r>
        <w:rPr>
          <w:i/>
          <w:sz w:val="18"/>
        </w:rPr>
        <w:t>Commitment</w:t>
      </w:r>
      <w:r>
        <w:rPr>
          <w:i/>
          <w:spacing w:val="-1"/>
          <w:sz w:val="18"/>
        </w:rPr>
        <w:t xml:space="preserve"> </w:t>
      </w:r>
      <w:r>
        <w:rPr>
          <w:i/>
          <w:sz w:val="18"/>
        </w:rPr>
        <w:t>to</w:t>
      </w:r>
      <w:r>
        <w:rPr>
          <w:i/>
          <w:spacing w:val="1"/>
          <w:sz w:val="18"/>
        </w:rPr>
        <w:t xml:space="preserve"> </w:t>
      </w:r>
      <w:r>
        <w:rPr>
          <w:i/>
          <w:sz w:val="18"/>
        </w:rPr>
        <w:t>Culture</w:t>
      </w:r>
      <w:r>
        <w:rPr>
          <w:i/>
          <w:spacing w:val="2"/>
          <w:sz w:val="18"/>
        </w:rPr>
        <w:t xml:space="preserve"> </w:t>
      </w:r>
      <w:r>
        <w:rPr>
          <w:spacing w:val="-5"/>
          <w:sz w:val="18"/>
        </w:rPr>
        <w:t>74.</w:t>
      </w:r>
    </w:p>
    <w:p w14:paraId="7CB260F5" w14:textId="77777777" w:rsidR="008A4099" w:rsidRDefault="006A6EE2">
      <w:pPr>
        <w:spacing w:before="24"/>
        <w:ind w:left="160" w:right="675"/>
        <w:jc w:val="both"/>
        <w:rPr>
          <w:sz w:val="18"/>
        </w:rPr>
      </w:pPr>
      <w:r>
        <w:rPr>
          <w:sz w:val="18"/>
          <w:vertAlign w:val="superscript"/>
        </w:rPr>
        <w:t>376</w:t>
      </w:r>
      <w:r>
        <w:rPr>
          <w:sz w:val="18"/>
        </w:rPr>
        <w:t xml:space="preserve"> Vic Human Rights Charter s 4(1)(j); </w:t>
      </w:r>
      <w:r>
        <w:rPr>
          <w:i/>
          <w:sz w:val="18"/>
        </w:rPr>
        <w:t xml:space="preserve">Human Rights Act 2004 </w:t>
      </w:r>
      <w:r>
        <w:rPr>
          <w:sz w:val="18"/>
        </w:rPr>
        <w:t xml:space="preserve">(ACT) s 40(2)(a); </w:t>
      </w:r>
      <w:r>
        <w:rPr>
          <w:i/>
          <w:sz w:val="18"/>
        </w:rPr>
        <w:t xml:space="preserve">Human Rights Act 2019 </w:t>
      </w:r>
      <w:r>
        <w:rPr>
          <w:sz w:val="18"/>
        </w:rPr>
        <w:t>(Qld) s 9(4)(b). For example, other entities excluded from the definition of public authority are Parliament and those exercising functions in connection</w:t>
      </w:r>
      <w:r>
        <w:rPr>
          <w:spacing w:val="-2"/>
          <w:sz w:val="18"/>
        </w:rPr>
        <w:t xml:space="preserve"> </w:t>
      </w:r>
      <w:r>
        <w:rPr>
          <w:sz w:val="18"/>
        </w:rPr>
        <w:t>with</w:t>
      </w:r>
      <w:r>
        <w:rPr>
          <w:spacing w:val="-2"/>
          <w:sz w:val="18"/>
        </w:rPr>
        <w:t xml:space="preserve"> </w:t>
      </w:r>
      <w:r>
        <w:rPr>
          <w:sz w:val="18"/>
        </w:rPr>
        <w:t>Parliamentary</w:t>
      </w:r>
      <w:r>
        <w:rPr>
          <w:spacing w:val="-2"/>
          <w:sz w:val="18"/>
        </w:rPr>
        <w:t xml:space="preserve"> </w:t>
      </w:r>
      <w:r>
        <w:rPr>
          <w:sz w:val="18"/>
        </w:rPr>
        <w:t>proceedings</w:t>
      </w:r>
      <w:r>
        <w:rPr>
          <w:spacing w:val="-3"/>
          <w:sz w:val="18"/>
        </w:rPr>
        <w:t xml:space="preserve"> </w:t>
      </w:r>
      <w:r>
        <w:rPr>
          <w:sz w:val="18"/>
        </w:rPr>
        <w:t>(Vic</w:t>
      </w:r>
      <w:r>
        <w:rPr>
          <w:spacing w:val="-3"/>
          <w:sz w:val="18"/>
        </w:rPr>
        <w:t xml:space="preserve"> </w:t>
      </w:r>
      <w:r>
        <w:rPr>
          <w:sz w:val="18"/>
        </w:rPr>
        <w:t>Human</w:t>
      </w:r>
      <w:r>
        <w:rPr>
          <w:spacing w:val="-2"/>
          <w:sz w:val="18"/>
        </w:rPr>
        <w:t xml:space="preserve"> </w:t>
      </w:r>
      <w:r>
        <w:rPr>
          <w:sz w:val="18"/>
        </w:rPr>
        <w:t>Rights</w:t>
      </w:r>
      <w:r>
        <w:rPr>
          <w:spacing w:val="-3"/>
          <w:sz w:val="18"/>
        </w:rPr>
        <w:t xml:space="preserve"> </w:t>
      </w:r>
      <w:r>
        <w:rPr>
          <w:sz w:val="18"/>
        </w:rPr>
        <w:t>Charter</w:t>
      </w:r>
      <w:r>
        <w:rPr>
          <w:spacing w:val="-3"/>
          <w:sz w:val="18"/>
        </w:rPr>
        <w:t xml:space="preserve"> </w:t>
      </w:r>
      <w:r>
        <w:rPr>
          <w:sz w:val="18"/>
        </w:rPr>
        <w:t>s 4(1)(i))</w:t>
      </w:r>
      <w:r>
        <w:rPr>
          <w:spacing w:val="-5"/>
          <w:sz w:val="18"/>
        </w:rPr>
        <w:t xml:space="preserve"> </w:t>
      </w:r>
      <w:r>
        <w:rPr>
          <w:sz w:val="18"/>
        </w:rPr>
        <w:t>and</w:t>
      </w:r>
      <w:r>
        <w:rPr>
          <w:spacing w:val="-4"/>
          <w:sz w:val="18"/>
        </w:rPr>
        <w:t xml:space="preserve"> </w:t>
      </w:r>
      <w:r>
        <w:rPr>
          <w:sz w:val="18"/>
        </w:rPr>
        <w:t>members</w:t>
      </w:r>
      <w:r>
        <w:rPr>
          <w:spacing w:val="-3"/>
          <w:sz w:val="18"/>
        </w:rPr>
        <w:t xml:space="preserve"> </w:t>
      </w:r>
      <w:r>
        <w:rPr>
          <w:sz w:val="18"/>
        </w:rPr>
        <w:t>of</w:t>
      </w:r>
      <w:r>
        <w:rPr>
          <w:spacing w:val="-3"/>
          <w:sz w:val="18"/>
        </w:rPr>
        <w:t xml:space="preserve"> </w:t>
      </w:r>
      <w:r>
        <w:rPr>
          <w:sz w:val="18"/>
        </w:rPr>
        <w:t>Parliamentary</w:t>
      </w:r>
      <w:r>
        <w:rPr>
          <w:spacing w:val="-2"/>
          <w:sz w:val="18"/>
        </w:rPr>
        <w:t xml:space="preserve"> </w:t>
      </w:r>
      <w:r>
        <w:rPr>
          <w:sz w:val="18"/>
        </w:rPr>
        <w:t xml:space="preserve">Committees ‘except when acting in an administrative capacity’ (Vic Human Rights Charter s 4(10(g)). The model outlined in the 2010 Tasmanian Government Directions Paper, </w:t>
      </w:r>
      <w:r>
        <w:rPr>
          <w:i/>
          <w:sz w:val="18"/>
        </w:rPr>
        <w:t>A Charter of</w:t>
      </w:r>
      <w:r>
        <w:rPr>
          <w:i/>
          <w:spacing w:val="-2"/>
          <w:sz w:val="18"/>
        </w:rPr>
        <w:t xml:space="preserve"> </w:t>
      </w:r>
      <w:r>
        <w:rPr>
          <w:i/>
          <w:sz w:val="18"/>
        </w:rPr>
        <w:t>Human</w:t>
      </w:r>
      <w:r>
        <w:rPr>
          <w:i/>
          <w:spacing w:val="-1"/>
          <w:sz w:val="18"/>
        </w:rPr>
        <w:t xml:space="preserve"> </w:t>
      </w:r>
      <w:r>
        <w:rPr>
          <w:i/>
          <w:sz w:val="18"/>
        </w:rPr>
        <w:t>Rights</w:t>
      </w:r>
      <w:r>
        <w:rPr>
          <w:i/>
          <w:spacing w:val="-2"/>
          <w:sz w:val="18"/>
        </w:rPr>
        <w:t xml:space="preserve"> </w:t>
      </w:r>
      <w:r>
        <w:rPr>
          <w:i/>
          <w:sz w:val="18"/>
        </w:rPr>
        <w:t>and Responsibility</w:t>
      </w:r>
      <w:r>
        <w:rPr>
          <w:i/>
          <w:spacing w:val="-3"/>
          <w:sz w:val="18"/>
        </w:rPr>
        <w:t xml:space="preserve"> </w:t>
      </w:r>
      <w:r>
        <w:rPr>
          <w:i/>
          <w:sz w:val="18"/>
        </w:rPr>
        <w:t>for</w:t>
      </w:r>
      <w:r>
        <w:rPr>
          <w:i/>
          <w:spacing w:val="-2"/>
          <w:sz w:val="18"/>
        </w:rPr>
        <w:t xml:space="preserve"> </w:t>
      </w:r>
      <w:r>
        <w:rPr>
          <w:i/>
          <w:sz w:val="18"/>
        </w:rPr>
        <w:t>Tasmania</w:t>
      </w:r>
      <w:r>
        <w:rPr>
          <w:sz w:val="18"/>
        </w:rPr>
        <w:t>,</w:t>
      </w:r>
      <w:r>
        <w:rPr>
          <w:spacing w:val="-2"/>
          <w:sz w:val="18"/>
        </w:rPr>
        <w:t xml:space="preserve"> </w:t>
      </w:r>
      <w:r>
        <w:rPr>
          <w:sz w:val="18"/>
        </w:rPr>
        <w:t>proposed</w:t>
      </w:r>
      <w:r>
        <w:rPr>
          <w:spacing w:val="-1"/>
          <w:sz w:val="18"/>
        </w:rPr>
        <w:t xml:space="preserve"> </w:t>
      </w:r>
      <w:r>
        <w:rPr>
          <w:sz w:val="18"/>
        </w:rPr>
        <w:t>to</w:t>
      </w:r>
      <w:r>
        <w:rPr>
          <w:spacing w:val="-1"/>
          <w:sz w:val="18"/>
        </w:rPr>
        <w:t xml:space="preserve"> </w:t>
      </w:r>
      <w:r>
        <w:rPr>
          <w:sz w:val="18"/>
        </w:rPr>
        <w:t>exclude courts and tribunals from the definition of public authority, other than when acting in an administrative capacity.</w:t>
      </w:r>
    </w:p>
    <w:p w14:paraId="7CB260F6"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60F7" w14:textId="77777777" w:rsidR="008A4099" w:rsidRDefault="008A4099">
      <w:pPr>
        <w:pStyle w:val="BodyText"/>
        <w:spacing w:before="194"/>
      </w:pPr>
    </w:p>
    <w:p w14:paraId="7CB260F8" w14:textId="77777777" w:rsidR="008A4099" w:rsidRDefault="006A6EE2">
      <w:pPr>
        <w:pStyle w:val="BodyText"/>
        <w:spacing w:line="259" w:lineRule="auto"/>
        <w:ind w:left="160"/>
      </w:pPr>
      <w:r>
        <w:t>position</w:t>
      </w:r>
      <w:r>
        <w:rPr>
          <w:spacing w:val="63"/>
        </w:rPr>
        <w:t xml:space="preserve"> </w:t>
      </w:r>
      <w:r>
        <w:t>and</w:t>
      </w:r>
      <w:r>
        <w:rPr>
          <w:spacing w:val="61"/>
        </w:rPr>
        <w:t xml:space="preserve"> </w:t>
      </w:r>
      <w:r>
        <w:t>so</w:t>
      </w:r>
      <w:r>
        <w:rPr>
          <w:spacing w:val="61"/>
        </w:rPr>
        <w:t xml:space="preserve"> </w:t>
      </w:r>
      <w:r>
        <w:t>include</w:t>
      </w:r>
      <w:r>
        <w:rPr>
          <w:spacing w:val="61"/>
        </w:rPr>
        <w:t xml:space="preserve"> </w:t>
      </w:r>
      <w:r>
        <w:t>courts</w:t>
      </w:r>
      <w:r>
        <w:rPr>
          <w:spacing w:val="63"/>
        </w:rPr>
        <w:t xml:space="preserve"> </w:t>
      </w:r>
      <w:r>
        <w:t>in</w:t>
      </w:r>
      <w:r>
        <w:rPr>
          <w:spacing w:val="61"/>
        </w:rPr>
        <w:t xml:space="preserve"> </w:t>
      </w:r>
      <w:r>
        <w:t>the</w:t>
      </w:r>
      <w:r>
        <w:rPr>
          <w:spacing w:val="63"/>
        </w:rPr>
        <w:t xml:space="preserve"> </w:t>
      </w:r>
      <w:r>
        <w:t>definition</w:t>
      </w:r>
      <w:r>
        <w:rPr>
          <w:spacing w:val="61"/>
        </w:rPr>
        <w:t xml:space="preserve"> </w:t>
      </w:r>
      <w:r>
        <w:t>of</w:t>
      </w:r>
      <w:r>
        <w:rPr>
          <w:spacing w:val="62"/>
        </w:rPr>
        <w:t xml:space="preserve"> </w:t>
      </w:r>
      <w:r>
        <w:t>a</w:t>
      </w:r>
      <w:r>
        <w:rPr>
          <w:spacing w:val="63"/>
        </w:rPr>
        <w:t xml:space="preserve"> </w:t>
      </w:r>
      <w:r>
        <w:t>public</w:t>
      </w:r>
      <w:r>
        <w:rPr>
          <w:spacing w:val="61"/>
        </w:rPr>
        <w:t xml:space="preserve"> </w:t>
      </w:r>
      <w:r>
        <w:t>authority</w:t>
      </w:r>
      <w:r>
        <w:rPr>
          <w:spacing w:val="63"/>
        </w:rPr>
        <w:t xml:space="preserve"> </w:t>
      </w:r>
      <w:r>
        <w:t>only</w:t>
      </w:r>
      <w:r>
        <w:rPr>
          <w:spacing w:val="61"/>
        </w:rPr>
        <w:t xml:space="preserve"> </w:t>
      </w:r>
      <w:r>
        <w:t>when</w:t>
      </w:r>
      <w:r>
        <w:rPr>
          <w:spacing w:val="63"/>
        </w:rPr>
        <w:t xml:space="preserve"> </w:t>
      </w:r>
      <w:r>
        <w:t>acting</w:t>
      </w:r>
      <w:r>
        <w:rPr>
          <w:spacing w:val="63"/>
        </w:rPr>
        <w:t xml:space="preserve"> </w:t>
      </w:r>
      <w:r>
        <w:t>in</w:t>
      </w:r>
      <w:r>
        <w:rPr>
          <w:spacing w:val="61"/>
        </w:rPr>
        <w:t xml:space="preserve"> </w:t>
      </w:r>
      <w:r>
        <w:t>an administrative capacity.</w:t>
      </w:r>
      <w:r>
        <w:rPr>
          <w:vertAlign w:val="superscript"/>
        </w:rPr>
        <w:t>377</w:t>
      </w:r>
    </w:p>
    <w:p w14:paraId="7CB260F9" w14:textId="77777777" w:rsidR="008A4099" w:rsidRDefault="006A6EE2">
      <w:pPr>
        <w:pStyle w:val="ListParagraph"/>
        <w:numPr>
          <w:ilvl w:val="2"/>
          <w:numId w:val="3"/>
        </w:numPr>
        <w:tabs>
          <w:tab w:val="left" w:pos="879"/>
        </w:tabs>
        <w:spacing w:before="201"/>
        <w:ind w:right="675" w:firstLine="0"/>
        <w:jc w:val="both"/>
      </w:pPr>
      <w:r>
        <w:t>At the time of the 2007 Final Report, despite the ACT and Victorian legislation making a distinction between administrative and judicial functions of courts and tribunals, the distinction was considered to give rise to considerable uncertainty. In the 2007 Final Report, the TLRI noted that making</w:t>
      </w:r>
      <w:r>
        <w:rPr>
          <w:spacing w:val="-11"/>
        </w:rPr>
        <w:t xml:space="preserve"> </w:t>
      </w:r>
      <w:r>
        <w:t>a</w:t>
      </w:r>
      <w:r>
        <w:rPr>
          <w:spacing w:val="-8"/>
        </w:rPr>
        <w:t xml:space="preserve"> </w:t>
      </w:r>
      <w:r>
        <w:t>distinction</w:t>
      </w:r>
      <w:r>
        <w:rPr>
          <w:spacing w:val="-11"/>
        </w:rPr>
        <w:t xml:space="preserve"> </w:t>
      </w:r>
      <w:r>
        <w:t>between</w:t>
      </w:r>
      <w:r>
        <w:rPr>
          <w:spacing w:val="-9"/>
        </w:rPr>
        <w:t xml:space="preserve"> </w:t>
      </w:r>
      <w:r>
        <w:t>the</w:t>
      </w:r>
      <w:r>
        <w:rPr>
          <w:spacing w:val="-11"/>
        </w:rPr>
        <w:t xml:space="preserve"> </w:t>
      </w:r>
      <w:r>
        <w:t>judicial</w:t>
      </w:r>
      <w:r>
        <w:rPr>
          <w:spacing w:val="-10"/>
        </w:rPr>
        <w:t xml:space="preserve"> </w:t>
      </w:r>
      <w:r>
        <w:t>and</w:t>
      </w:r>
      <w:r>
        <w:rPr>
          <w:spacing w:val="-11"/>
        </w:rPr>
        <w:t xml:space="preserve"> </w:t>
      </w:r>
      <w:r>
        <w:t>administrative</w:t>
      </w:r>
      <w:r>
        <w:rPr>
          <w:spacing w:val="-11"/>
        </w:rPr>
        <w:t xml:space="preserve"> </w:t>
      </w:r>
      <w:r>
        <w:t>function</w:t>
      </w:r>
      <w:r>
        <w:rPr>
          <w:spacing w:val="-9"/>
        </w:rPr>
        <w:t xml:space="preserve"> </w:t>
      </w:r>
      <w:r>
        <w:t>of</w:t>
      </w:r>
      <w:r>
        <w:rPr>
          <w:spacing w:val="-10"/>
        </w:rPr>
        <w:t xml:space="preserve"> </w:t>
      </w:r>
      <w:r>
        <w:t>courts</w:t>
      </w:r>
      <w:r>
        <w:rPr>
          <w:spacing w:val="-11"/>
        </w:rPr>
        <w:t xml:space="preserve"> </w:t>
      </w:r>
      <w:r>
        <w:t>and</w:t>
      </w:r>
      <w:r>
        <w:rPr>
          <w:spacing w:val="-13"/>
        </w:rPr>
        <w:t xml:space="preserve"> </w:t>
      </w:r>
      <w:r>
        <w:t>tribunals</w:t>
      </w:r>
      <w:r>
        <w:rPr>
          <w:spacing w:val="-11"/>
        </w:rPr>
        <w:t xml:space="preserve"> </w:t>
      </w:r>
      <w:r>
        <w:t>may</w:t>
      </w:r>
      <w:r>
        <w:rPr>
          <w:spacing w:val="-11"/>
        </w:rPr>
        <w:t xml:space="preserve"> </w:t>
      </w:r>
      <w:r>
        <w:t>create confusion and uncertainty about the application of the Charter. This was also the view of the 2011 Review</w:t>
      </w:r>
      <w:r>
        <w:rPr>
          <w:spacing w:val="-9"/>
        </w:rPr>
        <w:t xml:space="preserve"> </w:t>
      </w:r>
      <w:r>
        <w:t>of</w:t>
      </w:r>
      <w:r>
        <w:rPr>
          <w:spacing w:val="-8"/>
        </w:rPr>
        <w:t xml:space="preserve"> </w:t>
      </w:r>
      <w:r>
        <w:t>the</w:t>
      </w:r>
      <w:r>
        <w:rPr>
          <w:spacing w:val="-8"/>
        </w:rPr>
        <w:t xml:space="preserve"> </w:t>
      </w:r>
      <w:r>
        <w:t>Victorian</w:t>
      </w:r>
      <w:r>
        <w:rPr>
          <w:spacing w:val="-8"/>
        </w:rPr>
        <w:t xml:space="preserve"> </w:t>
      </w:r>
      <w:r>
        <w:t>Charter,</w:t>
      </w:r>
      <w:r>
        <w:rPr>
          <w:spacing w:val="-9"/>
        </w:rPr>
        <w:t xml:space="preserve"> </w:t>
      </w:r>
      <w:r>
        <w:t>which,</w:t>
      </w:r>
      <w:r>
        <w:rPr>
          <w:spacing w:val="-11"/>
        </w:rPr>
        <w:t xml:space="preserve"> </w:t>
      </w:r>
      <w:r>
        <w:t>instead</w:t>
      </w:r>
      <w:r>
        <w:rPr>
          <w:spacing w:val="-9"/>
        </w:rPr>
        <w:t xml:space="preserve"> </w:t>
      </w:r>
      <w:r>
        <w:t>of</w:t>
      </w:r>
      <w:r>
        <w:rPr>
          <w:spacing w:val="-10"/>
        </w:rPr>
        <w:t xml:space="preserve"> </w:t>
      </w:r>
      <w:r>
        <w:t>including</w:t>
      </w:r>
      <w:r>
        <w:rPr>
          <w:spacing w:val="-11"/>
        </w:rPr>
        <w:t xml:space="preserve"> </w:t>
      </w:r>
      <w:r>
        <w:t>the</w:t>
      </w:r>
      <w:r>
        <w:rPr>
          <w:spacing w:val="-11"/>
        </w:rPr>
        <w:t xml:space="preserve"> </w:t>
      </w:r>
      <w:r>
        <w:t>judicial</w:t>
      </w:r>
      <w:r>
        <w:rPr>
          <w:spacing w:val="-10"/>
        </w:rPr>
        <w:t xml:space="preserve"> </w:t>
      </w:r>
      <w:r>
        <w:t>functions</w:t>
      </w:r>
      <w:r>
        <w:rPr>
          <w:spacing w:val="-10"/>
        </w:rPr>
        <w:t xml:space="preserve"> </w:t>
      </w:r>
      <w:r>
        <w:t>of</w:t>
      </w:r>
      <w:r>
        <w:rPr>
          <w:spacing w:val="-8"/>
        </w:rPr>
        <w:t xml:space="preserve"> </w:t>
      </w:r>
      <w:r>
        <w:t>a</w:t>
      </w:r>
      <w:r>
        <w:rPr>
          <w:spacing w:val="-8"/>
        </w:rPr>
        <w:t xml:space="preserve"> </w:t>
      </w:r>
      <w:r>
        <w:t>court</w:t>
      </w:r>
      <w:r>
        <w:rPr>
          <w:spacing w:val="-8"/>
        </w:rPr>
        <w:t xml:space="preserve"> </w:t>
      </w:r>
      <w:r>
        <w:t>as</w:t>
      </w:r>
      <w:r>
        <w:rPr>
          <w:spacing w:val="-10"/>
        </w:rPr>
        <w:t xml:space="preserve"> </w:t>
      </w:r>
      <w:r>
        <w:t>a</w:t>
      </w:r>
      <w:r>
        <w:rPr>
          <w:spacing w:val="-8"/>
        </w:rPr>
        <w:t xml:space="preserve"> </w:t>
      </w:r>
      <w:r>
        <w:t>public authority, recommended exempting courts from public authority obligations in all their functions, arguing that distinguishing between administrative and judicial functions was fraught.</w:t>
      </w:r>
    </w:p>
    <w:p w14:paraId="7CB260FA" w14:textId="77777777" w:rsidR="008A4099" w:rsidRDefault="006A6EE2">
      <w:pPr>
        <w:pStyle w:val="ListParagraph"/>
        <w:numPr>
          <w:ilvl w:val="2"/>
          <w:numId w:val="3"/>
        </w:numPr>
        <w:tabs>
          <w:tab w:val="left" w:pos="879"/>
        </w:tabs>
        <w:spacing w:before="219" w:line="237" w:lineRule="auto"/>
        <w:ind w:right="683" w:firstLine="0"/>
        <w:jc w:val="both"/>
      </w:pPr>
      <w:r>
        <w:t>In the intervening period, however, case law concerning this distinction has provided greater clarity about the principles to be applied in making this determination, and concerns around the distinction have lessened. For example, the 2015 Victorian Review concluded that:</w:t>
      </w:r>
    </w:p>
    <w:p w14:paraId="7CB260FB" w14:textId="77777777" w:rsidR="008A4099" w:rsidRDefault="006A6EE2">
      <w:pPr>
        <w:pStyle w:val="BodyText"/>
        <w:spacing w:before="222" w:line="285" w:lineRule="auto"/>
        <w:ind w:left="868" w:right="1344"/>
        <w:jc w:val="both"/>
      </w:pPr>
      <w:r>
        <w:t>The courts have not had difficulty determining when a court or tribunal is acting in an administrative capacity and, therefore, when it is bound by the public authority obligations in the Charter.</w:t>
      </w:r>
      <w:r>
        <w:rPr>
          <w:vertAlign w:val="superscript"/>
        </w:rPr>
        <w:t>378</w:t>
      </w:r>
    </w:p>
    <w:p w14:paraId="7CB260FC" w14:textId="77777777" w:rsidR="008A4099" w:rsidRDefault="006A6EE2">
      <w:pPr>
        <w:pStyle w:val="ListParagraph"/>
        <w:numPr>
          <w:ilvl w:val="2"/>
          <w:numId w:val="3"/>
        </w:numPr>
        <w:tabs>
          <w:tab w:val="left" w:pos="879"/>
        </w:tabs>
        <w:spacing w:before="208" w:line="244" w:lineRule="auto"/>
        <w:ind w:right="677" w:firstLine="0"/>
        <w:jc w:val="both"/>
        <w:rPr>
          <w:sz w:val="13"/>
        </w:rPr>
      </w:pPr>
      <w:r>
        <w:t>The distinction between administrative capacity and judicial capacity has been interpreted to mean a distinction made in the public law sense; that is, by considering the legal character of the function in question.</w:t>
      </w:r>
      <w:r>
        <w:rPr>
          <w:vertAlign w:val="superscript"/>
        </w:rPr>
        <w:t>379</w:t>
      </w:r>
      <w:r>
        <w:t xml:space="preserve"> Judicial capacity includes determination of criminal guilt, actions in contract and</w:t>
      </w:r>
      <w:r>
        <w:rPr>
          <w:spacing w:val="-7"/>
        </w:rPr>
        <w:t xml:space="preserve"> </w:t>
      </w:r>
      <w:r>
        <w:t>tort,</w:t>
      </w:r>
      <w:r>
        <w:rPr>
          <w:spacing w:val="-7"/>
        </w:rPr>
        <w:t xml:space="preserve"> </w:t>
      </w:r>
      <w:r>
        <w:t>and</w:t>
      </w:r>
      <w:r>
        <w:rPr>
          <w:spacing w:val="-7"/>
        </w:rPr>
        <w:t xml:space="preserve"> </w:t>
      </w:r>
      <w:r>
        <w:t>generally</w:t>
      </w:r>
      <w:r>
        <w:rPr>
          <w:spacing w:val="-7"/>
        </w:rPr>
        <w:t xml:space="preserve"> </w:t>
      </w:r>
      <w:r>
        <w:t>actions</w:t>
      </w:r>
      <w:r>
        <w:rPr>
          <w:spacing w:val="-6"/>
        </w:rPr>
        <w:t xml:space="preserve"> </w:t>
      </w:r>
      <w:r>
        <w:t>for</w:t>
      </w:r>
      <w:r>
        <w:rPr>
          <w:spacing w:val="-9"/>
        </w:rPr>
        <w:t xml:space="preserve"> </w:t>
      </w:r>
      <w:r>
        <w:t>the</w:t>
      </w:r>
      <w:r>
        <w:rPr>
          <w:spacing w:val="-7"/>
        </w:rPr>
        <w:t xml:space="preserve"> </w:t>
      </w:r>
      <w:r>
        <w:t>endorsement</w:t>
      </w:r>
      <w:r>
        <w:rPr>
          <w:spacing w:val="-6"/>
        </w:rPr>
        <w:t xml:space="preserve"> </w:t>
      </w:r>
      <w:r>
        <w:t>of</w:t>
      </w:r>
      <w:r>
        <w:rPr>
          <w:spacing w:val="-6"/>
        </w:rPr>
        <w:t xml:space="preserve"> </w:t>
      </w:r>
      <w:r>
        <w:t>existing</w:t>
      </w:r>
      <w:r>
        <w:rPr>
          <w:spacing w:val="-10"/>
        </w:rPr>
        <w:t xml:space="preserve"> </w:t>
      </w:r>
      <w:r>
        <w:t>legal</w:t>
      </w:r>
      <w:r>
        <w:rPr>
          <w:spacing w:val="-6"/>
        </w:rPr>
        <w:t xml:space="preserve"> </w:t>
      </w:r>
      <w:r>
        <w:t>rights.</w:t>
      </w:r>
      <w:r>
        <w:rPr>
          <w:vertAlign w:val="superscript"/>
        </w:rPr>
        <w:t>380</w:t>
      </w:r>
      <w:r>
        <w:rPr>
          <w:spacing w:val="-7"/>
        </w:rPr>
        <w:t xml:space="preserve"> </w:t>
      </w:r>
      <w:r>
        <w:t>Examples</w:t>
      </w:r>
      <w:r>
        <w:rPr>
          <w:spacing w:val="-6"/>
        </w:rPr>
        <w:t xml:space="preserve"> </w:t>
      </w:r>
      <w:r>
        <w:t>provided</w:t>
      </w:r>
      <w:r>
        <w:rPr>
          <w:spacing w:val="-7"/>
        </w:rPr>
        <w:t xml:space="preserve"> </w:t>
      </w:r>
      <w:r>
        <w:t>of</w:t>
      </w:r>
      <w:r>
        <w:rPr>
          <w:spacing w:val="-6"/>
        </w:rPr>
        <w:t xml:space="preserve"> </w:t>
      </w:r>
      <w:r>
        <w:t>the administrative functions of a court are committal proceedings, issuing of warrants, listing cases, and adopting practices and procedures.</w:t>
      </w:r>
      <w:r>
        <w:rPr>
          <w:vertAlign w:val="superscript"/>
        </w:rPr>
        <w:t>381</w:t>
      </w:r>
      <w:r>
        <w:t xml:space="preserve"> It would also include hiring staff.</w:t>
      </w:r>
      <w:r>
        <w:rPr>
          <w:vertAlign w:val="superscript"/>
        </w:rPr>
        <w:t>382</w:t>
      </w:r>
      <w:r>
        <w:t xml:space="preserve"> The Queensland Human Rights Commission provides the following examples of when a court or tribunal is acting in an administrative</w:t>
      </w:r>
      <w:r>
        <w:rPr>
          <w:spacing w:val="-14"/>
        </w:rPr>
        <w:t xml:space="preserve"> </w:t>
      </w:r>
      <w:r>
        <w:t>capacity:</w:t>
      </w:r>
      <w:r>
        <w:rPr>
          <w:spacing w:val="-14"/>
        </w:rPr>
        <w:t xml:space="preserve"> </w:t>
      </w:r>
      <w:r>
        <w:t>‘staffing</w:t>
      </w:r>
      <w:r>
        <w:rPr>
          <w:spacing w:val="-14"/>
        </w:rPr>
        <w:t xml:space="preserve"> </w:t>
      </w:r>
      <w:r>
        <w:t>matters,</w:t>
      </w:r>
      <w:r>
        <w:rPr>
          <w:spacing w:val="-13"/>
        </w:rPr>
        <w:t xml:space="preserve"> </w:t>
      </w:r>
      <w:r>
        <w:t>registry</w:t>
      </w:r>
      <w:r>
        <w:rPr>
          <w:spacing w:val="-14"/>
        </w:rPr>
        <w:t xml:space="preserve"> </w:t>
      </w:r>
      <w:r>
        <w:t>functions</w:t>
      </w:r>
      <w:r>
        <w:rPr>
          <w:spacing w:val="-14"/>
        </w:rPr>
        <w:t xml:space="preserve"> </w:t>
      </w:r>
      <w:r>
        <w:t>(including</w:t>
      </w:r>
      <w:r>
        <w:rPr>
          <w:spacing w:val="-14"/>
        </w:rPr>
        <w:t xml:space="preserve"> </w:t>
      </w:r>
      <w:r>
        <w:t>managing</w:t>
      </w:r>
      <w:r>
        <w:rPr>
          <w:spacing w:val="-13"/>
        </w:rPr>
        <w:t xml:space="preserve"> </w:t>
      </w:r>
      <w:r>
        <w:t>records,</w:t>
      </w:r>
      <w:r>
        <w:rPr>
          <w:spacing w:val="-14"/>
        </w:rPr>
        <w:t xml:space="preserve"> </w:t>
      </w:r>
      <w:r>
        <w:t>receiving</w:t>
      </w:r>
      <w:r>
        <w:rPr>
          <w:spacing w:val="-14"/>
        </w:rPr>
        <w:t xml:space="preserve"> </w:t>
      </w:r>
      <w:r>
        <w:t>and processing appeals, and listing cases) and developing an applying policies and procedures’.</w:t>
      </w:r>
      <w:r>
        <w:rPr>
          <w:position w:val="7"/>
          <w:sz w:val="13"/>
        </w:rPr>
        <w:t>383</w:t>
      </w:r>
      <w:r>
        <w:rPr>
          <w:spacing w:val="34"/>
          <w:position w:val="7"/>
          <w:sz w:val="13"/>
        </w:rPr>
        <w:t xml:space="preserve"> </w:t>
      </w:r>
      <w:r>
        <w:t>It also gives examples of the work of tribunals that involve acting in an administrative capacity, such as ‘reviewing administrative decisions of government agencies, disciplinary proceedings, appointing guardians and administrators and reviewing involuntary treatment orders’.</w:t>
      </w:r>
      <w:r>
        <w:rPr>
          <w:position w:val="7"/>
          <w:sz w:val="13"/>
        </w:rPr>
        <w:t>384</w:t>
      </w:r>
    </w:p>
    <w:p w14:paraId="7CB260FD" w14:textId="77777777" w:rsidR="008A4099" w:rsidRDefault="008A4099">
      <w:pPr>
        <w:pStyle w:val="BodyText"/>
        <w:rPr>
          <w:sz w:val="20"/>
        </w:rPr>
      </w:pPr>
    </w:p>
    <w:p w14:paraId="7CB260FE" w14:textId="77777777" w:rsidR="008A4099" w:rsidRDefault="008A4099">
      <w:pPr>
        <w:pStyle w:val="BodyText"/>
        <w:rPr>
          <w:sz w:val="20"/>
        </w:rPr>
      </w:pPr>
    </w:p>
    <w:p w14:paraId="7CB260FF" w14:textId="77777777" w:rsidR="008A4099" w:rsidRDefault="008A4099">
      <w:pPr>
        <w:pStyle w:val="BodyText"/>
        <w:rPr>
          <w:sz w:val="20"/>
        </w:rPr>
      </w:pPr>
    </w:p>
    <w:p w14:paraId="7CB26100" w14:textId="77777777" w:rsidR="008A4099" w:rsidRDefault="008A4099">
      <w:pPr>
        <w:pStyle w:val="BodyText"/>
        <w:rPr>
          <w:sz w:val="20"/>
        </w:rPr>
      </w:pPr>
    </w:p>
    <w:p w14:paraId="7CB26101" w14:textId="77777777" w:rsidR="008A4099" w:rsidRDefault="006A6EE2">
      <w:pPr>
        <w:pStyle w:val="BodyText"/>
        <w:spacing w:before="116"/>
        <w:rPr>
          <w:sz w:val="20"/>
        </w:rPr>
      </w:pPr>
      <w:r>
        <w:rPr>
          <w:noProof/>
        </w:rPr>
        <mc:AlternateContent>
          <mc:Choice Requires="wps">
            <w:drawing>
              <wp:anchor distT="0" distB="0" distL="0" distR="0" simplePos="0" relativeHeight="487620608" behindDoc="1" locked="0" layoutInCell="1" allowOverlap="1" wp14:anchorId="7CB26659" wp14:editId="7CB2665A">
                <wp:simplePos x="0" y="0"/>
                <wp:positionH relativeFrom="page">
                  <wp:posOffset>914704</wp:posOffset>
                </wp:positionH>
                <wp:positionV relativeFrom="paragraph">
                  <wp:posOffset>235506</wp:posOffset>
                </wp:positionV>
                <wp:extent cx="1829435" cy="762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CCA40" id="Graphic 112" o:spid="_x0000_s1026" style="position:absolute;margin-left:1in;margin-top:18.55pt;width:144.05pt;height:.6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" path="m1829054,l,,,7620r1829054,l1829054,xe" fillcolor="black" stroked="f">
                <v:path arrowok="t"/>
                <w10:wrap type="topAndBottom" anchorx="page"/>
              </v:shape>
            </w:pict>
          </mc:Fallback>
        </mc:AlternateContent>
      </w:r>
    </w:p>
    <w:p w14:paraId="7CB26102" w14:textId="77777777" w:rsidR="008A4099" w:rsidRDefault="006A6EE2">
      <w:pPr>
        <w:spacing w:before="112"/>
        <w:ind w:left="160" w:right="674"/>
        <w:jc w:val="both"/>
        <w:rPr>
          <w:sz w:val="18"/>
        </w:rPr>
      </w:pPr>
      <w:r>
        <w:rPr>
          <w:sz w:val="18"/>
          <w:vertAlign w:val="superscript"/>
        </w:rPr>
        <w:t>377</w:t>
      </w:r>
      <w:r>
        <w:rPr>
          <w:sz w:val="18"/>
        </w:rPr>
        <w:t xml:space="preserve"> It is noted that there are provisions in Victoria and Queensland which directly apply human rights to courts (even though courts and tribunals are not included within the definition of ‘public authority’ when acting in a judicial capacity): see Vic Charter of Rights s 6(2) and </w:t>
      </w:r>
      <w:r>
        <w:rPr>
          <w:i/>
          <w:sz w:val="18"/>
        </w:rPr>
        <w:t>Human</w:t>
      </w:r>
      <w:r>
        <w:rPr>
          <w:i/>
          <w:spacing w:val="-1"/>
          <w:sz w:val="18"/>
        </w:rPr>
        <w:t xml:space="preserve"> </w:t>
      </w:r>
      <w:r>
        <w:rPr>
          <w:i/>
          <w:sz w:val="18"/>
        </w:rPr>
        <w:t>Rights Act</w:t>
      </w:r>
      <w:r>
        <w:rPr>
          <w:i/>
          <w:spacing w:val="-2"/>
          <w:sz w:val="18"/>
        </w:rPr>
        <w:t xml:space="preserve"> </w:t>
      </w:r>
      <w:r>
        <w:rPr>
          <w:i/>
          <w:sz w:val="18"/>
        </w:rPr>
        <w:t xml:space="preserve">2019 </w:t>
      </w:r>
      <w:r>
        <w:rPr>
          <w:sz w:val="18"/>
        </w:rPr>
        <w:t>(Qld)</w:t>
      </w:r>
      <w:r>
        <w:rPr>
          <w:spacing w:val="-2"/>
          <w:sz w:val="18"/>
        </w:rPr>
        <w:t xml:space="preserve"> </w:t>
      </w:r>
      <w:r>
        <w:rPr>
          <w:sz w:val="18"/>
        </w:rPr>
        <w:t>s 5(2)(a). These</w:t>
      </w:r>
      <w:r>
        <w:rPr>
          <w:spacing w:val="-1"/>
          <w:sz w:val="18"/>
        </w:rPr>
        <w:t xml:space="preserve"> </w:t>
      </w:r>
      <w:r>
        <w:rPr>
          <w:sz w:val="18"/>
        </w:rPr>
        <w:t>provisions provide that the relevant</w:t>
      </w:r>
      <w:r>
        <w:rPr>
          <w:spacing w:val="-2"/>
          <w:sz w:val="18"/>
        </w:rPr>
        <w:t xml:space="preserve"> </w:t>
      </w:r>
      <w:r>
        <w:rPr>
          <w:sz w:val="18"/>
        </w:rPr>
        <w:t>human</w:t>
      </w:r>
      <w:r>
        <w:rPr>
          <w:spacing w:val="-1"/>
          <w:sz w:val="18"/>
        </w:rPr>
        <w:t xml:space="preserve"> </w:t>
      </w:r>
      <w:r>
        <w:rPr>
          <w:sz w:val="18"/>
        </w:rPr>
        <w:t>rights enactment applies to courts and tribunals to the extent the court or tribunal has functions under Part 2 and Part 3, Division 3. Part 2 sets out the specific human rights protected by the enactment and the limitations on those rights and Part 3 Division 3 contains</w:t>
      </w:r>
      <w:r>
        <w:rPr>
          <w:spacing w:val="-7"/>
          <w:sz w:val="18"/>
        </w:rPr>
        <w:t xml:space="preserve"> </w:t>
      </w:r>
      <w:r>
        <w:rPr>
          <w:sz w:val="18"/>
        </w:rPr>
        <w:t>the</w:t>
      </w:r>
      <w:r>
        <w:rPr>
          <w:spacing w:val="-7"/>
          <w:sz w:val="18"/>
        </w:rPr>
        <w:t xml:space="preserve"> </w:t>
      </w:r>
      <w:r>
        <w:rPr>
          <w:sz w:val="18"/>
        </w:rPr>
        <w:t>provisions</w:t>
      </w:r>
      <w:r>
        <w:rPr>
          <w:spacing w:val="-5"/>
          <w:sz w:val="18"/>
        </w:rPr>
        <w:t xml:space="preserve"> </w:t>
      </w:r>
      <w:r>
        <w:rPr>
          <w:sz w:val="18"/>
        </w:rPr>
        <w:t>about</w:t>
      </w:r>
      <w:r>
        <w:rPr>
          <w:spacing w:val="-4"/>
          <w:sz w:val="18"/>
        </w:rPr>
        <w:t xml:space="preserve"> </w:t>
      </w:r>
      <w:r>
        <w:rPr>
          <w:sz w:val="18"/>
        </w:rPr>
        <w:t>the</w:t>
      </w:r>
      <w:r>
        <w:rPr>
          <w:spacing w:val="-5"/>
          <w:sz w:val="18"/>
        </w:rPr>
        <w:t xml:space="preserve"> </w:t>
      </w:r>
      <w:r>
        <w:rPr>
          <w:sz w:val="18"/>
        </w:rPr>
        <w:t>interpretation</w:t>
      </w:r>
      <w:r>
        <w:rPr>
          <w:spacing w:val="-6"/>
          <w:sz w:val="18"/>
        </w:rPr>
        <w:t xml:space="preserve"> </w:t>
      </w:r>
      <w:r>
        <w:rPr>
          <w:sz w:val="18"/>
        </w:rPr>
        <w:t>of</w:t>
      </w:r>
      <w:r>
        <w:rPr>
          <w:spacing w:val="-4"/>
          <w:sz w:val="18"/>
        </w:rPr>
        <w:t xml:space="preserve"> </w:t>
      </w:r>
      <w:r>
        <w:rPr>
          <w:sz w:val="18"/>
        </w:rPr>
        <w:t>laws.</w:t>
      </w:r>
      <w:r>
        <w:rPr>
          <w:spacing w:val="-6"/>
          <w:sz w:val="18"/>
        </w:rPr>
        <w:t xml:space="preserve"> </w:t>
      </w:r>
      <w:r>
        <w:rPr>
          <w:sz w:val="18"/>
        </w:rPr>
        <w:t>The</w:t>
      </w:r>
      <w:r>
        <w:rPr>
          <w:spacing w:val="-5"/>
          <w:sz w:val="18"/>
        </w:rPr>
        <w:t xml:space="preserve"> </w:t>
      </w:r>
      <w:r>
        <w:rPr>
          <w:sz w:val="18"/>
        </w:rPr>
        <w:t>AHRC</w:t>
      </w:r>
      <w:r>
        <w:rPr>
          <w:spacing w:val="-7"/>
          <w:sz w:val="18"/>
        </w:rPr>
        <w:t xml:space="preserve"> </w:t>
      </w:r>
      <w:r>
        <w:rPr>
          <w:sz w:val="18"/>
        </w:rPr>
        <w:t>also</w:t>
      </w:r>
      <w:r>
        <w:rPr>
          <w:spacing w:val="-3"/>
          <w:sz w:val="18"/>
        </w:rPr>
        <w:t xml:space="preserve"> </w:t>
      </w:r>
      <w:r>
        <w:rPr>
          <w:sz w:val="18"/>
        </w:rPr>
        <w:t>proposed</w:t>
      </w:r>
      <w:r>
        <w:rPr>
          <w:spacing w:val="-3"/>
          <w:sz w:val="18"/>
        </w:rPr>
        <w:t xml:space="preserve"> </w:t>
      </w:r>
      <w:r>
        <w:rPr>
          <w:sz w:val="18"/>
        </w:rPr>
        <w:t>that</w:t>
      </w:r>
      <w:r>
        <w:rPr>
          <w:spacing w:val="-4"/>
          <w:sz w:val="18"/>
        </w:rPr>
        <w:t xml:space="preserve"> </w:t>
      </w:r>
      <w:r>
        <w:rPr>
          <w:sz w:val="18"/>
        </w:rPr>
        <w:t>a</w:t>
      </w:r>
      <w:r>
        <w:rPr>
          <w:spacing w:val="-7"/>
          <w:sz w:val="18"/>
        </w:rPr>
        <w:t xml:space="preserve"> </w:t>
      </w:r>
      <w:r>
        <w:rPr>
          <w:sz w:val="18"/>
        </w:rPr>
        <w:t>provision</w:t>
      </w:r>
      <w:r>
        <w:rPr>
          <w:spacing w:val="-3"/>
          <w:sz w:val="18"/>
        </w:rPr>
        <w:t xml:space="preserve"> </w:t>
      </w:r>
      <w:r>
        <w:rPr>
          <w:sz w:val="18"/>
        </w:rPr>
        <w:t>to</w:t>
      </w:r>
      <w:r>
        <w:rPr>
          <w:spacing w:val="-6"/>
          <w:sz w:val="18"/>
        </w:rPr>
        <w:t xml:space="preserve"> </w:t>
      </w:r>
      <w:r>
        <w:rPr>
          <w:sz w:val="18"/>
        </w:rPr>
        <w:t>this</w:t>
      </w:r>
      <w:r>
        <w:rPr>
          <w:spacing w:val="-4"/>
          <w:sz w:val="18"/>
        </w:rPr>
        <w:t xml:space="preserve"> </w:t>
      </w:r>
      <w:r>
        <w:rPr>
          <w:sz w:val="18"/>
        </w:rPr>
        <w:t>effect</w:t>
      </w:r>
      <w:r>
        <w:rPr>
          <w:spacing w:val="-4"/>
          <w:sz w:val="18"/>
        </w:rPr>
        <w:t xml:space="preserve"> </w:t>
      </w:r>
      <w:r>
        <w:rPr>
          <w:sz w:val="18"/>
        </w:rPr>
        <w:t>be</w:t>
      </w:r>
      <w:r>
        <w:rPr>
          <w:spacing w:val="-5"/>
          <w:sz w:val="18"/>
        </w:rPr>
        <w:t xml:space="preserve"> </w:t>
      </w:r>
      <w:r>
        <w:rPr>
          <w:sz w:val="18"/>
        </w:rPr>
        <w:t xml:space="preserve">included in the Charter: AHRC, </w:t>
      </w:r>
      <w:r>
        <w:rPr>
          <w:i/>
          <w:sz w:val="18"/>
        </w:rPr>
        <w:t xml:space="preserve">A Human Rights Act for Australia </w:t>
      </w:r>
      <w:r>
        <w:rPr>
          <w:sz w:val="18"/>
        </w:rPr>
        <w:t>149.</w:t>
      </w:r>
    </w:p>
    <w:p w14:paraId="7CB26103" w14:textId="77777777" w:rsidR="008A4099" w:rsidRDefault="006A6EE2">
      <w:pPr>
        <w:spacing w:before="23"/>
        <w:ind w:left="160"/>
        <w:rPr>
          <w:sz w:val="18"/>
        </w:rPr>
      </w:pPr>
      <w:r>
        <w:rPr>
          <w:sz w:val="18"/>
          <w:vertAlign w:val="superscript"/>
        </w:rPr>
        <w:t>378</w:t>
      </w:r>
      <w:r>
        <w:rPr>
          <w:spacing w:val="-1"/>
          <w:sz w:val="18"/>
        </w:rPr>
        <w:t xml:space="preserve"> </w:t>
      </w:r>
      <w:r>
        <w:rPr>
          <w:sz w:val="18"/>
        </w:rPr>
        <w:t>See</w:t>
      </w:r>
      <w:r>
        <w:rPr>
          <w:spacing w:val="-1"/>
          <w:sz w:val="18"/>
        </w:rPr>
        <w:t xml:space="preserve"> </w:t>
      </w:r>
      <w:r>
        <w:rPr>
          <w:sz w:val="18"/>
        </w:rPr>
        <w:t>Brett Young,</w:t>
      </w:r>
      <w:r>
        <w:rPr>
          <w:spacing w:val="2"/>
          <w:sz w:val="18"/>
        </w:rPr>
        <w:t xml:space="preserve"> </w:t>
      </w:r>
      <w:r>
        <w:rPr>
          <w:i/>
          <w:sz w:val="18"/>
        </w:rPr>
        <w:t>From Commitment to</w:t>
      </w:r>
      <w:r>
        <w:rPr>
          <w:i/>
          <w:spacing w:val="1"/>
          <w:sz w:val="18"/>
        </w:rPr>
        <w:t xml:space="preserve"> </w:t>
      </w:r>
      <w:r>
        <w:rPr>
          <w:i/>
          <w:sz w:val="18"/>
        </w:rPr>
        <w:t>Culture</w:t>
      </w:r>
      <w:r>
        <w:rPr>
          <w:i/>
          <w:spacing w:val="1"/>
          <w:sz w:val="18"/>
        </w:rPr>
        <w:t xml:space="preserve"> </w:t>
      </w:r>
      <w:r>
        <w:rPr>
          <w:spacing w:val="-2"/>
          <w:sz w:val="18"/>
        </w:rPr>
        <w:t>74–75.</w:t>
      </w:r>
    </w:p>
    <w:p w14:paraId="7CB26104" w14:textId="77777777" w:rsidR="008A4099" w:rsidRDefault="006A6EE2">
      <w:pPr>
        <w:spacing w:before="24"/>
        <w:ind w:left="160"/>
        <w:rPr>
          <w:sz w:val="18"/>
        </w:rPr>
      </w:pPr>
      <w:r>
        <w:rPr>
          <w:sz w:val="18"/>
          <w:vertAlign w:val="superscript"/>
        </w:rPr>
        <w:t>379</w:t>
      </w:r>
      <w:r>
        <w:rPr>
          <w:sz w:val="18"/>
        </w:rPr>
        <w:t xml:space="preserve"> Judicial</w:t>
      </w:r>
      <w:r>
        <w:rPr>
          <w:spacing w:val="1"/>
          <w:sz w:val="18"/>
        </w:rPr>
        <w:t xml:space="preserve"> </w:t>
      </w:r>
      <w:r>
        <w:rPr>
          <w:sz w:val="18"/>
        </w:rPr>
        <w:t>College</w:t>
      </w:r>
      <w:r>
        <w:rPr>
          <w:spacing w:val="-2"/>
          <w:sz w:val="18"/>
        </w:rPr>
        <w:t xml:space="preserve"> </w:t>
      </w:r>
      <w:r>
        <w:rPr>
          <w:sz w:val="18"/>
        </w:rPr>
        <w:t>of Victoria,</w:t>
      </w:r>
      <w:r>
        <w:rPr>
          <w:spacing w:val="-1"/>
          <w:sz w:val="18"/>
        </w:rPr>
        <w:t xml:space="preserve"> </w:t>
      </w:r>
      <w:r>
        <w:rPr>
          <w:i/>
          <w:sz w:val="18"/>
        </w:rPr>
        <w:t>Charter of</w:t>
      </w:r>
      <w:r>
        <w:rPr>
          <w:i/>
          <w:spacing w:val="2"/>
          <w:sz w:val="18"/>
        </w:rPr>
        <w:t xml:space="preserve"> </w:t>
      </w:r>
      <w:r>
        <w:rPr>
          <w:i/>
          <w:sz w:val="18"/>
        </w:rPr>
        <w:t>Human</w:t>
      </w:r>
      <w:r>
        <w:rPr>
          <w:i/>
          <w:spacing w:val="1"/>
          <w:sz w:val="18"/>
        </w:rPr>
        <w:t xml:space="preserve"> </w:t>
      </w:r>
      <w:r>
        <w:rPr>
          <w:i/>
          <w:sz w:val="18"/>
        </w:rPr>
        <w:t>Rights Bench</w:t>
      </w:r>
      <w:r>
        <w:rPr>
          <w:i/>
          <w:spacing w:val="-1"/>
          <w:sz w:val="18"/>
        </w:rPr>
        <w:t xml:space="preserve"> </w:t>
      </w:r>
      <w:r>
        <w:rPr>
          <w:i/>
          <w:sz w:val="18"/>
        </w:rPr>
        <w:t xml:space="preserve">Book </w:t>
      </w:r>
      <w:r>
        <w:rPr>
          <w:spacing w:val="-2"/>
          <w:sz w:val="18"/>
        </w:rPr>
        <w:t>[2.4]</w:t>
      </w:r>
    </w:p>
    <w:p w14:paraId="7CB26105" w14:textId="77777777" w:rsidR="008A4099" w:rsidRDefault="006A6EE2">
      <w:pPr>
        <w:spacing w:before="4"/>
        <w:ind w:left="160"/>
        <w:rPr>
          <w:sz w:val="18"/>
        </w:rPr>
      </w:pPr>
      <w:r>
        <w:rPr>
          <w:spacing w:val="-2"/>
          <w:sz w:val="18"/>
        </w:rPr>
        <w:t>&lt;https://</w:t>
      </w:r>
      <w:hyperlink r:id="rId140" w:anchor="57269.htm">
        <w:r>
          <w:rPr>
            <w:spacing w:val="-2"/>
            <w:sz w:val="18"/>
          </w:rPr>
          <w:t>www.judicialcollege.vic.edu.au/eManuals/CHRBB/index.htm#57269.htm&gt;</w:t>
        </w:r>
      </w:hyperlink>
      <w:r>
        <w:rPr>
          <w:spacing w:val="-2"/>
          <w:sz w:val="18"/>
        </w:rPr>
        <w:t>.</w:t>
      </w:r>
    </w:p>
    <w:p w14:paraId="7CB26106" w14:textId="77777777" w:rsidR="008A4099" w:rsidRDefault="006A6EE2">
      <w:pPr>
        <w:spacing w:before="19"/>
        <w:ind w:left="160"/>
        <w:rPr>
          <w:sz w:val="18"/>
        </w:rPr>
      </w:pPr>
      <w:r>
        <w:rPr>
          <w:w w:val="105"/>
          <w:sz w:val="18"/>
          <w:vertAlign w:val="superscript"/>
        </w:rPr>
        <w:t>380</w:t>
      </w:r>
      <w:r>
        <w:rPr>
          <w:spacing w:val="1"/>
          <w:w w:val="105"/>
          <w:sz w:val="18"/>
        </w:rPr>
        <w:t xml:space="preserve"> </w:t>
      </w:r>
      <w:r>
        <w:rPr>
          <w:spacing w:val="-2"/>
          <w:w w:val="105"/>
          <w:sz w:val="18"/>
        </w:rPr>
        <w:t>Ibid.</w:t>
      </w:r>
    </w:p>
    <w:p w14:paraId="7CB26107" w14:textId="77777777" w:rsidR="008A4099" w:rsidRDefault="006A6EE2">
      <w:pPr>
        <w:spacing w:before="23" w:line="242" w:lineRule="auto"/>
        <w:ind w:left="160" w:right="673"/>
        <w:jc w:val="both"/>
        <w:rPr>
          <w:sz w:val="18"/>
        </w:rPr>
      </w:pPr>
      <w:r>
        <w:rPr>
          <w:sz w:val="18"/>
          <w:vertAlign w:val="superscript"/>
        </w:rPr>
        <w:t>381</w:t>
      </w:r>
      <w:r>
        <w:rPr>
          <w:sz w:val="18"/>
        </w:rPr>
        <w:t xml:space="preserve"> Ibid. It is noted that the 2015 Victorian Review noted that references to committal proceedings and issuing warrants have been</w:t>
      </w:r>
      <w:r>
        <w:rPr>
          <w:spacing w:val="-3"/>
          <w:sz w:val="18"/>
        </w:rPr>
        <w:t xml:space="preserve"> </w:t>
      </w:r>
      <w:r>
        <w:rPr>
          <w:sz w:val="18"/>
        </w:rPr>
        <w:t>largely</w:t>
      </w:r>
      <w:r>
        <w:rPr>
          <w:spacing w:val="-5"/>
          <w:sz w:val="18"/>
        </w:rPr>
        <w:t xml:space="preserve"> </w:t>
      </w:r>
      <w:r>
        <w:rPr>
          <w:sz w:val="18"/>
        </w:rPr>
        <w:t>uncontroversial,</w:t>
      </w:r>
      <w:r>
        <w:rPr>
          <w:spacing w:val="-6"/>
          <w:sz w:val="18"/>
        </w:rPr>
        <w:t xml:space="preserve"> </w:t>
      </w:r>
      <w:r>
        <w:rPr>
          <w:sz w:val="18"/>
        </w:rPr>
        <w:t>but</w:t>
      </w:r>
      <w:r>
        <w:rPr>
          <w:spacing w:val="-6"/>
          <w:sz w:val="18"/>
        </w:rPr>
        <w:t xml:space="preserve"> </w:t>
      </w:r>
      <w:r>
        <w:rPr>
          <w:sz w:val="18"/>
        </w:rPr>
        <w:t>that</w:t>
      </w:r>
      <w:r>
        <w:rPr>
          <w:spacing w:val="-4"/>
          <w:sz w:val="18"/>
        </w:rPr>
        <w:t xml:space="preserve"> </w:t>
      </w:r>
      <w:r>
        <w:rPr>
          <w:sz w:val="18"/>
        </w:rPr>
        <w:t>case</w:t>
      </w:r>
      <w:r>
        <w:rPr>
          <w:spacing w:val="-5"/>
          <w:sz w:val="18"/>
        </w:rPr>
        <w:t xml:space="preserve"> </w:t>
      </w:r>
      <w:r>
        <w:rPr>
          <w:sz w:val="18"/>
        </w:rPr>
        <w:t>law</w:t>
      </w:r>
      <w:r>
        <w:rPr>
          <w:spacing w:val="-5"/>
          <w:sz w:val="18"/>
        </w:rPr>
        <w:t xml:space="preserve"> </w:t>
      </w:r>
      <w:r>
        <w:rPr>
          <w:sz w:val="18"/>
        </w:rPr>
        <w:t>had</w:t>
      </w:r>
      <w:r>
        <w:rPr>
          <w:spacing w:val="-3"/>
          <w:sz w:val="18"/>
        </w:rPr>
        <w:t xml:space="preserve"> </w:t>
      </w:r>
      <w:r>
        <w:rPr>
          <w:sz w:val="18"/>
        </w:rPr>
        <w:t>raised</w:t>
      </w:r>
      <w:r>
        <w:rPr>
          <w:spacing w:val="-3"/>
          <w:sz w:val="18"/>
        </w:rPr>
        <w:t xml:space="preserve"> </w:t>
      </w:r>
      <w:r>
        <w:rPr>
          <w:sz w:val="18"/>
        </w:rPr>
        <w:t>questions</w:t>
      </w:r>
      <w:r>
        <w:rPr>
          <w:spacing w:val="-7"/>
          <w:sz w:val="18"/>
        </w:rPr>
        <w:t xml:space="preserve"> </w:t>
      </w:r>
      <w:r>
        <w:rPr>
          <w:sz w:val="18"/>
        </w:rPr>
        <w:t>about</w:t>
      </w:r>
      <w:r>
        <w:rPr>
          <w:spacing w:val="-6"/>
          <w:sz w:val="18"/>
        </w:rPr>
        <w:t xml:space="preserve"> </w:t>
      </w:r>
      <w:r>
        <w:rPr>
          <w:sz w:val="18"/>
        </w:rPr>
        <w:t>listing</w:t>
      </w:r>
      <w:r>
        <w:rPr>
          <w:spacing w:val="-3"/>
          <w:sz w:val="18"/>
        </w:rPr>
        <w:t xml:space="preserve"> </w:t>
      </w:r>
      <w:r>
        <w:rPr>
          <w:sz w:val="18"/>
        </w:rPr>
        <w:t>cases</w:t>
      </w:r>
      <w:r>
        <w:rPr>
          <w:spacing w:val="-5"/>
          <w:sz w:val="18"/>
        </w:rPr>
        <w:t xml:space="preserve"> </w:t>
      </w:r>
      <w:r>
        <w:rPr>
          <w:sz w:val="18"/>
        </w:rPr>
        <w:t>and</w:t>
      </w:r>
      <w:r>
        <w:rPr>
          <w:spacing w:val="-3"/>
          <w:sz w:val="18"/>
        </w:rPr>
        <w:t xml:space="preserve"> </w:t>
      </w:r>
      <w:r>
        <w:rPr>
          <w:sz w:val="18"/>
        </w:rPr>
        <w:t>adopting</w:t>
      </w:r>
      <w:r>
        <w:rPr>
          <w:spacing w:val="-6"/>
          <w:sz w:val="18"/>
        </w:rPr>
        <w:t xml:space="preserve"> </w:t>
      </w:r>
      <w:r>
        <w:rPr>
          <w:sz w:val="18"/>
        </w:rPr>
        <w:t>practices</w:t>
      </w:r>
      <w:r>
        <w:rPr>
          <w:spacing w:val="-5"/>
          <w:sz w:val="18"/>
        </w:rPr>
        <w:t xml:space="preserve"> </w:t>
      </w:r>
      <w:r>
        <w:rPr>
          <w:sz w:val="18"/>
        </w:rPr>
        <w:t>and</w:t>
      </w:r>
      <w:r>
        <w:rPr>
          <w:spacing w:val="-3"/>
          <w:sz w:val="18"/>
        </w:rPr>
        <w:t xml:space="preserve"> </w:t>
      </w:r>
      <w:r>
        <w:rPr>
          <w:sz w:val="18"/>
        </w:rPr>
        <w:t>procedures. The example provided was listing of cases which could be the exercise of an administrative power if done by administrative or</w:t>
      </w:r>
      <w:r>
        <w:rPr>
          <w:spacing w:val="-7"/>
          <w:sz w:val="18"/>
        </w:rPr>
        <w:t xml:space="preserve"> </w:t>
      </w:r>
      <w:r>
        <w:rPr>
          <w:sz w:val="18"/>
        </w:rPr>
        <w:t>registry</w:t>
      </w:r>
      <w:r>
        <w:rPr>
          <w:spacing w:val="-5"/>
          <w:sz w:val="18"/>
        </w:rPr>
        <w:t xml:space="preserve"> </w:t>
      </w:r>
      <w:r>
        <w:rPr>
          <w:sz w:val="18"/>
        </w:rPr>
        <w:t>staff</w:t>
      </w:r>
      <w:r>
        <w:rPr>
          <w:spacing w:val="-7"/>
          <w:sz w:val="18"/>
        </w:rPr>
        <w:t xml:space="preserve"> </w:t>
      </w:r>
      <w:r>
        <w:rPr>
          <w:sz w:val="18"/>
        </w:rPr>
        <w:t>and</w:t>
      </w:r>
      <w:r>
        <w:rPr>
          <w:spacing w:val="-6"/>
          <w:sz w:val="18"/>
        </w:rPr>
        <w:t xml:space="preserve"> </w:t>
      </w:r>
      <w:r>
        <w:rPr>
          <w:sz w:val="18"/>
        </w:rPr>
        <w:t>the</w:t>
      </w:r>
      <w:r>
        <w:rPr>
          <w:spacing w:val="-7"/>
          <w:sz w:val="18"/>
        </w:rPr>
        <w:t xml:space="preserve"> </w:t>
      </w:r>
      <w:r>
        <w:rPr>
          <w:sz w:val="18"/>
        </w:rPr>
        <w:t>exercise</w:t>
      </w:r>
      <w:r>
        <w:rPr>
          <w:spacing w:val="-7"/>
          <w:sz w:val="18"/>
        </w:rPr>
        <w:t xml:space="preserve"> </w:t>
      </w:r>
      <w:r>
        <w:rPr>
          <w:sz w:val="18"/>
        </w:rPr>
        <w:t>of</w:t>
      </w:r>
      <w:r>
        <w:rPr>
          <w:spacing w:val="-7"/>
          <w:sz w:val="18"/>
        </w:rPr>
        <w:t xml:space="preserve"> </w:t>
      </w:r>
      <w:r>
        <w:rPr>
          <w:sz w:val="18"/>
        </w:rPr>
        <w:t>judicial</w:t>
      </w:r>
      <w:r>
        <w:rPr>
          <w:spacing w:val="-6"/>
          <w:sz w:val="18"/>
        </w:rPr>
        <w:t xml:space="preserve"> </w:t>
      </w:r>
      <w:r>
        <w:rPr>
          <w:sz w:val="18"/>
        </w:rPr>
        <w:t>power</w:t>
      </w:r>
      <w:r>
        <w:rPr>
          <w:spacing w:val="-7"/>
          <w:sz w:val="18"/>
        </w:rPr>
        <w:t xml:space="preserve"> </w:t>
      </w:r>
      <w:r>
        <w:rPr>
          <w:sz w:val="18"/>
        </w:rPr>
        <w:t>when</w:t>
      </w:r>
      <w:r>
        <w:rPr>
          <w:spacing w:val="-6"/>
          <w:sz w:val="18"/>
        </w:rPr>
        <w:t xml:space="preserve"> </w:t>
      </w:r>
      <w:r>
        <w:rPr>
          <w:sz w:val="18"/>
        </w:rPr>
        <w:t>done</w:t>
      </w:r>
      <w:r>
        <w:rPr>
          <w:spacing w:val="-7"/>
          <w:sz w:val="18"/>
        </w:rPr>
        <w:t xml:space="preserve"> </w:t>
      </w:r>
      <w:r>
        <w:rPr>
          <w:sz w:val="18"/>
        </w:rPr>
        <w:t>by</w:t>
      </w:r>
      <w:r>
        <w:rPr>
          <w:spacing w:val="-6"/>
          <w:sz w:val="18"/>
        </w:rPr>
        <w:t xml:space="preserve"> </w:t>
      </w:r>
      <w:r>
        <w:rPr>
          <w:sz w:val="18"/>
        </w:rPr>
        <w:t>a</w:t>
      </w:r>
      <w:r>
        <w:rPr>
          <w:spacing w:val="-7"/>
          <w:sz w:val="18"/>
        </w:rPr>
        <w:t xml:space="preserve"> </w:t>
      </w:r>
      <w:r>
        <w:rPr>
          <w:sz w:val="18"/>
        </w:rPr>
        <w:t>judicial</w:t>
      </w:r>
      <w:r>
        <w:rPr>
          <w:spacing w:val="-6"/>
          <w:sz w:val="18"/>
        </w:rPr>
        <w:t xml:space="preserve"> </w:t>
      </w:r>
      <w:r>
        <w:rPr>
          <w:sz w:val="18"/>
        </w:rPr>
        <w:t>officer:</w:t>
      </w:r>
      <w:r>
        <w:rPr>
          <w:spacing w:val="-6"/>
          <w:sz w:val="18"/>
        </w:rPr>
        <w:t xml:space="preserve"> </w:t>
      </w:r>
      <w:r>
        <w:rPr>
          <w:sz w:val="18"/>
        </w:rPr>
        <w:t>Brett</w:t>
      </w:r>
      <w:r>
        <w:rPr>
          <w:spacing w:val="-6"/>
          <w:sz w:val="18"/>
        </w:rPr>
        <w:t xml:space="preserve"> </w:t>
      </w:r>
      <w:r>
        <w:rPr>
          <w:sz w:val="18"/>
        </w:rPr>
        <w:t>Young,</w:t>
      </w:r>
      <w:r>
        <w:rPr>
          <w:spacing w:val="-2"/>
          <w:sz w:val="18"/>
        </w:rPr>
        <w:t xml:space="preserve"> </w:t>
      </w:r>
      <w:r>
        <w:rPr>
          <w:i/>
          <w:sz w:val="18"/>
        </w:rPr>
        <w:t>From</w:t>
      </w:r>
      <w:r>
        <w:rPr>
          <w:i/>
          <w:spacing w:val="-7"/>
          <w:sz w:val="18"/>
        </w:rPr>
        <w:t xml:space="preserve"> </w:t>
      </w:r>
      <w:r>
        <w:rPr>
          <w:i/>
          <w:sz w:val="18"/>
        </w:rPr>
        <w:t>Commitment</w:t>
      </w:r>
      <w:r>
        <w:rPr>
          <w:i/>
          <w:spacing w:val="-6"/>
          <w:sz w:val="18"/>
        </w:rPr>
        <w:t xml:space="preserve"> </w:t>
      </w:r>
      <w:r>
        <w:rPr>
          <w:i/>
          <w:sz w:val="18"/>
        </w:rPr>
        <w:t>to</w:t>
      </w:r>
      <w:r>
        <w:rPr>
          <w:i/>
          <w:spacing w:val="-5"/>
          <w:sz w:val="18"/>
        </w:rPr>
        <w:t xml:space="preserve"> </w:t>
      </w:r>
      <w:r>
        <w:rPr>
          <w:i/>
          <w:sz w:val="18"/>
        </w:rPr>
        <w:t xml:space="preserve">Culture </w:t>
      </w:r>
      <w:r>
        <w:rPr>
          <w:sz w:val="18"/>
        </w:rPr>
        <w:t xml:space="preserve">76, referring to </w:t>
      </w:r>
      <w:r>
        <w:rPr>
          <w:i/>
          <w:sz w:val="18"/>
        </w:rPr>
        <w:t xml:space="preserve">Kracke v Mental Health Tribunal </w:t>
      </w:r>
      <w:r>
        <w:rPr>
          <w:sz w:val="18"/>
        </w:rPr>
        <w:t>[2009] VCAT 646.</w:t>
      </w:r>
    </w:p>
    <w:p w14:paraId="7CB26108" w14:textId="77777777" w:rsidR="008A4099" w:rsidRDefault="006A6EE2">
      <w:pPr>
        <w:spacing w:before="13"/>
        <w:ind w:left="160"/>
        <w:rPr>
          <w:sz w:val="18"/>
        </w:rPr>
      </w:pPr>
      <w:r>
        <w:rPr>
          <w:sz w:val="18"/>
          <w:vertAlign w:val="superscript"/>
        </w:rPr>
        <w:t>382</w:t>
      </w:r>
      <w:r>
        <w:rPr>
          <w:sz w:val="18"/>
        </w:rPr>
        <w:t xml:space="preserve"> Judicial College</w:t>
      </w:r>
      <w:r>
        <w:rPr>
          <w:spacing w:val="-3"/>
          <w:sz w:val="18"/>
        </w:rPr>
        <w:t xml:space="preserve"> </w:t>
      </w:r>
      <w:r>
        <w:rPr>
          <w:sz w:val="18"/>
        </w:rPr>
        <w:t xml:space="preserve">of Victoria, </w:t>
      </w:r>
      <w:r>
        <w:rPr>
          <w:i/>
          <w:sz w:val="18"/>
        </w:rPr>
        <w:t>Charter of</w:t>
      </w:r>
      <w:r>
        <w:rPr>
          <w:i/>
          <w:spacing w:val="1"/>
          <w:sz w:val="18"/>
        </w:rPr>
        <w:t xml:space="preserve"> </w:t>
      </w:r>
      <w:r>
        <w:rPr>
          <w:i/>
          <w:sz w:val="18"/>
        </w:rPr>
        <w:t>Human</w:t>
      </w:r>
      <w:r>
        <w:rPr>
          <w:i/>
          <w:spacing w:val="1"/>
          <w:sz w:val="18"/>
        </w:rPr>
        <w:t xml:space="preserve"> </w:t>
      </w:r>
      <w:r>
        <w:rPr>
          <w:i/>
          <w:sz w:val="18"/>
        </w:rPr>
        <w:t>Rights Bench</w:t>
      </w:r>
      <w:r>
        <w:rPr>
          <w:i/>
          <w:spacing w:val="-1"/>
          <w:sz w:val="18"/>
        </w:rPr>
        <w:t xml:space="preserve"> </w:t>
      </w:r>
      <w:r>
        <w:rPr>
          <w:i/>
          <w:sz w:val="18"/>
        </w:rPr>
        <w:t>Book</w:t>
      </w:r>
      <w:r>
        <w:rPr>
          <w:i/>
          <w:spacing w:val="2"/>
          <w:sz w:val="18"/>
        </w:rPr>
        <w:t xml:space="preserve"> </w:t>
      </w:r>
      <w:r>
        <w:rPr>
          <w:spacing w:val="-2"/>
          <w:sz w:val="18"/>
        </w:rPr>
        <w:t>[2.4]</w:t>
      </w:r>
    </w:p>
    <w:p w14:paraId="7CB26109" w14:textId="77777777" w:rsidR="008A4099" w:rsidRDefault="006A6EE2">
      <w:pPr>
        <w:spacing w:before="24"/>
        <w:ind w:left="160"/>
        <w:rPr>
          <w:i/>
          <w:sz w:val="18"/>
        </w:rPr>
      </w:pPr>
      <w:r>
        <w:rPr>
          <w:sz w:val="18"/>
          <w:vertAlign w:val="superscript"/>
        </w:rPr>
        <w:t>383</w:t>
      </w:r>
      <w:r>
        <w:rPr>
          <w:spacing w:val="9"/>
          <w:sz w:val="18"/>
        </w:rPr>
        <w:t xml:space="preserve"> </w:t>
      </w:r>
      <w:r>
        <w:rPr>
          <w:sz w:val="18"/>
        </w:rPr>
        <w:t>See</w:t>
      </w:r>
      <w:r>
        <w:rPr>
          <w:spacing w:val="9"/>
          <w:sz w:val="18"/>
        </w:rPr>
        <w:t xml:space="preserve"> </w:t>
      </w:r>
      <w:r>
        <w:rPr>
          <w:sz w:val="18"/>
        </w:rPr>
        <w:t>Queensland</w:t>
      </w:r>
      <w:r>
        <w:rPr>
          <w:spacing w:val="11"/>
          <w:sz w:val="18"/>
        </w:rPr>
        <w:t xml:space="preserve"> </w:t>
      </w:r>
      <w:r>
        <w:rPr>
          <w:sz w:val="18"/>
        </w:rPr>
        <w:t>Human</w:t>
      </w:r>
      <w:r>
        <w:rPr>
          <w:spacing w:val="11"/>
          <w:sz w:val="18"/>
        </w:rPr>
        <w:t xml:space="preserve"> </w:t>
      </w:r>
      <w:r>
        <w:rPr>
          <w:sz w:val="18"/>
        </w:rPr>
        <w:t>Rights</w:t>
      </w:r>
      <w:r>
        <w:rPr>
          <w:spacing w:val="7"/>
          <w:sz w:val="18"/>
        </w:rPr>
        <w:t xml:space="preserve"> </w:t>
      </w:r>
      <w:r>
        <w:rPr>
          <w:sz w:val="18"/>
        </w:rPr>
        <w:t>Commission,</w:t>
      </w:r>
      <w:r>
        <w:rPr>
          <w:spacing w:val="12"/>
          <w:sz w:val="18"/>
        </w:rPr>
        <w:t xml:space="preserve"> </w:t>
      </w:r>
      <w:r>
        <w:rPr>
          <w:i/>
          <w:sz w:val="18"/>
        </w:rPr>
        <w:t>Factsheet:</w:t>
      </w:r>
      <w:r>
        <w:rPr>
          <w:i/>
          <w:spacing w:val="10"/>
          <w:sz w:val="18"/>
        </w:rPr>
        <w:t xml:space="preserve"> </w:t>
      </w:r>
      <w:r>
        <w:rPr>
          <w:i/>
          <w:sz w:val="18"/>
        </w:rPr>
        <w:t>The</w:t>
      </w:r>
      <w:r>
        <w:rPr>
          <w:i/>
          <w:spacing w:val="10"/>
          <w:sz w:val="18"/>
        </w:rPr>
        <w:t xml:space="preserve"> </w:t>
      </w:r>
      <w:r>
        <w:rPr>
          <w:i/>
          <w:sz w:val="18"/>
        </w:rPr>
        <w:t>Role</w:t>
      </w:r>
      <w:r>
        <w:rPr>
          <w:i/>
          <w:spacing w:val="9"/>
          <w:sz w:val="18"/>
        </w:rPr>
        <w:t xml:space="preserve"> </w:t>
      </w:r>
      <w:r>
        <w:rPr>
          <w:i/>
          <w:sz w:val="18"/>
        </w:rPr>
        <w:t>of</w:t>
      </w:r>
      <w:r>
        <w:rPr>
          <w:i/>
          <w:spacing w:val="9"/>
          <w:sz w:val="18"/>
        </w:rPr>
        <w:t xml:space="preserve"> </w:t>
      </w:r>
      <w:r>
        <w:rPr>
          <w:i/>
          <w:sz w:val="18"/>
        </w:rPr>
        <w:t>Courts</w:t>
      </w:r>
      <w:r>
        <w:rPr>
          <w:i/>
          <w:spacing w:val="7"/>
          <w:sz w:val="18"/>
        </w:rPr>
        <w:t xml:space="preserve"> </w:t>
      </w:r>
      <w:r>
        <w:rPr>
          <w:i/>
          <w:sz w:val="18"/>
        </w:rPr>
        <w:t>and</w:t>
      </w:r>
      <w:r>
        <w:rPr>
          <w:i/>
          <w:spacing w:val="11"/>
          <w:sz w:val="18"/>
        </w:rPr>
        <w:t xml:space="preserve"> </w:t>
      </w:r>
      <w:r>
        <w:rPr>
          <w:i/>
          <w:sz w:val="18"/>
        </w:rPr>
        <w:t>Tribunals</w:t>
      </w:r>
      <w:r>
        <w:rPr>
          <w:i/>
          <w:spacing w:val="7"/>
          <w:sz w:val="18"/>
        </w:rPr>
        <w:t xml:space="preserve"> </w:t>
      </w:r>
      <w:r>
        <w:rPr>
          <w:i/>
          <w:sz w:val="18"/>
        </w:rPr>
        <w:t>under</w:t>
      </w:r>
      <w:r>
        <w:rPr>
          <w:i/>
          <w:spacing w:val="9"/>
          <w:sz w:val="18"/>
        </w:rPr>
        <w:t xml:space="preserve"> </w:t>
      </w:r>
      <w:r>
        <w:rPr>
          <w:i/>
          <w:sz w:val="18"/>
        </w:rPr>
        <w:t>the</w:t>
      </w:r>
      <w:r>
        <w:rPr>
          <w:i/>
          <w:spacing w:val="11"/>
          <w:sz w:val="18"/>
        </w:rPr>
        <w:t xml:space="preserve"> </w:t>
      </w:r>
      <w:r>
        <w:rPr>
          <w:i/>
          <w:sz w:val="18"/>
        </w:rPr>
        <w:t>Human</w:t>
      </w:r>
      <w:r>
        <w:rPr>
          <w:i/>
          <w:spacing w:val="10"/>
          <w:sz w:val="18"/>
        </w:rPr>
        <w:t xml:space="preserve"> </w:t>
      </w:r>
      <w:r>
        <w:rPr>
          <w:i/>
          <w:sz w:val="18"/>
        </w:rPr>
        <w:t>Rights</w:t>
      </w:r>
      <w:r>
        <w:rPr>
          <w:i/>
          <w:spacing w:val="9"/>
          <w:sz w:val="18"/>
        </w:rPr>
        <w:t xml:space="preserve"> </w:t>
      </w:r>
      <w:r>
        <w:rPr>
          <w:i/>
          <w:spacing w:val="-5"/>
          <w:sz w:val="18"/>
        </w:rPr>
        <w:t>Act</w:t>
      </w:r>
    </w:p>
    <w:p w14:paraId="7CB2610A" w14:textId="77777777" w:rsidR="008A4099" w:rsidRDefault="006A6EE2">
      <w:pPr>
        <w:spacing w:before="4"/>
        <w:ind w:left="160"/>
        <w:rPr>
          <w:sz w:val="18"/>
        </w:rPr>
      </w:pPr>
      <w:r>
        <w:rPr>
          <w:sz w:val="18"/>
        </w:rPr>
        <w:t>2019 (2019)</w:t>
      </w:r>
      <w:r>
        <w:rPr>
          <w:spacing w:val="-2"/>
          <w:sz w:val="18"/>
        </w:rPr>
        <w:t xml:space="preserve"> &lt;</w:t>
      </w:r>
      <w:hyperlink r:id="rId141">
        <w:r>
          <w:rPr>
            <w:spacing w:val="-2"/>
            <w:sz w:val="18"/>
          </w:rPr>
          <w:t>QHRC_factsheet_HRA_RoleOfCourtsAndTribunals.pdf</w:t>
        </w:r>
      </w:hyperlink>
      <w:r>
        <w:rPr>
          <w:spacing w:val="-2"/>
          <w:sz w:val="18"/>
        </w:rPr>
        <w:t>&gt;.</w:t>
      </w:r>
    </w:p>
    <w:p w14:paraId="7CB2610B" w14:textId="77777777" w:rsidR="008A4099" w:rsidRDefault="006A6EE2">
      <w:pPr>
        <w:spacing w:before="18"/>
        <w:ind w:left="160"/>
        <w:rPr>
          <w:sz w:val="18"/>
        </w:rPr>
      </w:pPr>
      <w:r>
        <w:rPr>
          <w:w w:val="105"/>
          <w:sz w:val="18"/>
          <w:vertAlign w:val="superscript"/>
        </w:rPr>
        <w:t>384</w:t>
      </w:r>
      <w:r>
        <w:rPr>
          <w:spacing w:val="1"/>
          <w:w w:val="105"/>
          <w:sz w:val="18"/>
        </w:rPr>
        <w:t xml:space="preserve"> </w:t>
      </w:r>
      <w:r>
        <w:rPr>
          <w:spacing w:val="-2"/>
          <w:w w:val="105"/>
          <w:sz w:val="18"/>
        </w:rPr>
        <w:t>Ibid.</w:t>
      </w:r>
    </w:p>
    <w:p w14:paraId="7CB2610C" w14:textId="77777777" w:rsidR="008A4099" w:rsidRDefault="008A4099">
      <w:pPr>
        <w:rPr>
          <w:sz w:val="18"/>
        </w:rPr>
        <w:sectPr w:rsidR="008A4099" w:rsidSect="00D43B2D">
          <w:pgSz w:w="11910" w:h="16840"/>
          <w:pgMar w:top="980" w:right="760" w:bottom="940" w:left="1280" w:header="718" w:footer="753" w:gutter="0"/>
          <w:cols w:space="720"/>
        </w:sectPr>
      </w:pPr>
    </w:p>
    <w:p w14:paraId="7CB2610D" w14:textId="77777777" w:rsidR="008A4099" w:rsidRDefault="008A4099">
      <w:pPr>
        <w:pStyle w:val="BodyText"/>
        <w:spacing w:before="196"/>
      </w:pPr>
    </w:p>
    <w:p w14:paraId="7CB2610E" w14:textId="77777777" w:rsidR="008A4099" w:rsidRDefault="006A6EE2">
      <w:pPr>
        <w:pStyle w:val="Heading5"/>
        <w:spacing w:before="1"/>
      </w:pPr>
      <w:r>
        <w:t>TLRI’s</w:t>
      </w:r>
      <w:r>
        <w:rPr>
          <w:spacing w:val="-4"/>
        </w:rPr>
        <w:t xml:space="preserve"> </w:t>
      </w:r>
      <w:r>
        <w:t>current</w:t>
      </w:r>
      <w:r>
        <w:rPr>
          <w:spacing w:val="-4"/>
        </w:rPr>
        <w:t xml:space="preserve"> view</w:t>
      </w:r>
    </w:p>
    <w:p w14:paraId="7CB2610F" w14:textId="77777777" w:rsidR="008A4099" w:rsidRDefault="008A4099">
      <w:pPr>
        <w:pStyle w:val="BodyText"/>
        <w:spacing w:before="22"/>
        <w:rPr>
          <w:b/>
        </w:rPr>
      </w:pPr>
    </w:p>
    <w:p w14:paraId="7CB26110" w14:textId="77777777" w:rsidR="008A4099" w:rsidRDefault="006A6EE2">
      <w:pPr>
        <w:pStyle w:val="ListParagraph"/>
        <w:numPr>
          <w:ilvl w:val="2"/>
          <w:numId w:val="3"/>
        </w:numPr>
        <w:tabs>
          <w:tab w:val="left" w:pos="879"/>
        </w:tabs>
        <w:spacing w:before="1"/>
        <w:ind w:right="674" w:firstLine="0"/>
        <w:jc w:val="both"/>
      </w:pPr>
      <w:r>
        <w:t>The TLRI’s view is that courts should be included in the definition of public authority when acting in an administrative capacity.</w:t>
      </w:r>
      <w:r>
        <w:rPr>
          <w:position w:val="7"/>
          <w:sz w:val="13"/>
        </w:rPr>
        <w:t>385</w:t>
      </w:r>
      <w:r>
        <w:rPr>
          <w:spacing w:val="40"/>
          <w:position w:val="7"/>
          <w:sz w:val="13"/>
        </w:rPr>
        <w:t xml:space="preserve"> </w:t>
      </w:r>
      <w:r>
        <w:t>This means that courts and tribunals when acting in an administrative capacity would be subject to Charter obligations (as set out in Recommendation 9) ‘to act in a way that is compatible with human rights and, when making decisions, to give proper consideration to relevant human rights unless otherwise required by particular legislation’.</w:t>
      </w:r>
      <w:r>
        <w:rPr>
          <w:position w:val="7"/>
          <w:sz w:val="13"/>
        </w:rPr>
        <w:t>386</w:t>
      </w:r>
      <w:r>
        <w:rPr>
          <w:spacing w:val="39"/>
          <w:position w:val="7"/>
          <w:sz w:val="13"/>
        </w:rPr>
        <w:t xml:space="preserve"> </w:t>
      </w:r>
      <w:r>
        <w:t>This is also consistent with the obligation placed on courts and tribunals in other Australian jurisdictions. Further,</w:t>
      </w:r>
      <w:r>
        <w:rPr>
          <w:spacing w:val="-2"/>
        </w:rPr>
        <w:t xml:space="preserve"> </w:t>
      </w:r>
      <w:r>
        <w:t>it</w:t>
      </w:r>
      <w:r>
        <w:rPr>
          <w:spacing w:val="-1"/>
        </w:rPr>
        <w:t xml:space="preserve"> </w:t>
      </w:r>
      <w:r>
        <w:t>is</w:t>
      </w:r>
      <w:r>
        <w:rPr>
          <w:spacing w:val="-2"/>
        </w:rPr>
        <w:t xml:space="preserve"> </w:t>
      </w:r>
      <w:r>
        <w:t>consistent with the</w:t>
      </w:r>
      <w:r>
        <w:rPr>
          <w:spacing w:val="-2"/>
        </w:rPr>
        <w:t xml:space="preserve"> </w:t>
      </w:r>
      <w:r>
        <w:t>approach</w:t>
      </w:r>
      <w:r>
        <w:rPr>
          <w:spacing w:val="-2"/>
        </w:rPr>
        <w:t xml:space="preserve"> </w:t>
      </w:r>
      <w:r>
        <w:t>to</w:t>
      </w:r>
      <w:r>
        <w:rPr>
          <w:spacing w:val="-2"/>
        </w:rPr>
        <w:t xml:space="preserve"> </w:t>
      </w:r>
      <w:r>
        <w:t>the</w:t>
      </w:r>
      <w:r>
        <w:rPr>
          <w:spacing w:val="-2"/>
        </w:rPr>
        <w:t xml:space="preserve"> </w:t>
      </w:r>
      <w:r>
        <w:t>obligations of courts and tribunals under</w:t>
      </w:r>
      <w:r>
        <w:rPr>
          <w:spacing w:val="-1"/>
        </w:rPr>
        <w:t xml:space="preserve"> </w:t>
      </w:r>
      <w:r>
        <w:t xml:space="preserve">the </w:t>
      </w:r>
      <w:r>
        <w:rPr>
          <w:i/>
        </w:rPr>
        <w:t xml:space="preserve">Personal Information Protection Act 2004 </w:t>
      </w:r>
      <w:r>
        <w:t>(Tas) s 7(a), which makes a distinction between administrative and judicial functions of courts and tribunals and provides that courts and tribunals are exempt from the provisions of the Act in the performance or exercise of judicial or quasi-judicial functions or powers. The</w:t>
      </w:r>
      <w:r>
        <w:rPr>
          <w:spacing w:val="-6"/>
        </w:rPr>
        <w:t xml:space="preserve"> </w:t>
      </w:r>
      <w:r>
        <w:t>TLRI</w:t>
      </w:r>
      <w:r>
        <w:rPr>
          <w:spacing w:val="-8"/>
        </w:rPr>
        <w:t xml:space="preserve"> </w:t>
      </w:r>
      <w:r>
        <w:t>endorses</w:t>
      </w:r>
      <w:r>
        <w:rPr>
          <w:spacing w:val="-8"/>
        </w:rPr>
        <w:t xml:space="preserve"> </w:t>
      </w:r>
      <w:r>
        <w:t>the</w:t>
      </w:r>
      <w:r>
        <w:rPr>
          <w:spacing w:val="-8"/>
        </w:rPr>
        <w:t xml:space="preserve"> </w:t>
      </w:r>
      <w:r>
        <w:t>approach</w:t>
      </w:r>
      <w:r>
        <w:rPr>
          <w:spacing w:val="-9"/>
        </w:rPr>
        <w:t xml:space="preserve"> </w:t>
      </w:r>
      <w:r>
        <w:t>of</w:t>
      </w:r>
      <w:r>
        <w:rPr>
          <w:spacing w:val="-8"/>
        </w:rPr>
        <w:t xml:space="preserve"> </w:t>
      </w:r>
      <w:r>
        <w:t>the</w:t>
      </w:r>
      <w:r>
        <w:rPr>
          <w:spacing w:val="-8"/>
        </w:rPr>
        <w:t xml:space="preserve"> </w:t>
      </w:r>
      <w:r>
        <w:t>2007</w:t>
      </w:r>
      <w:r>
        <w:rPr>
          <w:spacing w:val="-6"/>
        </w:rPr>
        <w:t xml:space="preserve"> </w:t>
      </w:r>
      <w:r>
        <w:t>Final</w:t>
      </w:r>
      <w:r>
        <w:rPr>
          <w:spacing w:val="-5"/>
        </w:rPr>
        <w:t xml:space="preserve"> </w:t>
      </w:r>
      <w:r>
        <w:t>Report</w:t>
      </w:r>
      <w:r>
        <w:rPr>
          <w:spacing w:val="-8"/>
        </w:rPr>
        <w:t xml:space="preserve"> </w:t>
      </w:r>
      <w:r>
        <w:t>that,</w:t>
      </w:r>
      <w:r>
        <w:rPr>
          <w:spacing w:val="-8"/>
        </w:rPr>
        <w:t xml:space="preserve"> </w:t>
      </w:r>
      <w:r>
        <w:t>in</w:t>
      </w:r>
      <w:r>
        <w:rPr>
          <w:spacing w:val="-6"/>
        </w:rPr>
        <w:t xml:space="preserve"> </w:t>
      </w:r>
      <w:r>
        <w:t>interpreting</w:t>
      </w:r>
      <w:r>
        <w:rPr>
          <w:spacing w:val="-9"/>
        </w:rPr>
        <w:t xml:space="preserve"> </w:t>
      </w:r>
      <w:r>
        <w:t>the</w:t>
      </w:r>
      <w:r>
        <w:rPr>
          <w:spacing w:val="-8"/>
        </w:rPr>
        <w:t xml:space="preserve"> </w:t>
      </w:r>
      <w:r>
        <w:t>law,</w:t>
      </w:r>
      <w:r>
        <w:rPr>
          <w:spacing w:val="-7"/>
        </w:rPr>
        <w:t xml:space="preserve"> </w:t>
      </w:r>
      <w:r>
        <w:t>courts</w:t>
      </w:r>
      <w:r>
        <w:rPr>
          <w:spacing w:val="-8"/>
        </w:rPr>
        <w:t xml:space="preserve"> </w:t>
      </w:r>
      <w:r>
        <w:t>should</w:t>
      </w:r>
      <w:r>
        <w:rPr>
          <w:spacing w:val="-6"/>
        </w:rPr>
        <w:t xml:space="preserve"> </w:t>
      </w:r>
      <w:r>
        <w:t>be bound to apply the Charter to the interpretation of common law as well as statutory law. The TLRI considers</w:t>
      </w:r>
      <w:r>
        <w:rPr>
          <w:spacing w:val="-7"/>
        </w:rPr>
        <w:t xml:space="preserve"> </w:t>
      </w:r>
      <w:r>
        <w:t>that</w:t>
      </w:r>
      <w:r>
        <w:rPr>
          <w:spacing w:val="-7"/>
        </w:rPr>
        <w:t xml:space="preserve"> </w:t>
      </w:r>
      <w:r>
        <w:t>Recommendation</w:t>
      </w:r>
      <w:r>
        <w:rPr>
          <w:spacing w:val="-8"/>
        </w:rPr>
        <w:t xml:space="preserve"> </w:t>
      </w:r>
      <w:r>
        <w:t>4</w:t>
      </w:r>
      <w:r>
        <w:rPr>
          <w:spacing w:val="-8"/>
        </w:rPr>
        <w:t xml:space="preserve"> </w:t>
      </w:r>
      <w:r>
        <w:t>achieves</w:t>
      </w:r>
      <w:r>
        <w:rPr>
          <w:spacing w:val="-9"/>
        </w:rPr>
        <w:t xml:space="preserve"> </w:t>
      </w:r>
      <w:r>
        <w:t>this</w:t>
      </w:r>
      <w:r>
        <w:rPr>
          <w:spacing w:val="-7"/>
        </w:rPr>
        <w:t xml:space="preserve"> </w:t>
      </w:r>
      <w:r>
        <w:t>objective.</w:t>
      </w:r>
      <w:r>
        <w:rPr>
          <w:spacing w:val="-8"/>
        </w:rPr>
        <w:t xml:space="preserve"> </w:t>
      </w:r>
      <w:r>
        <w:t>On</w:t>
      </w:r>
      <w:r>
        <w:rPr>
          <w:spacing w:val="-8"/>
        </w:rPr>
        <w:t xml:space="preserve"> </w:t>
      </w:r>
      <w:r>
        <w:t>this</w:t>
      </w:r>
      <w:r>
        <w:rPr>
          <w:spacing w:val="-7"/>
        </w:rPr>
        <w:t xml:space="preserve"> </w:t>
      </w:r>
      <w:r>
        <w:t>basis,</w:t>
      </w:r>
      <w:r>
        <w:rPr>
          <w:spacing w:val="-7"/>
        </w:rPr>
        <w:t xml:space="preserve"> </w:t>
      </w:r>
      <w:r>
        <w:t>and</w:t>
      </w:r>
      <w:r>
        <w:rPr>
          <w:spacing w:val="-8"/>
        </w:rPr>
        <w:t xml:space="preserve"> </w:t>
      </w:r>
      <w:r>
        <w:t>following</w:t>
      </w:r>
      <w:r>
        <w:rPr>
          <w:spacing w:val="-8"/>
        </w:rPr>
        <w:t xml:space="preserve"> </w:t>
      </w:r>
      <w:r>
        <w:t>the</w:t>
      </w:r>
      <w:r>
        <w:rPr>
          <w:spacing w:val="-8"/>
        </w:rPr>
        <w:t xml:space="preserve"> </w:t>
      </w:r>
      <w:r>
        <w:t>reasoning</w:t>
      </w:r>
      <w:r>
        <w:rPr>
          <w:spacing w:val="-8"/>
        </w:rPr>
        <w:t xml:space="preserve"> </w:t>
      </w:r>
      <w:r>
        <w:t>of the 2007 Final Report, there is no reason to include courts in their judicial capacity.</w:t>
      </w:r>
    </w:p>
    <w:p w14:paraId="7CB26111" w14:textId="77777777" w:rsidR="008A4099" w:rsidRDefault="006A6EE2">
      <w:pPr>
        <w:pStyle w:val="ListParagraph"/>
        <w:numPr>
          <w:ilvl w:val="2"/>
          <w:numId w:val="3"/>
        </w:numPr>
        <w:tabs>
          <w:tab w:val="left" w:pos="879"/>
        </w:tabs>
        <w:spacing w:before="215"/>
        <w:ind w:right="671" w:firstLine="0"/>
        <w:jc w:val="both"/>
      </w:pPr>
      <w:r>
        <w:t>Following the acceptance of this approach, a related matter that arises is the interaction of the role</w:t>
      </w:r>
      <w:r>
        <w:rPr>
          <w:spacing w:val="-13"/>
        </w:rPr>
        <w:t xml:space="preserve"> </w:t>
      </w:r>
      <w:r>
        <w:t>of</w:t>
      </w:r>
      <w:r>
        <w:rPr>
          <w:spacing w:val="-13"/>
        </w:rPr>
        <w:t xml:space="preserve"> </w:t>
      </w:r>
      <w:r>
        <w:t>courts</w:t>
      </w:r>
      <w:r>
        <w:rPr>
          <w:spacing w:val="-13"/>
        </w:rPr>
        <w:t xml:space="preserve"> </w:t>
      </w:r>
      <w:r>
        <w:t>and</w:t>
      </w:r>
      <w:r>
        <w:rPr>
          <w:spacing w:val="-12"/>
        </w:rPr>
        <w:t xml:space="preserve"> </w:t>
      </w:r>
      <w:r>
        <w:t>the</w:t>
      </w:r>
      <w:r>
        <w:rPr>
          <w:spacing w:val="-13"/>
        </w:rPr>
        <w:t xml:space="preserve"> </w:t>
      </w:r>
      <w:r>
        <w:t>imperative</w:t>
      </w:r>
      <w:r>
        <w:rPr>
          <w:spacing w:val="-11"/>
        </w:rPr>
        <w:t xml:space="preserve"> </w:t>
      </w:r>
      <w:r>
        <w:t>of</w:t>
      </w:r>
      <w:r>
        <w:rPr>
          <w:spacing w:val="-10"/>
        </w:rPr>
        <w:t xml:space="preserve"> </w:t>
      </w:r>
      <w:r>
        <w:t>judicial</w:t>
      </w:r>
      <w:r>
        <w:rPr>
          <w:spacing w:val="-10"/>
        </w:rPr>
        <w:t xml:space="preserve"> </w:t>
      </w:r>
      <w:r>
        <w:t>independence</w:t>
      </w:r>
      <w:r>
        <w:rPr>
          <w:spacing w:val="-10"/>
        </w:rPr>
        <w:t xml:space="preserve"> </w:t>
      </w:r>
      <w:r>
        <w:t>with</w:t>
      </w:r>
      <w:r>
        <w:rPr>
          <w:spacing w:val="-11"/>
        </w:rPr>
        <w:t xml:space="preserve"> </w:t>
      </w:r>
      <w:r>
        <w:t>other</w:t>
      </w:r>
      <w:r>
        <w:rPr>
          <w:spacing w:val="-12"/>
        </w:rPr>
        <w:t xml:space="preserve"> </w:t>
      </w:r>
      <w:r>
        <w:t>aspects</w:t>
      </w:r>
      <w:r>
        <w:rPr>
          <w:spacing w:val="-10"/>
        </w:rPr>
        <w:t xml:space="preserve"> </w:t>
      </w:r>
      <w:r>
        <w:t>of</w:t>
      </w:r>
      <w:r>
        <w:rPr>
          <w:spacing w:val="-12"/>
        </w:rPr>
        <w:t xml:space="preserve"> </w:t>
      </w:r>
      <w:r>
        <w:t>the</w:t>
      </w:r>
      <w:r>
        <w:rPr>
          <w:spacing w:val="-13"/>
        </w:rPr>
        <w:t xml:space="preserve"> </w:t>
      </w:r>
      <w:r>
        <w:t>proposed</w:t>
      </w:r>
      <w:r>
        <w:rPr>
          <w:spacing w:val="-11"/>
        </w:rPr>
        <w:t xml:space="preserve"> </w:t>
      </w:r>
      <w:r>
        <w:t>Tasmanian model, particularly the avenues of redress provided to individuals for the enforcement of rights. It can be</w:t>
      </w:r>
      <w:r>
        <w:rPr>
          <w:spacing w:val="-1"/>
        </w:rPr>
        <w:t xml:space="preserve"> </w:t>
      </w:r>
      <w:r>
        <w:t>seen</w:t>
      </w:r>
      <w:r>
        <w:rPr>
          <w:spacing w:val="-3"/>
        </w:rPr>
        <w:t xml:space="preserve"> </w:t>
      </w:r>
      <w:r>
        <w:t>from</w:t>
      </w:r>
      <w:r>
        <w:rPr>
          <w:spacing w:val="-2"/>
        </w:rPr>
        <w:t xml:space="preserve"> </w:t>
      </w:r>
      <w:r>
        <w:t>the</w:t>
      </w:r>
      <w:r>
        <w:rPr>
          <w:spacing w:val="-1"/>
        </w:rPr>
        <w:t xml:space="preserve"> </w:t>
      </w:r>
      <w:r>
        <w:t>definition</w:t>
      </w:r>
      <w:r>
        <w:rPr>
          <w:spacing w:val="-3"/>
        </w:rPr>
        <w:t xml:space="preserve"> </w:t>
      </w:r>
      <w:r>
        <w:t>of administrative</w:t>
      </w:r>
      <w:r>
        <w:rPr>
          <w:spacing w:val="-1"/>
        </w:rPr>
        <w:t xml:space="preserve"> </w:t>
      </w:r>
      <w:r>
        <w:t>capacity</w:t>
      </w:r>
      <w:r>
        <w:rPr>
          <w:spacing w:val="-1"/>
        </w:rPr>
        <w:t xml:space="preserve"> </w:t>
      </w:r>
      <w:r>
        <w:t>at [4.2.27]</w:t>
      </w:r>
      <w:r>
        <w:rPr>
          <w:spacing w:val="-3"/>
        </w:rPr>
        <w:t xml:space="preserve"> </w:t>
      </w:r>
      <w:r>
        <w:t>that some</w:t>
      </w:r>
      <w:r>
        <w:rPr>
          <w:spacing w:val="-1"/>
        </w:rPr>
        <w:t xml:space="preserve"> </w:t>
      </w:r>
      <w:r>
        <w:t>court/tribunal proceedings, such</w:t>
      </w:r>
      <w:r>
        <w:rPr>
          <w:spacing w:val="-9"/>
        </w:rPr>
        <w:t xml:space="preserve"> </w:t>
      </w:r>
      <w:r>
        <w:t>as</w:t>
      </w:r>
      <w:r>
        <w:rPr>
          <w:spacing w:val="-10"/>
        </w:rPr>
        <w:t xml:space="preserve"> </w:t>
      </w:r>
      <w:r>
        <w:t>disciplinary</w:t>
      </w:r>
      <w:r>
        <w:rPr>
          <w:spacing w:val="-9"/>
        </w:rPr>
        <w:t xml:space="preserve"> </w:t>
      </w:r>
      <w:r>
        <w:t>proceedings</w:t>
      </w:r>
      <w:r>
        <w:rPr>
          <w:spacing w:val="-10"/>
        </w:rPr>
        <w:t xml:space="preserve"> </w:t>
      </w:r>
      <w:r>
        <w:t>and</w:t>
      </w:r>
      <w:r>
        <w:rPr>
          <w:spacing w:val="-8"/>
        </w:rPr>
        <w:t xml:space="preserve"> </w:t>
      </w:r>
      <w:r>
        <w:t>the</w:t>
      </w:r>
      <w:r>
        <w:rPr>
          <w:spacing w:val="-8"/>
        </w:rPr>
        <w:t xml:space="preserve"> </w:t>
      </w:r>
      <w:r>
        <w:t>review</w:t>
      </w:r>
      <w:r>
        <w:rPr>
          <w:spacing w:val="-9"/>
        </w:rPr>
        <w:t xml:space="preserve"> </w:t>
      </w:r>
      <w:r>
        <w:t>of</w:t>
      </w:r>
      <w:r>
        <w:rPr>
          <w:spacing w:val="-8"/>
        </w:rPr>
        <w:t xml:space="preserve"> </w:t>
      </w:r>
      <w:r>
        <w:t>government</w:t>
      </w:r>
      <w:r>
        <w:rPr>
          <w:spacing w:val="-8"/>
        </w:rPr>
        <w:t xml:space="preserve"> </w:t>
      </w:r>
      <w:r>
        <w:t>decisions</w:t>
      </w:r>
      <w:r>
        <w:rPr>
          <w:spacing w:val="-10"/>
        </w:rPr>
        <w:t xml:space="preserve"> </w:t>
      </w:r>
      <w:r>
        <w:t>and</w:t>
      </w:r>
      <w:r>
        <w:rPr>
          <w:spacing w:val="-8"/>
        </w:rPr>
        <w:t xml:space="preserve"> </w:t>
      </w:r>
      <w:r>
        <w:t>the</w:t>
      </w:r>
      <w:r>
        <w:rPr>
          <w:spacing w:val="-8"/>
        </w:rPr>
        <w:t xml:space="preserve"> </w:t>
      </w:r>
      <w:r>
        <w:t>like,</w:t>
      </w:r>
      <w:r>
        <w:rPr>
          <w:spacing w:val="-8"/>
        </w:rPr>
        <w:t xml:space="preserve"> </w:t>
      </w:r>
      <w:r>
        <w:t>would</w:t>
      </w:r>
      <w:r>
        <w:rPr>
          <w:spacing w:val="-11"/>
        </w:rPr>
        <w:t xml:space="preserve"> </w:t>
      </w:r>
      <w:r>
        <w:t>fall</w:t>
      </w:r>
      <w:r>
        <w:rPr>
          <w:spacing w:val="-8"/>
        </w:rPr>
        <w:t xml:space="preserve"> </w:t>
      </w:r>
      <w:r>
        <w:t>within the</w:t>
      </w:r>
      <w:r>
        <w:rPr>
          <w:spacing w:val="-1"/>
        </w:rPr>
        <w:t xml:space="preserve"> </w:t>
      </w:r>
      <w:r>
        <w:t>definition</w:t>
      </w:r>
      <w:r>
        <w:rPr>
          <w:spacing w:val="-1"/>
        </w:rPr>
        <w:t xml:space="preserve"> </w:t>
      </w:r>
      <w:r>
        <w:t>of</w:t>
      </w:r>
      <w:r>
        <w:rPr>
          <w:spacing w:val="-1"/>
        </w:rPr>
        <w:t xml:space="preserve"> </w:t>
      </w:r>
      <w:r>
        <w:t>administrative</w:t>
      </w:r>
      <w:r>
        <w:rPr>
          <w:spacing w:val="-1"/>
        </w:rPr>
        <w:t xml:space="preserve"> </w:t>
      </w:r>
      <w:r>
        <w:t>capacity.</w:t>
      </w:r>
      <w:r>
        <w:rPr>
          <w:spacing w:val="-1"/>
        </w:rPr>
        <w:t xml:space="preserve"> </w:t>
      </w:r>
      <w:r>
        <w:t>‘Redress’</w:t>
      </w:r>
      <w:r>
        <w:rPr>
          <w:spacing w:val="-1"/>
        </w:rPr>
        <w:t xml:space="preserve"> </w:t>
      </w:r>
      <w:r>
        <w:t>for</w:t>
      </w:r>
      <w:r>
        <w:rPr>
          <w:spacing w:val="-3"/>
        </w:rPr>
        <w:t xml:space="preserve"> </w:t>
      </w:r>
      <w:r>
        <w:t>these</w:t>
      </w:r>
      <w:r>
        <w:rPr>
          <w:spacing w:val="-1"/>
        </w:rPr>
        <w:t xml:space="preserve"> </w:t>
      </w:r>
      <w:r>
        <w:t>decisions</w:t>
      </w:r>
      <w:r>
        <w:rPr>
          <w:spacing w:val="-3"/>
        </w:rPr>
        <w:t xml:space="preserve"> </w:t>
      </w:r>
      <w:r>
        <w:t>is</w:t>
      </w:r>
      <w:r>
        <w:rPr>
          <w:spacing w:val="-1"/>
        </w:rPr>
        <w:t xml:space="preserve"> </w:t>
      </w:r>
      <w:r>
        <w:t>appropriately</w:t>
      </w:r>
      <w:r>
        <w:rPr>
          <w:spacing w:val="-1"/>
        </w:rPr>
        <w:t xml:space="preserve"> </w:t>
      </w:r>
      <w:r>
        <w:t>provided</w:t>
      </w:r>
      <w:r>
        <w:rPr>
          <w:spacing w:val="-3"/>
        </w:rPr>
        <w:t xml:space="preserve"> </w:t>
      </w:r>
      <w:r>
        <w:t>for</w:t>
      </w:r>
      <w:r>
        <w:rPr>
          <w:spacing w:val="-1"/>
        </w:rPr>
        <w:t xml:space="preserve"> </w:t>
      </w:r>
      <w:r>
        <w:t>by way</w:t>
      </w:r>
      <w:r>
        <w:rPr>
          <w:spacing w:val="-4"/>
        </w:rPr>
        <w:t xml:space="preserve"> </w:t>
      </w:r>
      <w:r>
        <w:t>of</w:t>
      </w:r>
      <w:r>
        <w:rPr>
          <w:spacing w:val="-4"/>
        </w:rPr>
        <w:t xml:space="preserve"> </w:t>
      </w:r>
      <w:r>
        <w:t>usual</w:t>
      </w:r>
      <w:r>
        <w:rPr>
          <w:spacing w:val="-4"/>
        </w:rPr>
        <w:t xml:space="preserve"> </w:t>
      </w:r>
      <w:r>
        <w:t>appeal</w:t>
      </w:r>
      <w:r>
        <w:rPr>
          <w:spacing w:val="-4"/>
        </w:rPr>
        <w:t xml:space="preserve"> </w:t>
      </w:r>
      <w:r>
        <w:t>pathways.</w:t>
      </w:r>
      <w:r>
        <w:rPr>
          <w:spacing w:val="-4"/>
        </w:rPr>
        <w:t xml:space="preserve"> </w:t>
      </w:r>
      <w:r>
        <w:t>Under</w:t>
      </w:r>
      <w:r>
        <w:rPr>
          <w:spacing w:val="-4"/>
        </w:rPr>
        <w:t xml:space="preserve"> </w:t>
      </w:r>
      <w:r>
        <w:t>the</w:t>
      </w:r>
      <w:r>
        <w:rPr>
          <w:spacing w:val="-7"/>
        </w:rPr>
        <w:t xml:space="preserve"> </w:t>
      </w:r>
      <w:r>
        <w:t>model</w:t>
      </w:r>
      <w:r>
        <w:rPr>
          <w:spacing w:val="-6"/>
        </w:rPr>
        <w:t xml:space="preserve"> </w:t>
      </w:r>
      <w:r>
        <w:t>for</w:t>
      </w:r>
      <w:r>
        <w:rPr>
          <w:spacing w:val="-6"/>
        </w:rPr>
        <w:t xml:space="preserve"> </w:t>
      </w:r>
      <w:r>
        <w:t>a</w:t>
      </w:r>
      <w:r>
        <w:rPr>
          <w:spacing w:val="-4"/>
        </w:rPr>
        <w:t xml:space="preserve"> </w:t>
      </w:r>
      <w:r>
        <w:t>human</w:t>
      </w:r>
      <w:r>
        <w:rPr>
          <w:spacing w:val="-7"/>
        </w:rPr>
        <w:t xml:space="preserve"> </w:t>
      </w:r>
      <w:r>
        <w:t>rights</w:t>
      </w:r>
      <w:r>
        <w:rPr>
          <w:spacing w:val="-4"/>
        </w:rPr>
        <w:t xml:space="preserve"> </w:t>
      </w:r>
      <w:r>
        <w:t>enactment</w:t>
      </w:r>
      <w:r>
        <w:rPr>
          <w:spacing w:val="-6"/>
        </w:rPr>
        <w:t xml:space="preserve"> </w:t>
      </w:r>
      <w:r>
        <w:t>proposed</w:t>
      </w:r>
      <w:r>
        <w:rPr>
          <w:spacing w:val="-5"/>
        </w:rPr>
        <w:t xml:space="preserve"> </w:t>
      </w:r>
      <w:r>
        <w:t>by</w:t>
      </w:r>
      <w:r>
        <w:rPr>
          <w:spacing w:val="-5"/>
        </w:rPr>
        <w:t xml:space="preserve"> </w:t>
      </w:r>
      <w:r>
        <w:t>the</w:t>
      </w:r>
      <w:r>
        <w:rPr>
          <w:spacing w:val="-4"/>
        </w:rPr>
        <w:t xml:space="preserve"> </w:t>
      </w:r>
      <w:r>
        <w:t>TLRI,</w:t>
      </w:r>
      <w:r>
        <w:rPr>
          <w:spacing w:val="-7"/>
        </w:rPr>
        <w:t xml:space="preserve"> </w:t>
      </w:r>
      <w:r>
        <w:t>a direct cause of action would be created that would allow individuals to bring actions in the Supreme Court</w:t>
      </w:r>
      <w:r>
        <w:rPr>
          <w:spacing w:val="-11"/>
        </w:rPr>
        <w:t xml:space="preserve"> </w:t>
      </w:r>
      <w:r>
        <w:t>or</w:t>
      </w:r>
      <w:r>
        <w:rPr>
          <w:spacing w:val="-11"/>
        </w:rPr>
        <w:t xml:space="preserve"> </w:t>
      </w:r>
      <w:r>
        <w:t>Tasmanian</w:t>
      </w:r>
      <w:r>
        <w:rPr>
          <w:spacing w:val="-9"/>
        </w:rPr>
        <w:t xml:space="preserve"> </w:t>
      </w:r>
      <w:r>
        <w:t>Civil</w:t>
      </w:r>
      <w:r>
        <w:rPr>
          <w:spacing w:val="-11"/>
        </w:rPr>
        <w:t xml:space="preserve"> </w:t>
      </w:r>
      <w:r>
        <w:t>and</w:t>
      </w:r>
      <w:r>
        <w:rPr>
          <w:spacing w:val="-10"/>
        </w:rPr>
        <w:t xml:space="preserve"> </w:t>
      </w:r>
      <w:r>
        <w:t>Administrative</w:t>
      </w:r>
      <w:r>
        <w:rPr>
          <w:spacing w:val="-9"/>
        </w:rPr>
        <w:t xml:space="preserve"> </w:t>
      </w:r>
      <w:r>
        <w:t>Tribunal</w:t>
      </w:r>
      <w:r>
        <w:rPr>
          <w:spacing w:val="-11"/>
        </w:rPr>
        <w:t xml:space="preserve"> </w:t>
      </w:r>
      <w:r>
        <w:t>(‘TasCAT’)</w:t>
      </w:r>
      <w:r>
        <w:rPr>
          <w:spacing w:val="-11"/>
        </w:rPr>
        <w:t xml:space="preserve"> </w:t>
      </w:r>
      <w:r>
        <w:t>alleging</w:t>
      </w:r>
      <w:r>
        <w:rPr>
          <w:spacing w:val="-12"/>
        </w:rPr>
        <w:t xml:space="preserve"> </w:t>
      </w:r>
      <w:r>
        <w:t>breaches</w:t>
      </w:r>
      <w:r>
        <w:rPr>
          <w:spacing w:val="-9"/>
        </w:rPr>
        <w:t xml:space="preserve"> </w:t>
      </w:r>
      <w:r>
        <w:t>of</w:t>
      </w:r>
      <w:r>
        <w:rPr>
          <w:spacing w:val="-11"/>
        </w:rPr>
        <w:t xml:space="preserve"> </w:t>
      </w:r>
      <w:r>
        <w:t>their</w:t>
      </w:r>
      <w:r>
        <w:rPr>
          <w:spacing w:val="-11"/>
        </w:rPr>
        <w:t xml:space="preserve"> </w:t>
      </w:r>
      <w:r>
        <w:t>rights</w:t>
      </w:r>
      <w:r>
        <w:rPr>
          <w:spacing w:val="-12"/>
        </w:rPr>
        <w:t xml:space="preserve"> </w:t>
      </w:r>
      <w:r>
        <w:t>and granting remedies, including damages.</w:t>
      </w:r>
      <w:r>
        <w:rPr>
          <w:position w:val="7"/>
          <w:sz w:val="13"/>
        </w:rPr>
        <w:t>387</w:t>
      </w:r>
      <w:r>
        <w:rPr>
          <w:spacing w:val="40"/>
          <w:position w:val="7"/>
          <w:sz w:val="13"/>
        </w:rPr>
        <w:t xml:space="preserve"> </w:t>
      </w:r>
      <w:r>
        <w:t>This is not the approach in other Australian jurisdictions, which</w:t>
      </w:r>
      <w:r>
        <w:rPr>
          <w:spacing w:val="-3"/>
        </w:rPr>
        <w:t xml:space="preserve"> </w:t>
      </w:r>
      <w:r>
        <w:t>do</w:t>
      </w:r>
      <w:r>
        <w:rPr>
          <w:spacing w:val="-6"/>
        </w:rPr>
        <w:t xml:space="preserve"> </w:t>
      </w:r>
      <w:r>
        <w:t>not</w:t>
      </w:r>
      <w:r>
        <w:rPr>
          <w:spacing w:val="-5"/>
        </w:rPr>
        <w:t xml:space="preserve"> </w:t>
      </w:r>
      <w:r>
        <w:t>currently</w:t>
      </w:r>
      <w:r>
        <w:rPr>
          <w:spacing w:val="-4"/>
        </w:rPr>
        <w:t xml:space="preserve"> </w:t>
      </w:r>
      <w:r>
        <w:t>provide</w:t>
      </w:r>
      <w:r>
        <w:rPr>
          <w:spacing w:val="-3"/>
        </w:rPr>
        <w:t xml:space="preserve"> </w:t>
      </w:r>
      <w:r>
        <w:t>a</w:t>
      </w:r>
      <w:r>
        <w:rPr>
          <w:spacing w:val="-6"/>
        </w:rPr>
        <w:t xml:space="preserve"> </w:t>
      </w:r>
      <w:r>
        <w:t>direct</w:t>
      </w:r>
      <w:r>
        <w:rPr>
          <w:spacing w:val="-3"/>
        </w:rPr>
        <w:t xml:space="preserve"> </w:t>
      </w:r>
      <w:r>
        <w:t>cause</w:t>
      </w:r>
      <w:r>
        <w:rPr>
          <w:spacing w:val="-5"/>
        </w:rPr>
        <w:t xml:space="preserve"> </w:t>
      </w:r>
      <w:r>
        <w:t>of</w:t>
      </w:r>
      <w:r>
        <w:rPr>
          <w:spacing w:val="-3"/>
        </w:rPr>
        <w:t xml:space="preserve"> </w:t>
      </w:r>
      <w:r>
        <w:t>action</w:t>
      </w:r>
      <w:r>
        <w:rPr>
          <w:spacing w:val="-6"/>
        </w:rPr>
        <w:t xml:space="preserve"> </w:t>
      </w:r>
      <w:r>
        <w:t>for</w:t>
      </w:r>
      <w:r>
        <w:rPr>
          <w:spacing w:val="-3"/>
        </w:rPr>
        <w:t xml:space="preserve"> </w:t>
      </w:r>
      <w:r>
        <w:t>an</w:t>
      </w:r>
      <w:r>
        <w:rPr>
          <w:spacing w:val="-4"/>
        </w:rPr>
        <w:t xml:space="preserve"> </w:t>
      </w:r>
      <w:r>
        <w:t>alleged</w:t>
      </w:r>
      <w:r>
        <w:rPr>
          <w:spacing w:val="-3"/>
        </w:rPr>
        <w:t xml:space="preserve"> </w:t>
      </w:r>
      <w:r>
        <w:t>breach</w:t>
      </w:r>
      <w:r>
        <w:rPr>
          <w:spacing w:val="-3"/>
        </w:rPr>
        <w:t xml:space="preserve"> </w:t>
      </w:r>
      <w:r>
        <w:t>of</w:t>
      </w:r>
      <w:r>
        <w:rPr>
          <w:spacing w:val="-3"/>
        </w:rPr>
        <w:t xml:space="preserve"> </w:t>
      </w:r>
      <w:r>
        <w:t>a</w:t>
      </w:r>
      <w:r>
        <w:rPr>
          <w:spacing w:val="-3"/>
        </w:rPr>
        <w:t xml:space="preserve"> </w:t>
      </w:r>
      <w:r>
        <w:t>human</w:t>
      </w:r>
      <w:r>
        <w:rPr>
          <w:spacing w:val="-6"/>
        </w:rPr>
        <w:t xml:space="preserve"> </w:t>
      </w:r>
      <w:r>
        <w:t>right</w:t>
      </w:r>
      <w:r>
        <w:rPr>
          <w:spacing w:val="-5"/>
        </w:rPr>
        <w:t xml:space="preserve"> </w:t>
      </w:r>
      <w:r>
        <w:t>(with</w:t>
      </w:r>
      <w:r>
        <w:rPr>
          <w:spacing w:val="-4"/>
        </w:rPr>
        <w:t xml:space="preserve"> </w:t>
      </w:r>
      <w:r>
        <w:t>the exception of the ACT) or provide for an award of damages.</w:t>
      </w:r>
      <w:r>
        <w:rPr>
          <w:position w:val="7"/>
          <w:sz w:val="13"/>
        </w:rPr>
        <w:t>388</w:t>
      </w:r>
      <w:r>
        <w:rPr>
          <w:spacing w:val="40"/>
          <w:position w:val="7"/>
          <w:sz w:val="13"/>
        </w:rPr>
        <w:t xml:space="preserve"> </w:t>
      </w:r>
      <w:r>
        <w:t>It also not the approach taken in the United</w:t>
      </w:r>
      <w:r>
        <w:rPr>
          <w:spacing w:val="-6"/>
        </w:rPr>
        <w:t xml:space="preserve"> </w:t>
      </w:r>
      <w:r>
        <w:t>Kingdom,</w:t>
      </w:r>
      <w:r>
        <w:rPr>
          <w:spacing w:val="-6"/>
        </w:rPr>
        <w:t xml:space="preserve"> </w:t>
      </w:r>
      <w:r>
        <w:t>where</w:t>
      </w:r>
      <w:r>
        <w:rPr>
          <w:spacing w:val="-8"/>
        </w:rPr>
        <w:t xml:space="preserve"> </w:t>
      </w:r>
      <w:r>
        <w:t>the</w:t>
      </w:r>
      <w:r>
        <w:rPr>
          <w:spacing w:val="-8"/>
        </w:rPr>
        <w:t xml:space="preserve"> </w:t>
      </w:r>
      <w:r>
        <w:t>general</w:t>
      </w:r>
      <w:r>
        <w:rPr>
          <w:spacing w:val="-5"/>
        </w:rPr>
        <w:t xml:space="preserve"> </w:t>
      </w:r>
      <w:r>
        <w:t>position</w:t>
      </w:r>
      <w:r>
        <w:rPr>
          <w:spacing w:val="-6"/>
        </w:rPr>
        <w:t xml:space="preserve"> </w:t>
      </w:r>
      <w:r>
        <w:t>is</w:t>
      </w:r>
      <w:r>
        <w:rPr>
          <w:spacing w:val="-5"/>
        </w:rPr>
        <w:t xml:space="preserve"> </w:t>
      </w:r>
      <w:r>
        <w:t>that</w:t>
      </w:r>
      <w:r>
        <w:rPr>
          <w:spacing w:val="-5"/>
        </w:rPr>
        <w:t xml:space="preserve"> </w:t>
      </w:r>
      <w:r>
        <w:t>a</w:t>
      </w:r>
      <w:r>
        <w:rPr>
          <w:spacing w:val="-8"/>
        </w:rPr>
        <w:t xml:space="preserve"> </w:t>
      </w:r>
      <w:r>
        <w:t>direct</w:t>
      </w:r>
      <w:r>
        <w:rPr>
          <w:spacing w:val="-5"/>
        </w:rPr>
        <w:t xml:space="preserve"> </w:t>
      </w:r>
      <w:r>
        <w:t>cause</w:t>
      </w:r>
      <w:r>
        <w:rPr>
          <w:spacing w:val="-5"/>
        </w:rPr>
        <w:t xml:space="preserve"> </w:t>
      </w:r>
      <w:r>
        <w:t>of</w:t>
      </w:r>
      <w:r>
        <w:rPr>
          <w:spacing w:val="-5"/>
        </w:rPr>
        <w:t xml:space="preserve"> </w:t>
      </w:r>
      <w:r>
        <w:t>action</w:t>
      </w:r>
      <w:r>
        <w:rPr>
          <w:spacing w:val="-6"/>
        </w:rPr>
        <w:t xml:space="preserve"> </w:t>
      </w:r>
      <w:r>
        <w:t>is</w:t>
      </w:r>
      <w:r>
        <w:rPr>
          <w:spacing w:val="-5"/>
        </w:rPr>
        <w:t xml:space="preserve"> </w:t>
      </w:r>
      <w:r>
        <w:t>available</w:t>
      </w:r>
      <w:r>
        <w:rPr>
          <w:spacing w:val="-8"/>
        </w:rPr>
        <w:t xml:space="preserve"> </w:t>
      </w:r>
      <w:r>
        <w:t>and</w:t>
      </w:r>
      <w:r>
        <w:rPr>
          <w:spacing w:val="-6"/>
        </w:rPr>
        <w:t xml:space="preserve"> </w:t>
      </w:r>
      <w:r>
        <w:t>an</w:t>
      </w:r>
      <w:r>
        <w:rPr>
          <w:spacing w:val="-8"/>
        </w:rPr>
        <w:t xml:space="preserve"> </w:t>
      </w:r>
      <w:r>
        <w:t>award</w:t>
      </w:r>
      <w:r>
        <w:rPr>
          <w:spacing w:val="-8"/>
        </w:rPr>
        <w:t xml:space="preserve"> </w:t>
      </w:r>
      <w:r>
        <w:t>of compensation</w:t>
      </w:r>
      <w:r>
        <w:rPr>
          <w:spacing w:val="-4"/>
        </w:rPr>
        <w:t xml:space="preserve"> </w:t>
      </w:r>
      <w:r>
        <w:t>can</w:t>
      </w:r>
      <w:r>
        <w:rPr>
          <w:spacing w:val="-4"/>
        </w:rPr>
        <w:t xml:space="preserve"> </w:t>
      </w:r>
      <w:r>
        <w:t>be</w:t>
      </w:r>
      <w:r>
        <w:rPr>
          <w:spacing w:val="-6"/>
        </w:rPr>
        <w:t xml:space="preserve"> </w:t>
      </w:r>
      <w:r>
        <w:t>made</w:t>
      </w:r>
      <w:r>
        <w:rPr>
          <w:spacing w:val="-6"/>
        </w:rPr>
        <w:t xml:space="preserve"> </w:t>
      </w:r>
      <w:r>
        <w:t>in</w:t>
      </w:r>
      <w:r>
        <w:rPr>
          <w:spacing w:val="-4"/>
        </w:rPr>
        <w:t xml:space="preserve"> </w:t>
      </w:r>
      <w:r>
        <w:t>certain</w:t>
      </w:r>
      <w:r>
        <w:rPr>
          <w:spacing w:val="-6"/>
        </w:rPr>
        <w:t xml:space="preserve"> </w:t>
      </w:r>
      <w:r>
        <w:t>circumstances,</w:t>
      </w:r>
      <w:r>
        <w:rPr>
          <w:position w:val="7"/>
          <w:sz w:val="13"/>
        </w:rPr>
        <w:t>389</w:t>
      </w:r>
      <w:r>
        <w:rPr>
          <w:spacing w:val="19"/>
          <w:position w:val="7"/>
          <w:sz w:val="13"/>
        </w:rPr>
        <w:t xml:space="preserve"> </w:t>
      </w:r>
      <w:r>
        <w:t>but</w:t>
      </w:r>
      <w:r>
        <w:rPr>
          <w:spacing w:val="-3"/>
        </w:rPr>
        <w:t xml:space="preserve"> </w:t>
      </w:r>
      <w:r>
        <w:t>it</w:t>
      </w:r>
      <w:r>
        <w:rPr>
          <w:spacing w:val="-3"/>
        </w:rPr>
        <w:t xml:space="preserve"> </w:t>
      </w:r>
      <w:r>
        <w:t>is</w:t>
      </w:r>
      <w:r>
        <w:rPr>
          <w:spacing w:val="-5"/>
        </w:rPr>
        <w:t xml:space="preserve"> </w:t>
      </w:r>
      <w:r>
        <w:t>made</w:t>
      </w:r>
      <w:r>
        <w:rPr>
          <w:spacing w:val="-3"/>
        </w:rPr>
        <w:t xml:space="preserve"> </w:t>
      </w:r>
      <w:r>
        <w:t>clear</w:t>
      </w:r>
      <w:r>
        <w:rPr>
          <w:spacing w:val="-3"/>
        </w:rPr>
        <w:t xml:space="preserve"> </w:t>
      </w:r>
      <w:r>
        <w:t>that,</w:t>
      </w:r>
      <w:r>
        <w:rPr>
          <w:spacing w:val="-4"/>
        </w:rPr>
        <w:t xml:space="preserve"> </w:t>
      </w:r>
      <w:r>
        <w:t>where</w:t>
      </w:r>
      <w:r>
        <w:rPr>
          <w:spacing w:val="-3"/>
        </w:rPr>
        <w:t xml:space="preserve"> </w:t>
      </w:r>
      <w:r>
        <w:t>any</w:t>
      </w:r>
      <w:r>
        <w:rPr>
          <w:spacing w:val="-3"/>
        </w:rPr>
        <w:t xml:space="preserve"> </w:t>
      </w:r>
      <w:r>
        <w:t>proceedings involve</w:t>
      </w:r>
      <w:r>
        <w:rPr>
          <w:spacing w:val="-8"/>
        </w:rPr>
        <w:t xml:space="preserve"> </w:t>
      </w:r>
      <w:r>
        <w:t>a</w:t>
      </w:r>
      <w:r>
        <w:rPr>
          <w:spacing w:val="-6"/>
        </w:rPr>
        <w:t xml:space="preserve"> </w:t>
      </w:r>
      <w:r>
        <w:t>judicial</w:t>
      </w:r>
      <w:r>
        <w:rPr>
          <w:spacing w:val="-8"/>
        </w:rPr>
        <w:t xml:space="preserve"> </w:t>
      </w:r>
      <w:r>
        <w:t>act,</w:t>
      </w:r>
      <w:r>
        <w:rPr>
          <w:spacing w:val="-9"/>
        </w:rPr>
        <w:t xml:space="preserve"> </w:t>
      </w:r>
      <w:r>
        <w:t>proceedings</w:t>
      </w:r>
      <w:r>
        <w:rPr>
          <w:spacing w:val="-8"/>
        </w:rPr>
        <w:t xml:space="preserve"> </w:t>
      </w:r>
      <w:r>
        <w:t>may</w:t>
      </w:r>
      <w:r>
        <w:rPr>
          <w:spacing w:val="-8"/>
        </w:rPr>
        <w:t xml:space="preserve"> </w:t>
      </w:r>
      <w:r>
        <w:t>only</w:t>
      </w:r>
      <w:r>
        <w:rPr>
          <w:spacing w:val="-9"/>
        </w:rPr>
        <w:t xml:space="preserve"> </w:t>
      </w:r>
      <w:r>
        <w:t>be</w:t>
      </w:r>
      <w:r>
        <w:rPr>
          <w:spacing w:val="-8"/>
        </w:rPr>
        <w:t xml:space="preserve"> </w:t>
      </w:r>
      <w:r>
        <w:t>brought</w:t>
      </w:r>
      <w:r>
        <w:rPr>
          <w:spacing w:val="-7"/>
        </w:rPr>
        <w:t xml:space="preserve"> </w:t>
      </w:r>
      <w:r>
        <w:t>by</w:t>
      </w:r>
      <w:r>
        <w:rPr>
          <w:spacing w:val="-6"/>
        </w:rPr>
        <w:t xml:space="preserve"> </w:t>
      </w:r>
      <w:r>
        <w:t>the</w:t>
      </w:r>
      <w:r>
        <w:rPr>
          <w:spacing w:val="-6"/>
        </w:rPr>
        <w:t xml:space="preserve"> </w:t>
      </w:r>
      <w:r>
        <w:t>exercise</w:t>
      </w:r>
      <w:r>
        <w:rPr>
          <w:spacing w:val="-5"/>
        </w:rPr>
        <w:t xml:space="preserve"> </w:t>
      </w:r>
      <w:r>
        <w:t>of</w:t>
      </w:r>
      <w:r>
        <w:rPr>
          <w:spacing w:val="-8"/>
        </w:rPr>
        <w:t xml:space="preserve"> </w:t>
      </w:r>
      <w:r>
        <w:t>the</w:t>
      </w:r>
      <w:r>
        <w:rPr>
          <w:spacing w:val="-8"/>
        </w:rPr>
        <w:t xml:space="preserve"> </w:t>
      </w:r>
      <w:r>
        <w:t>right</w:t>
      </w:r>
      <w:r>
        <w:rPr>
          <w:spacing w:val="-10"/>
        </w:rPr>
        <w:t xml:space="preserve"> </w:t>
      </w:r>
      <w:r>
        <w:t>of</w:t>
      </w:r>
      <w:r>
        <w:rPr>
          <w:spacing w:val="-5"/>
        </w:rPr>
        <w:t xml:space="preserve"> </w:t>
      </w:r>
      <w:r>
        <w:t>appeal</w:t>
      </w:r>
      <w:r>
        <w:rPr>
          <w:spacing w:val="-5"/>
        </w:rPr>
        <w:t xml:space="preserve"> </w:t>
      </w:r>
      <w:r>
        <w:t>or</w:t>
      </w:r>
      <w:r>
        <w:rPr>
          <w:spacing w:val="-5"/>
        </w:rPr>
        <w:t xml:space="preserve"> </w:t>
      </w:r>
      <w:r>
        <w:t>judicial review.</w:t>
      </w:r>
      <w:r>
        <w:rPr>
          <w:position w:val="7"/>
          <w:sz w:val="13"/>
        </w:rPr>
        <w:t>390</w:t>
      </w:r>
      <w:r>
        <w:rPr>
          <w:spacing w:val="16"/>
          <w:position w:val="7"/>
          <w:sz w:val="13"/>
        </w:rPr>
        <w:t xml:space="preserve"> </w:t>
      </w:r>
      <w:r>
        <w:t>It</w:t>
      </w:r>
      <w:r>
        <w:rPr>
          <w:spacing w:val="-5"/>
        </w:rPr>
        <w:t xml:space="preserve"> </w:t>
      </w:r>
      <w:r>
        <w:t>is</w:t>
      </w:r>
      <w:r>
        <w:rPr>
          <w:spacing w:val="-5"/>
        </w:rPr>
        <w:t xml:space="preserve"> </w:t>
      </w:r>
      <w:r>
        <w:t>the</w:t>
      </w:r>
      <w:r>
        <w:rPr>
          <w:spacing w:val="-6"/>
        </w:rPr>
        <w:t xml:space="preserve"> </w:t>
      </w:r>
      <w:r>
        <w:t>view</w:t>
      </w:r>
      <w:r>
        <w:rPr>
          <w:spacing w:val="-7"/>
        </w:rPr>
        <w:t xml:space="preserve"> </w:t>
      </w:r>
      <w:r>
        <w:t>of</w:t>
      </w:r>
      <w:r>
        <w:rPr>
          <w:spacing w:val="-5"/>
        </w:rPr>
        <w:t xml:space="preserve"> </w:t>
      </w:r>
      <w:r>
        <w:t>the</w:t>
      </w:r>
      <w:r>
        <w:rPr>
          <w:spacing w:val="-8"/>
        </w:rPr>
        <w:t xml:space="preserve"> </w:t>
      </w:r>
      <w:r>
        <w:t>TLRI</w:t>
      </w:r>
      <w:r>
        <w:rPr>
          <w:spacing w:val="-8"/>
        </w:rPr>
        <w:t xml:space="preserve"> </w:t>
      </w:r>
      <w:r>
        <w:t>that</w:t>
      </w:r>
      <w:r>
        <w:rPr>
          <w:spacing w:val="-5"/>
        </w:rPr>
        <w:t xml:space="preserve"> </w:t>
      </w:r>
      <w:r>
        <w:t>the</w:t>
      </w:r>
      <w:r>
        <w:rPr>
          <w:spacing w:val="-8"/>
        </w:rPr>
        <w:t xml:space="preserve"> </w:t>
      </w:r>
      <w:r>
        <w:t>inclusion</w:t>
      </w:r>
      <w:r>
        <w:rPr>
          <w:spacing w:val="-6"/>
        </w:rPr>
        <w:t xml:space="preserve"> </w:t>
      </w:r>
      <w:r>
        <w:t>of</w:t>
      </w:r>
      <w:r>
        <w:rPr>
          <w:spacing w:val="-5"/>
        </w:rPr>
        <w:t xml:space="preserve"> </w:t>
      </w:r>
      <w:r>
        <w:t>courts</w:t>
      </w:r>
      <w:r>
        <w:rPr>
          <w:spacing w:val="-5"/>
        </w:rPr>
        <w:t xml:space="preserve"> </w:t>
      </w:r>
      <w:r>
        <w:t>within</w:t>
      </w:r>
      <w:r>
        <w:rPr>
          <w:spacing w:val="-6"/>
        </w:rPr>
        <w:t xml:space="preserve"> </w:t>
      </w:r>
      <w:r>
        <w:t>the</w:t>
      </w:r>
      <w:r>
        <w:rPr>
          <w:spacing w:val="-6"/>
        </w:rPr>
        <w:t xml:space="preserve"> </w:t>
      </w:r>
      <w:r>
        <w:t>definition</w:t>
      </w:r>
      <w:r>
        <w:rPr>
          <w:spacing w:val="-6"/>
        </w:rPr>
        <w:t xml:space="preserve"> </w:t>
      </w:r>
      <w:r>
        <w:t>of</w:t>
      </w:r>
      <w:r>
        <w:rPr>
          <w:spacing w:val="-5"/>
        </w:rPr>
        <w:t xml:space="preserve"> </w:t>
      </w:r>
      <w:r>
        <w:t>public</w:t>
      </w:r>
      <w:r>
        <w:rPr>
          <w:spacing w:val="-6"/>
        </w:rPr>
        <w:t xml:space="preserve"> </w:t>
      </w:r>
      <w:r>
        <w:t>authority needs to be reconciled with the other features of the proposed model, particularly the enforcement provisions that are adopted in the human rights enactment. For example, there may be a carve-out in the case of proceedings to the effect that the usual appeal mechanism applies, rather than the enforcement provisions adopted in the Tasmanian human rights enactment that apply to other public authorities. A model for such a carve-out may be found in the approach</w:t>
      </w:r>
      <w:r>
        <w:rPr>
          <w:spacing w:val="-2"/>
        </w:rPr>
        <w:t xml:space="preserve"> </w:t>
      </w:r>
      <w:r>
        <w:t>taken</w:t>
      </w:r>
      <w:r>
        <w:rPr>
          <w:spacing w:val="-2"/>
        </w:rPr>
        <w:t xml:space="preserve"> </w:t>
      </w:r>
      <w:r>
        <w:t>in the United Kingdom, as outlined above.</w:t>
      </w:r>
    </w:p>
    <w:p w14:paraId="7CB26112" w14:textId="77777777" w:rsidR="008A4099" w:rsidRDefault="008A4099">
      <w:pPr>
        <w:pStyle w:val="BodyText"/>
        <w:rPr>
          <w:sz w:val="20"/>
        </w:rPr>
      </w:pPr>
    </w:p>
    <w:p w14:paraId="7CB26113" w14:textId="77777777" w:rsidR="008A4099" w:rsidRDefault="008A4099">
      <w:pPr>
        <w:pStyle w:val="BodyText"/>
        <w:rPr>
          <w:sz w:val="20"/>
        </w:rPr>
      </w:pPr>
    </w:p>
    <w:p w14:paraId="7CB26114" w14:textId="77777777" w:rsidR="008A4099" w:rsidRDefault="008A4099">
      <w:pPr>
        <w:pStyle w:val="BodyText"/>
        <w:rPr>
          <w:sz w:val="20"/>
        </w:rPr>
      </w:pPr>
    </w:p>
    <w:p w14:paraId="7CB26115" w14:textId="77777777" w:rsidR="008A4099" w:rsidRDefault="008A4099">
      <w:pPr>
        <w:pStyle w:val="BodyText"/>
        <w:rPr>
          <w:sz w:val="20"/>
        </w:rPr>
      </w:pPr>
    </w:p>
    <w:p w14:paraId="7CB26116" w14:textId="77777777" w:rsidR="008A4099" w:rsidRDefault="008A4099">
      <w:pPr>
        <w:pStyle w:val="BodyText"/>
        <w:rPr>
          <w:sz w:val="20"/>
        </w:rPr>
      </w:pPr>
    </w:p>
    <w:p w14:paraId="7CB26117" w14:textId="77777777" w:rsidR="008A4099" w:rsidRDefault="008A4099">
      <w:pPr>
        <w:pStyle w:val="BodyText"/>
        <w:rPr>
          <w:sz w:val="20"/>
        </w:rPr>
      </w:pPr>
    </w:p>
    <w:p w14:paraId="7CB26118" w14:textId="77777777" w:rsidR="008A4099" w:rsidRDefault="008A4099">
      <w:pPr>
        <w:pStyle w:val="BodyText"/>
        <w:rPr>
          <w:sz w:val="20"/>
        </w:rPr>
      </w:pPr>
    </w:p>
    <w:p w14:paraId="7CB26119" w14:textId="77777777" w:rsidR="008A4099" w:rsidRDefault="008A4099">
      <w:pPr>
        <w:pStyle w:val="BodyText"/>
        <w:rPr>
          <w:sz w:val="20"/>
        </w:rPr>
      </w:pPr>
    </w:p>
    <w:p w14:paraId="7CB2611A" w14:textId="77777777" w:rsidR="008A4099" w:rsidRDefault="006A6EE2">
      <w:pPr>
        <w:pStyle w:val="BodyText"/>
        <w:spacing w:before="67"/>
        <w:rPr>
          <w:sz w:val="20"/>
        </w:rPr>
      </w:pPr>
      <w:r>
        <w:rPr>
          <w:noProof/>
        </w:rPr>
        <mc:AlternateContent>
          <mc:Choice Requires="wps">
            <w:drawing>
              <wp:anchor distT="0" distB="0" distL="0" distR="0" simplePos="0" relativeHeight="487621120" behindDoc="1" locked="0" layoutInCell="1" allowOverlap="1" wp14:anchorId="7CB2665B" wp14:editId="7CB2665C">
                <wp:simplePos x="0" y="0"/>
                <wp:positionH relativeFrom="page">
                  <wp:posOffset>914704</wp:posOffset>
                </wp:positionH>
                <wp:positionV relativeFrom="paragraph">
                  <wp:posOffset>204088</wp:posOffset>
                </wp:positionV>
                <wp:extent cx="1829435" cy="762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27F407" id="Graphic 113" o:spid="_x0000_s1026" style="position:absolute;margin-left:1in;margin-top:16.05pt;width:144.05pt;height:.6pt;z-index:-156953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" path="m1829054,l,,,7619r1829054,l1829054,xe" fillcolor="black" stroked="f">
                <v:path arrowok="t"/>
                <w10:wrap type="topAndBottom" anchorx="page"/>
              </v:shape>
            </w:pict>
          </mc:Fallback>
        </mc:AlternateContent>
      </w:r>
    </w:p>
    <w:p w14:paraId="7CB2611B" w14:textId="77777777" w:rsidR="008A4099" w:rsidRDefault="006A6EE2">
      <w:pPr>
        <w:spacing w:before="112"/>
        <w:ind w:left="160"/>
        <w:jc w:val="both"/>
        <w:rPr>
          <w:sz w:val="18"/>
        </w:rPr>
      </w:pPr>
      <w:r>
        <w:rPr>
          <w:sz w:val="18"/>
          <w:vertAlign w:val="superscript"/>
        </w:rPr>
        <w:t>385</w:t>
      </w:r>
      <w:r>
        <w:rPr>
          <w:sz w:val="18"/>
        </w:rPr>
        <w:t xml:space="preserve"> See</w:t>
      </w:r>
      <w:r>
        <w:rPr>
          <w:spacing w:val="-1"/>
          <w:sz w:val="18"/>
        </w:rPr>
        <w:t xml:space="preserve"> </w:t>
      </w:r>
      <w:r>
        <w:rPr>
          <w:sz w:val="18"/>
        </w:rPr>
        <w:t>AHRC,</w:t>
      </w:r>
      <w:r>
        <w:rPr>
          <w:spacing w:val="1"/>
          <w:sz w:val="18"/>
        </w:rPr>
        <w:t xml:space="preserve"> </w:t>
      </w:r>
      <w:r>
        <w:rPr>
          <w:i/>
          <w:sz w:val="18"/>
        </w:rPr>
        <w:t>A</w:t>
      </w:r>
      <w:r>
        <w:rPr>
          <w:i/>
          <w:spacing w:val="1"/>
          <w:sz w:val="18"/>
        </w:rPr>
        <w:t xml:space="preserve"> </w:t>
      </w:r>
      <w:r>
        <w:rPr>
          <w:i/>
          <w:sz w:val="18"/>
        </w:rPr>
        <w:t>Human</w:t>
      </w:r>
      <w:r>
        <w:rPr>
          <w:i/>
          <w:spacing w:val="1"/>
          <w:sz w:val="18"/>
        </w:rPr>
        <w:t xml:space="preserve"> </w:t>
      </w:r>
      <w:r>
        <w:rPr>
          <w:i/>
          <w:sz w:val="18"/>
        </w:rPr>
        <w:t>Rights Act</w:t>
      </w:r>
      <w:r>
        <w:rPr>
          <w:i/>
          <w:spacing w:val="-1"/>
          <w:sz w:val="18"/>
        </w:rPr>
        <w:t xml:space="preserve"> </w:t>
      </w:r>
      <w:r>
        <w:rPr>
          <w:i/>
          <w:sz w:val="18"/>
        </w:rPr>
        <w:t>for Australia</w:t>
      </w:r>
      <w:r>
        <w:rPr>
          <w:i/>
          <w:spacing w:val="4"/>
          <w:sz w:val="18"/>
        </w:rPr>
        <w:t xml:space="preserve"> </w:t>
      </w:r>
      <w:r>
        <w:rPr>
          <w:spacing w:val="-4"/>
          <w:sz w:val="18"/>
        </w:rPr>
        <w:t>149.</w:t>
      </w:r>
    </w:p>
    <w:p w14:paraId="7CB2611C" w14:textId="77777777" w:rsidR="008A4099" w:rsidRDefault="006A6EE2">
      <w:pPr>
        <w:spacing w:before="24" w:line="242" w:lineRule="auto"/>
        <w:ind w:left="160" w:right="684"/>
        <w:jc w:val="both"/>
        <w:rPr>
          <w:sz w:val="18"/>
        </w:rPr>
      </w:pPr>
      <w:r>
        <w:rPr>
          <w:sz w:val="18"/>
          <w:vertAlign w:val="superscript"/>
        </w:rPr>
        <w:t>386</w:t>
      </w:r>
      <w:r>
        <w:rPr>
          <w:sz w:val="18"/>
        </w:rPr>
        <w:t xml:space="preserve"> This is Recommendation 9 of the TLRI 2007 Final Report, which sets out the obligations of public authorities. As noted, the TLRI also adheres to Recommendation 11 of the 2007 Final Report in relation to the role of courts in interpreting Tasmanian laws.</w:t>
      </w:r>
    </w:p>
    <w:p w14:paraId="7CB2611D" w14:textId="77777777" w:rsidR="008A4099" w:rsidRDefault="006A6EE2">
      <w:pPr>
        <w:spacing w:before="16"/>
        <w:ind w:left="160"/>
        <w:rPr>
          <w:sz w:val="18"/>
        </w:rPr>
      </w:pPr>
      <w:r>
        <w:rPr>
          <w:sz w:val="18"/>
          <w:vertAlign w:val="superscript"/>
        </w:rPr>
        <w:t>387</w:t>
      </w:r>
      <w:r>
        <w:rPr>
          <w:spacing w:val="-1"/>
          <w:sz w:val="18"/>
        </w:rPr>
        <w:t xml:space="preserve"> </w:t>
      </w:r>
      <w:r>
        <w:rPr>
          <w:sz w:val="18"/>
        </w:rPr>
        <w:t>See</w:t>
      </w:r>
      <w:r>
        <w:rPr>
          <w:spacing w:val="-1"/>
          <w:sz w:val="18"/>
        </w:rPr>
        <w:t xml:space="preserve"> </w:t>
      </w:r>
      <w:r>
        <w:rPr>
          <w:sz w:val="18"/>
        </w:rPr>
        <w:t>Recommendation</w:t>
      </w:r>
      <w:r>
        <w:rPr>
          <w:spacing w:val="-2"/>
          <w:sz w:val="18"/>
        </w:rPr>
        <w:t xml:space="preserve"> </w:t>
      </w:r>
      <w:r>
        <w:rPr>
          <w:sz w:val="18"/>
        </w:rPr>
        <w:t>19</w:t>
      </w:r>
      <w:r>
        <w:rPr>
          <w:spacing w:val="-1"/>
          <w:sz w:val="18"/>
        </w:rPr>
        <w:t xml:space="preserve"> </w:t>
      </w:r>
      <w:r>
        <w:rPr>
          <w:sz w:val="18"/>
        </w:rPr>
        <w:t>of</w:t>
      </w:r>
      <w:r>
        <w:rPr>
          <w:spacing w:val="-3"/>
          <w:sz w:val="18"/>
        </w:rPr>
        <w:t xml:space="preserve"> </w:t>
      </w:r>
      <w:r>
        <w:rPr>
          <w:sz w:val="18"/>
        </w:rPr>
        <w:t>the</w:t>
      </w:r>
      <w:r>
        <w:rPr>
          <w:spacing w:val="-3"/>
          <w:sz w:val="18"/>
        </w:rPr>
        <w:t xml:space="preserve"> </w:t>
      </w:r>
      <w:r>
        <w:rPr>
          <w:sz w:val="18"/>
        </w:rPr>
        <w:t>2007</w:t>
      </w:r>
      <w:r>
        <w:rPr>
          <w:spacing w:val="-1"/>
          <w:sz w:val="18"/>
        </w:rPr>
        <w:t xml:space="preserve"> </w:t>
      </w:r>
      <w:r>
        <w:rPr>
          <w:sz w:val="18"/>
        </w:rPr>
        <w:t>Final</w:t>
      </w:r>
      <w:r>
        <w:rPr>
          <w:spacing w:val="-1"/>
          <w:sz w:val="18"/>
        </w:rPr>
        <w:t xml:space="preserve"> </w:t>
      </w:r>
      <w:r>
        <w:rPr>
          <w:sz w:val="18"/>
        </w:rPr>
        <w:t>Report and Recommendations 15 and</w:t>
      </w:r>
      <w:r>
        <w:rPr>
          <w:spacing w:val="1"/>
          <w:sz w:val="18"/>
        </w:rPr>
        <w:t xml:space="preserve"> </w:t>
      </w:r>
      <w:r>
        <w:rPr>
          <w:sz w:val="18"/>
        </w:rPr>
        <w:t>16</w:t>
      </w:r>
      <w:r>
        <w:rPr>
          <w:spacing w:val="-2"/>
          <w:sz w:val="18"/>
        </w:rPr>
        <w:t xml:space="preserve"> </w:t>
      </w:r>
      <w:r>
        <w:rPr>
          <w:sz w:val="18"/>
        </w:rPr>
        <w:t xml:space="preserve">of this Research </w:t>
      </w:r>
      <w:r>
        <w:rPr>
          <w:spacing w:val="-2"/>
          <w:sz w:val="18"/>
        </w:rPr>
        <w:t>Paper.</w:t>
      </w:r>
    </w:p>
    <w:p w14:paraId="7CB2611E" w14:textId="77777777" w:rsidR="008A4099" w:rsidRDefault="006A6EE2">
      <w:pPr>
        <w:spacing w:before="23"/>
        <w:ind w:left="160"/>
        <w:rPr>
          <w:sz w:val="18"/>
        </w:rPr>
      </w:pPr>
      <w:r>
        <w:rPr>
          <w:sz w:val="18"/>
          <w:vertAlign w:val="superscript"/>
        </w:rPr>
        <w:t>388</w:t>
      </w:r>
      <w:r>
        <w:rPr>
          <w:spacing w:val="5"/>
          <w:sz w:val="18"/>
        </w:rPr>
        <w:t xml:space="preserve"> </w:t>
      </w:r>
      <w:r>
        <w:rPr>
          <w:sz w:val="18"/>
        </w:rPr>
        <w:t>See</w:t>
      </w:r>
      <w:r>
        <w:rPr>
          <w:spacing w:val="5"/>
          <w:sz w:val="18"/>
        </w:rPr>
        <w:t xml:space="preserve"> </w:t>
      </w:r>
      <w:r>
        <w:rPr>
          <w:spacing w:val="-2"/>
          <w:sz w:val="18"/>
        </w:rPr>
        <w:t>[4.5].</w:t>
      </w:r>
    </w:p>
    <w:p w14:paraId="7CB2611F" w14:textId="77777777" w:rsidR="008A4099" w:rsidRDefault="006A6EE2">
      <w:pPr>
        <w:spacing w:before="24"/>
        <w:ind w:left="160"/>
        <w:rPr>
          <w:sz w:val="18"/>
        </w:rPr>
      </w:pPr>
      <w:r>
        <w:rPr>
          <w:sz w:val="18"/>
          <w:vertAlign w:val="superscript"/>
        </w:rPr>
        <w:t>389</w:t>
      </w:r>
      <w:r>
        <w:rPr>
          <w:sz w:val="18"/>
        </w:rPr>
        <w:t xml:space="preserve"> </w:t>
      </w:r>
      <w:r>
        <w:rPr>
          <w:i/>
          <w:sz w:val="18"/>
        </w:rPr>
        <w:t>Human Rights</w:t>
      </w:r>
      <w:r>
        <w:rPr>
          <w:i/>
          <w:spacing w:val="1"/>
          <w:sz w:val="18"/>
        </w:rPr>
        <w:t xml:space="preserve"> </w:t>
      </w:r>
      <w:r>
        <w:rPr>
          <w:i/>
          <w:sz w:val="18"/>
        </w:rPr>
        <w:t>Act</w:t>
      </w:r>
      <w:r>
        <w:rPr>
          <w:i/>
          <w:spacing w:val="-2"/>
          <w:sz w:val="18"/>
        </w:rPr>
        <w:t xml:space="preserve"> </w:t>
      </w:r>
      <w:r>
        <w:rPr>
          <w:i/>
          <w:sz w:val="18"/>
        </w:rPr>
        <w:t>1998</w:t>
      </w:r>
      <w:r>
        <w:rPr>
          <w:i/>
          <w:spacing w:val="4"/>
          <w:sz w:val="18"/>
        </w:rPr>
        <w:t xml:space="preserve"> </w:t>
      </w:r>
      <w:r>
        <w:rPr>
          <w:sz w:val="18"/>
        </w:rPr>
        <w:t>(UK)</w:t>
      </w:r>
      <w:r>
        <w:rPr>
          <w:spacing w:val="1"/>
          <w:sz w:val="18"/>
        </w:rPr>
        <w:t xml:space="preserve"> </w:t>
      </w:r>
      <w:r>
        <w:rPr>
          <w:sz w:val="18"/>
        </w:rPr>
        <w:t>ss</w:t>
      </w:r>
      <w:r>
        <w:rPr>
          <w:spacing w:val="-2"/>
          <w:sz w:val="18"/>
        </w:rPr>
        <w:t xml:space="preserve"> </w:t>
      </w:r>
      <w:r>
        <w:rPr>
          <w:sz w:val="18"/>
        </w:rPr>
        <w:t>7</w:t>
      </w:r>
      <w:r>
        <w:rPr>
          <w:spacing w:val="1"/>
          <w:sz w:val="18"/>
        </w:rPr>
        <w:t xml:space="preserve"> </w:t>
      </w:r>
      <w:r>
        <w:rPr>
          <w:sz w:val="18"/>
        </w:rPr>
        <w:t xml:space="preserve">and </w:t>
      </w:r>
      <w:r>
        <w:rPr>
          <w:spacing w:val="-5"/>
          <w:sz w:val="18"/>
        </w:rPr>
        <w:t>8.</w:t>
      </w:r>
    </w:p>
    <w:p w14:paraId="7CB26120" w14:textId="77777777" w:rsidR="008A4099" w:rsidRDefault="006A6EE2">
      <w:pPr>
        <w:spacing w:before="23"/>
        <w:ind w:left="160"/>
        <w:rPr>
          <w:sz w:val="18"/>
        </w:rPr>
      </w:pPr>
      <w:r>
        <w:rPr>
          <w:sz w:val="18"/>
          <w:vertAlign w:val="superscript"/>
        </w:rPr>
        <w:t>390</w:t>
      </w:r>
      <w:r>
        <w:rPr>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1998</w:t>
      </w:r>
      <w:r>
        <w:rPr>
          <w:i/>
          <w:spacing w:val="4"/>
          <w:sz w:val="18"/>
        </w:rPr>
        <w:t xml:space="preserve"> </w:t>
      </w:r>
      <w:r>
        <w:rPr>
          <w:sz w:val="18"/>
        </w:rPr>
        <w:t>(UK)</w:t>
      </w:r>
      <w:r>
        <w:rPr>
          <w:spacing w:val="1"/>
          <w:sz w:val="18"/>
        </w:rPr>
        <w:t xml:space="preserve"> </w:t>
      </w:r>
      <w:r>
        <w:rPr>
          <w:sz w:val="18"/>
        </w:rPr>
        <w:t>s</w:t>
      </w:r>
      <w:r>
        <w:rPr>
          <w:spacing w:val="1"/>
          <w:sz w:val="18"/>
        </w:rPr>
        <w:t xml:space="preserve"> </w:t>
      </w:r>
      <w:r>
        <w:rPr>
          <w:spacing w:val="-5"/>
          <w:sz w:val="18"/>
        </w:rPr>
        <w:t>9.</w:t>
      </w:r>
    </w:p>
    <w:p w14:paraId="7CB26121" w14:textId="77777777" w:rsidR="008A4099" w:rsidRDefault="008A4099">
      <w:pPr>
        <w:rPr>
          <w:sz w:val="18"/>
        </w:rPr>
        <w:sectPr w:rsidR="008A4099" w:rsidSect="00D43B2D">
          <w:pgSz w:w="11910" w:h="16840"/>
          <w:pgMar w:top="980" w:right="760" w:bottom="940" w:left="1280" w:header="718" w:footer="753" w:gutter="0"/>
          <w:cols w:space="720"/>
        </w:sectPr>
      </w:pPr>
    </w:p>
    <w:p w14:paraId="7CB26122" w14:textId="77777777" w:rsidR="008A4099" w:rsidRDefault="008A4099">
      <w:pPr>
        <w:pStyle w:val="BodyText"/>
        <w:spacing w:before="218" w:after="1"/>
        <w:rPr>
          <w:sz w:val="20"/>
        </w:rPr>
      </w:pPr>
    </w:p>
    <w:p w14:paraId="7CB26123" w14:textId="77777777" w:rsidR="008A4099" w:rsidRDefault="006A6EE2">
      <w:pPr>
        <w:pStyle w:val="BodyText"/>
        <w:ind w:left="165"/>
        <w:rPr>
          <w:sz w:val="20"/>
        </w:rPr>
      </w:pPr>
      <w:r>
        <w:rPr>
          <w:noProof/>
          <w:sz w:val="20"/>
        </w:rPr>
        <mc:AlternateContent>
          <mc:Choice Requires="wps">
            <w:drawing>
              <wp:inline distT="0" distB="0" distL="0" distR="0" wp14:anchorId="7CB2665D" wp14:editId="7CB2665E">
                <wp:extent cx="5727065" cy="2700020"/>
                <wp:effectExtent l="0" t="0" r="0" b="0"/>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700020"/>
                        </a:xfrm>
                        <a:prstGeom prst="rect">
                          <a:avLst/>
                        </a:prstGeom>
                        <a:solidFill>
                          <a:srgbClr val="E8E8E8"/>
                        </a:solidFill>
                      </wps:spPr>
                      <wps:txbx>
                        <w:txbxContent>
                          <w:p w14:paraId="7CB2676E" w14:textId="77777777" w:rsidR="008A4099" w:rsidRDefault="006A6EE2">
                            <w:pPr>
                              <w:spacing w:before="220" w:line="458" w:lineRule="auto"/>
                              <w:ind w:left="108" w:right="5559"/>
                              <w:jc w:val="both"/>
                              <w:rPr>
                                <w:b/>
                                <w:color w:val="000000"/>
                                <w:sz w:val="23"/>
                              </w:rPr>
                            </w:pPr>
                            <w:r>
                              <w:rPr>
                                <w:b/>
                                <w:color w:val="000000"/>
                                <w:sz w:val="23"/>
                              </w:rPr>
                              <w:t>Inclusion</w:t>
                            </w:r>
                            <w:r>
                              <w:rPr>
                                <w:b/>
                                <w:color w:val="000000"/>
                                <w:spacing w:val="-10"/>
                                <w:sz w:val="23"/>
                              </w:rPr>
                              <w:t xml:space="preserve"> </w:t>
                            </w:r>
                            <w:r>
                              <w:rPr>
                                <w:b/>
                                <w:color w:val="000000"/>
                                <w:sz w:val="23"/>
                              </w:rPr>
                              <w:t>of</w:t>
                            </w:r>
                            <w:r>
                              <w:rPr>
                                <w:b/>
                                <w:color w:val="000000"/>
                                <w:spacing w:val="-10"/>
                                <w:sz w:val="23"/>
                              </w:rPr>
                              <w:t xml:space="preserve"> </w:t>
                            </w:r>
                            <w:r>
                              <w:rPr>
                                <w:b/>
                                <w:color w:val="000000"/>
                                <w:sz w:val="23"/>
                              </w:rPr>
                              <w:t>Courts</w:t>
                            </w:r>
                            <w:r>
                              <w:rPr>
                                <w:b/>
                                <w:color w:val="000000"/>
                                <w:spacing w:val="-10"/>
                                <w:sz w:val="23"/>
                              </w:rPr>
                              <w:t xml:space="preserve"> </w:t>
                            </w:r>
                            <w:r>
                              <w:rPr>
                                <w:b/>
                                <w:color w:val="000000"/>
                                <w:sz w:val="23"/>
                              </w:rPr>
                              <w:t>and</w:t>
                            </w:r>
                            <w:r>
                              <w:rPr>
                                <w:b/>
                                <w:color w:val="000000"/>
                                <w:spacing w:val="-9"/>
                                <w:sz w:val="23"/>
                              </w:rPr>
                              <w:t xml:space="preserve"> </w:t>
                            </w:r>
                            <w:r>
                              <w:rPr>
                                <w:b/>
                                <w:color w:val="000000"/>
                                <w:sz w:val="23"/>
                              </w:rPr>
                              <w:t>Tribunals Recommendation 4</w:t>
                            </w:r>
                          </w:p>
                          <w:p w14:paraId="7CB2676F" w14:textId="77777777" w:rsidR="008A4099" w:rsidRDefault="006A6EE2">
                            <w:pPr>
                              <w:pStyle w:val="BodyText"/>
                              <w:ind w:left="108" w:right="219"/>
                              <w:jc w:val="both"/>
                              <w:rPr>
                                <w:color w:val="000000"/>
                              </w:rPr>
                            </w:pPr>
                            <w:r>
                              <w:rPr>
                                <w:color w:val="000000"/>
                              </w:rPr>
                              <w:t>That</w:t>
                            </w:r>
                            <w:r>
                              <w:rPr>
                                <w:color w:val="000000"/>
                                <w:spacing w:val="-6"/>
                              </w:rPr>
                              <w:t xml:space="preserve"> </w:t>
                            </w:r>
                            <w:r>
                              <w:rPr>
                                <w:color w:val="000000"/>
                              </w:rPr>
                              <w:t>a</w:t>
                            </w:r>
                            <w:r>
                              <w:rPr>
                                <w:color w:val="000000"/>
                                <w:spacing w:val="-7"/>
                              </w:rPr>
                              <w:t xml:space="preserve"> </w:t>
                            </w:r>
                            <w:r>
                              <w:rPr>
                                <w:color w:val="000000"/>
                              </w:rPr>
                              <w:t>Tasmanian</w:t>
                            </w:r>
                            <w:r>
                              <w:rPr>
                                <w:color w:val="000000"/>
                                <w:spacing w:val="-7"/>
                              </w:rPr>
                              <w:t xml:space="preserve"> </w:t>
                            </w:r>
                            <w:r>
                              <w:rPr>
                                <w:color w:val="000000"/>
                              </w:rPr>
                              <w:t>human</w:t>
                            </w:r>
                            <w:r>
                              <w:rPr>
                                <w:color w:val="000000"/>
                                <w:spacing w:val="-7"/>
                              </w:rPr>
                              <w:t xml:space="preserve"> </w:t>
                            </w:r>
                            <w:r>
                              <w:rPr>
                                <w:color w:val="000000"/>
                              </w:rPr>
                              <w:t>rights</w:t>
                            </w:r>
                            <w:r>
                              <w:rPr>
                                <w:color w:val="000000"/>
                                <w:spacing w:val="-6"/>
                              </w:rPr>
                              <w:t xml:space="preserve"> </w:t>
                            </w:r>
                            <w:r>
                              <w:rPr>
                                <w:color w:val="000000"/>
                              </w:rPr>
                              <w:t>enactment</w:t>
                            </w:r>
                            <w:r>
                              <w:rPr>
                                <w:color w:val="000000"/>
                                <w:spacing w:val="-6"/>
                              </w:rPr>
                              <w:t xml:space="preserve"> </w:t>
                            </w:r>
                            <w:r>
                              <w:rPr>
                                <w:color w:val="000000"/>
                              </w:rPr>
                              <w:t>apply</w:t>
                            </w:r>
                            <w:r>
                              <w:rPr>
                                <w:color w:val="000000"/>
                                <w:spacing w:val="-7"/>
                              </w:rPr>
                              <w:t xml:space="preserve"> </w:t>
                            </w:r>
                            <w:r>
                              <w:rPr>
                                <w:color w:val="000000"/>
                              </w:rPr>
                              <w:t>to</w:t>
                            </w:r>
                            <w:r>
                              <w:rPr>
                                <w:color w:val="000000"/>
                                <w:spacing w:val="-7"/>
                              </w:rPr>
                              <w:t xml:space="preserve"> </w:t>
                            </w:r>
                            <w:r>
                              <w:rPr>
                                <w:color w:val="000000"/>
                              </w:rPr>
                              <w:t>the</w:t>
                            </w:r>
                            <w:r>
                              <w:rPr>
                                <w:color w:val="000000"/>
                                <w:spacing w:val="-9"/>
                              </w:rPr>
                              <w:t xml:space="preserve"> </w:t>
                            </w:r>
                            <w:r>
                              <w:rPr>
                                <w:color w:val="000000"/>
                              </w:rPr>
                              <w:t>interpretation</w:t>
                            </w:r>
                            <w:r>
                              <w:rPr>
                                <w:color w:val="000000"/>
                                <w:spacing w:val="-7"/>
                              </w:rPr>
                              <w:t xml:space="preserve"> </w:t>
                            </w:r>
                            <w:r>
                              <w:rPr>
                                <w:color w:val="000000"/>
                              </w:rPr>
                              <w:t>of</w:t>
                            </w:r>
                            <w:r>
                              <w:rPr>
                                <w:color w:val="000000"/>
                                <w:spacing w:val="-6"/>
                              </w:rPr>
                              <w:t xml:space="preserve"> </w:t>
                            </w:r>
                            <w:r>
                              <w:rPr>
                                <w:color w:val="000000"/>
                              </w:rPr>
                              <w:t>the</w:t>
                            </w:r>
                            <w:r>
                              <w:rPr>
                                <w:color w:val="000000"/>
                                <w:spacing w:val="-7"/>
                              </w:rPr>
                              <w:t xml:space="preserve"> </w:t>
                            </w:r>
                            <w:r>
                              <w:rPr>
                                <w:color w:val="000000"/>
                              </w:rPr>
                              <w:t>common</w:t>
                            </w:r>
                            <w:r>
                              <w:rPr>
                                <w:color w:val="000000"/>
                                <w:spacing w:val="-7"/>
                              </w:rPr>
                              <w:t xml:space="preserve"> </w:t>
                            </w:r>
                            <w:r>
                              <w:rPr>
                                <w:color w:val="000000"/>
                              </w:rPr>
                              <w:t>law</w:t>
                            </w:r>
                            <w:r>
                              <w:rPr>
                                <w:color w:val="000000"/>
                                <w:spacing w:val="-8"/>
                              </w:rPr>
                              <w:t xml:space="preserve"> </w:t>
                            </w:r>
                            <w:r>
                              <w:rPr>
                                <w:color w:val="000000"/>
                              </w:rPr>
                              <w:t>as</w:t>
                            </w:r>
                            <w:r>
                              <w:rPr>
                                <w:color w:val="000000"/>
                                <w:spacing w:val="-6"/>
                              </w:rPr>
                              <w:t xml:space="preserve"> </w:t>
                            </w:r>
                            <w:r>
                              <w:rPr>
                                <w:color w:val="000000"/>
                              </w:rPr>
                              <w:t>well</w:t>
                            </w:r>
                            <w:r>
                              <w:rPr>
                                <w:color w:val="000000"/>
                                <w:spacing w:val="-6"/>
                              </w:rPr>
                              <w:t xml:space="preserve"> </w:t>
                            </w:r>
                            <w:r>
                              <w:rPr>
                                <w:color w:val="000000"/>
                              </w:rPr>
                              <w:t>as statutory law and should include an explicit provision to the effect that all non-statutory law, including the substantive and adjectival (procedural) law, is amended by the Charter so as to conform to human rights as defined and limited in the Charter, and that any conflict with Charter rights is to be resolved in favour of the Charter.</w:t>
                            </w:r>
                          </w:p>
                          <w:p w14:paraId="7CB26770" w14:textId="77777777" w:rsidR="008A4099" w:rsidRDefault="006A6EE2">
                            <w:pPr>
                              <w:spacing w:before="117"/>
                              <w:ind w:left="108"/>
                              <w:jc w:val="both"/>
                              <w:rPr>
                                <w:b/>
                                <w:color w:val="000000"/>
                                <w:sz w:val="23"/>
                              </w:rPr>
                            </w:pPr>
                            <w:r>
                              <w:rPr>
                                <w:b/>
                                <w:color w:val="000000"/>
                                <w:sz w:val="23"/>
                              </w:rPr>
                              <w:t>Recommendation</w:t>
                            </w:r>
                            <w:r>
                              <w:rPr>
                                <w:b/>
                                <w:color w:val="000000"/>
                                <w:spacing w:val="-7"/>
                                <w:sz w:val="23"/>
                              </w:rPr>
                              <w:t xml:space="preserve"> </w:t>
                            </w:r>
                            <w:r>
                              <w:rPr>
                                <w:b/>
                                <w:color w:val="000000"/>
                                <w:spacing w:val="-10"/>
                                <w:sz w:val="23"/>
                              </w:rPr>
                              <w:t>5</w:t>
                            </w:r>
                          </w:p>
                          <w:p w14:paraId="7CB26771" w14:textId="77777777" w:rsidR="008A4099" w:rsidRDefault="006A6EE2">
                            <w:pPr>
                              <w:pStyle w:val="BodyText"/>
                              <w:spacing w:before="240" w:line="242" w:lineRule="auto"/>
                              <w:ind w:left="108" w:right="220"/>
                              <w:jc w:val="both"/>
                              <w:rPr>
                                <w:color w:val="000000"/>
                              </w:rPr>
                            </w:pPr>
                            <w:r>
                              <w:rPr>
                                <w:color w:val="000000"/>
                              </w:rPr>
                              <w:t>That courts and tribunals be included in the definition of public authority when acting in an administrative capacity or in the exercise of procedure. However, this inclusion needs to be reconciled</w:t>
                            </w:r>
                            <w:r>
                              <w:rPr>
                                <w:color w:val="000000"/>
                                <w:spacing w:val="-7"/>
                              </w:rPr>
                              <w:t xml:space="preserve"> </w:t>
                            </w:r>
                            <w:r>
                              <w:rPr>
                                <w:color w:val="000000"/>
                              </w:rPr>
                              <w:t>with</w:t>
                            </w:r>
                            <w:r>
                              <w:rPr>
                                <w:color w:val="000000"/>
                                <w:spacing w:val="-7"/>
                              </w:rPr>
                              <w:t xml:space="preserve"> </w:t>
                            </w:r>
                            <w:r>
                              <w:rPr>
                                <w:color w:val="000000"/>
                              </w:rPr>
                              <w:t>the</w:t>
                            </w:r>
                            <w:r>
                              <w:rPr>
                                <w:color w:val="000000"/>
                                <w:spacing w:val="-7"/>
                              </w:rPr>
                              <w:t xml:space="preserve"> </w:t>
                            </w:r>
                            <w:r>
                              <w:rPr>
                                <w:color w:val="000000"/>
                              </w:rPr>
                              <w:t>enforcement</w:t>
                            </w:r>
                            <w:r>
                              <w:rPr>
                                <w:color w:val="000000"/>
                                <w:spacing w:val="-6"/>
                              </w:rPr>
                              <w:t xml:space="preserve"> </w:t>
                            </w:r>
                            <w:r>
                              <w:rPr>
                                <w:color w:val="000000"/>
                              </w:rPr>
                              <w:t>provisions</w:t>
                            </w:r>
                            <w:r>
                              <w:rPr>
                                <w:color w:val="000000"/>
                                <w:spacing w:val="-6"/>
                              </w:rPr>
                              <w:t xml:space="preserve"> </w:t>
                            </w:r>
                            <w:r>
                              <w:rPr>
                                <w:color w:val="000000"/>
                              </w:rPr>
                              <w:t>adopted</w:t>
                            </w:r>
                            <w:r>
                              <w:rPr>
                                <w:color w:val="000000"/>
                                <w:spacing w:val="-7"/>
                              </w:rPr>
                              <w:t xml:space="preserve"> </w:t>
                            </w:r>
                            <w:r>
                              <w:rPr>
                                <w:color w:val="000000"/>
                              </w:rPr>
                              <w:t>in</w:t>
                            </w:r>
                            <w:r>
                              <w:rPr>
                                <w:color w:val="000000"/>
                                <w:spacing w:val="-10"/>
                              </w:rPr>
                              <w:t xml:space="preserve"> </w:t>
                            </w:r>
                            <w:r>
                              <w:rPr>
                                <w:color w:val="000000"/>
                              </w:rPr>
                              <w:t>the</w:t>
                            </w:r>
                            <w:r>
                              <w:rPr>
                                <w:color w:val="000000"/>
                                <w:spacing w:val="-7"/>
                              </w:rPr>
                              <w:t xml:space="preserve"> </w:t>
                            </w:r>
                            <w:r>
                              <w:rPr>
                                <w:color w:val="000000"/>
                              </w:rPr>
                              <w:t>human</w:t>
                            </w:r>
                            <w:r>
                              <w:rPr>
                                <w:color w:val="000000"/>
                                <w:spacing w:val="-7"/>
                              </w:rPr>
                              <w:t xml:space="preserve"> </w:t>
                            </w:r>
                            <w:r>
                              <w:rPr>
                                <w:color w:val="000000"/>
                              </w:rPr>
                              <w:t>rights</w:t>
                            </w:r>
                            <w:r>
                              <w:rPr>
                                <w:color w:val="000000"/>
                                <w:spacing w:val="-6"/>
                              </w:rPr>
                              <w:t xml:space="preserve"> </w:t>
                            </w:r>
                            <w:r>
                              <w:rPr>
                                <w:color w:val="000000"/>
                              </w:rPr>
                              <w:t>enactment,</w:t>
                            </w:r>
                            <w:r>
                              <w:rPr>
                                <w:color w:val="000000"/>
                                <w:spacing w:val="-7"/>
                              </w:rPr>
                              <w:t xml:space="preserve"> </w:t>
                            </w:r>
                            <w:r>
                              <w:rPr>
                                <w:color w:val="000000"/>
                              </w:rPr>
                              <w:t>particularly</w:t>
                            </w:r>
                            <w:r>
                              <w:rPr>
                                <w:color w:val="000000"/>
                                <w:spacing w:val="-7"/>
                              </w:rPr>
                              <w:t xml:space="preserve"> </w:t>
                            </w:r>
                            <w:r>
                              <w:rPr>
                                <w:color w:val="000000"/>
                              </w:rPr>
                              <w:t>the avenues of redress.</w:t>
                            </w:r>
                          </w:p>
                        </w:txbxContent>
                      </wps:txbx>
                      <wps:bodyPr wrap="square" lIns="0" tIns="0" rIns="0" bIns="0" rtlCol="0">
                        <a:noAutofit/>
                      </wps:bodyPr>
                    </wps:wsp>
                  </a:graphicData>
                </a:graphic>
              </wp:inline>
            </w:drawing>
          </mc:Choice>
          <mc:Fallback>
            <w:pict>
              <v:shape w14:anchorId="7CB2665D" id="Textbox 114" o:spid="_x0000_s1031" type="#_x0000_t202" style="width:450.95pt;height:2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" fillcolor="#e8e8e8" stroked="f">
                <v:textbox inset="0,0,0,0">
                  <w:txbxContent>
                    <w:p w14:paraId="7CB2676E" w14:textId="77777777" w:rsidR="008A4099" w:rsidRDefault="006A6EE2">
                      <w:pPr>
                        <w:spacing w:before="220" w:line="458" w:lineRule="auto"/>
                        <w:ind w:left="108" w:right="5559"/>
                        <w:jc w:val="both"/>
                        <w:rPr>
                          <w:b/>
                          <w:color w:val="000000"/>
                          <w:sz w:val="23"/>
                        </w:rPr>
                      </w:pPr>
                      <w:r>
                        <w:rPr>
                          <w:b/>
                          <w:color w:val="000000"/>
                          <w:sz w:val="23"/>
                        </w:rPr>
                        <w:t>Inclusion</w:t>
                      </w:r>
                      <w:r>
                        <w:rPr>
                          <w:b/>
                          <w:color w:val="000000"/>
                          <w:spacing w:val="-10"/>
                          <w:sz w:val="23"/>
                        </w:rPr>
                        <w:t xml:space="preserve"> </w:t>
                      </w:r>
                      <w:r>
                        <w:rPr>
                          <w:b/>
                          <w:color w:val="000000"/>
                          <w:sz w:val="23"/>
                        </w:rPr>
                        <w:t>of</w:t>
                      </w:r>
                      <w:r>
                        <w:rPr>
                          <w:b/>
                          <w:color w:val="000000"/>
                          <w:spacing w:val="-10"/>
                          <w:sz w:val="23"/>
                        </w:rPr>
                        <w:t xml:space="preserve"> </w:t>
                      </w:r>
                      <w:r>
                        <w:rPr>
                          <w:b/>
                          <w:color w:val="000000"/>
                          <w:sz w:val="23"/>
                        </w:rPr>
                        <w:t>Courts</w:t>
                      </w:r>
                      <w:r>
                        <w:rPr>
                          <w:b/>
                          <w:color w:val="000000"/>
                          <w:spacing w:val="-10"/>
                          <w:sz w:val="23"/>
                        </w:rPr>
                        <w:t xml:space="preserve"> </w:t>
                      </w:r>
                      <w:r>
                        <w:rPr>
                          <w:b/>
                          <w:color w:val="000000"/>
                          <w:sz w:val="23"/>
                        </w:rPr>
                        <w:t>and</w:t>
                      </w:r>
                      <w:r>
                        <w:rPr>
                          <w:b/>
                          <w:color w:val="000000"/>
                          <w:spacing w:val="-9"/>
                          <w:sz w:val="23"/>
                        </w:rPr>
                        <w:t xml:space="preserve"> </w:t>
                      </w:r>
                      <w:r>
                        <w:rPr>
                          <w:b/>
                          <w:color w:val="000000"/>
                          <w:sz w:val="23"/>
                        </w:rPr>
                        <w:t>Tribunals Recommendation 4</w:t>
                      </w:r>
                    </w:p>
                    <w:p w14:paraId="7CB2676F" w14:textId="77777777" w:rsidR="008A4099" w:rsidRDefault="006A6EE2">
                      <w:pPr>
                        <w:pStyle w:val="BodyText"/>
                        <w:ind w:left="108" w:right="219"/>
                        <w:jc w:val="both"/>
                        <w:rPr>
                          <w:color w:val="000000"/>
                        </w:rPr>
                      </w:pPr>
                      <w:r>
                        <w:rPr>
                          <w:color w:val="000000"/>
                        </w:rPr>
                        <w:t>That</w:t>
                      </w:r>
                      <w:r>
                        <w:rPr>
                          <w:color w:val="000000"/>
                          <w:spacing w:val="-6"/>
                        </w:rPr>
                        <w:t xml:space="preserve"> </w:t>
                      </w:r>
                      <w:r>
                        <w:rPr>
                          <w:color w:val="000000"/>
                        </w:rPr>
                        <w:t>a</w:t>
                      </w:r>
                      <w:r>
                        <w:rPr>
                          <w:color w:val="000000"/>
                          <w:spacing w:val="-7"/>
                        </w:rPr>
                        <w:t xml:space="preserve"> </w:t>
                      </w:r>
                      <w:r>
                        <w:rPr>
                          <w:color w:val="000000"/>
                        </w:rPr>
                        <w:t>Tasmanian</w:t>
                      </w:r>
                      <w:r>
                        <w:rPr>
                          <w:color w:val="000000"/>
                          <w:spacing w:val="-7"/>
                        </w:rPr>
                        <w:t xml:space="preserve"> </w:t>
                      </w:r>
                      <w:r>
                        <w:rPr>
                          <w:color w:val="000000"/>
                        </w:rPr>
                        <w:t>human</w:t>
                      </w:r>
                      <w:r>
                        <w:rPr>
                          <w:color w:val="000000"/>
                          <w:spacing w:val="-7"/>
                        </w:rPr>
                        <w:t xml:space="preserve"> </w:t>
                      </w:r>
                      <w:r>
                        <w:rPr>
                          <w:color w:val="000000"/>
                        </w:rPr>
                        <w:t>rights</w:t>
                      </w:r>
                      <w:r>
                        <w:rPr>
                          <w:color w:val="000000"/>
                          <w:spacing w:val="-6"/>
                        </w:rPr>
                        <w:t xml:space="preserve"> </w:t>
                      </w:r>
                      <w:r>
                        <w:rPr>
                          <w:color w:val="000000"/>
                        </w:rPr>
                        <w:t>enactment</w:t>
                      </w:r>
                      <w:r>
                        <w:rPr>
                          <w:color w:val="000000"/>
                          <w:spacing w:val="-6"/>
                        </w:rPr>
                        <w:t xml:space="preserve"> </w:t>
                      </w:r>
                      <w:r>
                        <w:rPr>
                          <w:color w:val="000000"/>
                        </w:rPr>
                        <w:t>apply</w:t>
                      </w:r>
                      <w:r>
                        <w:rPr>
                          <w:color w:val="000000"/>
                          <w:spacing w:val="-7"/>
                        </w:rPr>
                        <w:t xml:space="preserve"> </w:t>
                      </w:r>
                      <w:r>
                        <w:rPr>
                          <w:color w:val="000000"/>
                        </w:rPr>
                        <w:t>to</w:t>
                      </w:r>
                      <w:r>
                        <w:rPr>
                          <w:color w:val="000000"/>
                          <w:spacing w:val="-7"/>
                        </w:rPr>
                        <w:t xml:space="preserve"> </w:t>
                      </w:r>
                      <w:r>
                        <w:rPr>
                          <w:color w:val="000000"/>
                        </w:rPr>
                        <w:t>the</w:t>
                      </w:r>
                      <w:r>
                        <w:rPr>
                          <w:color w:val="000000"/>
                          <w:spacing w:val="-9"/>
                        </w:rPr>
                        <w:t xml:space="preserve"> </w:t>
                      </w:r>
                      <w:r>
                        <w:rPr>
                          <w:color w:val="000000"/>
                        </w:rPr>
                        <w:t>interpretation</w:t>
                      </w:r>
                      <w:r>
                        <w:rPr>
                          <w:color w:val="000000"/>
                          <w:spacing w:val="-7"/>
                        </w:rPr>
                        <w:t xml:space="preserve"> </w:t>
                      </w:r>
                      <w:r>
                        <w:rPr>
                          <w:color w:val="000000"/>
                        </w:rPr>
                        <w:t>of</w:t>
                      </w:r>
                      <w:r>
                        <w:rPr>
                          <w:color w:val="000000"/>
                          <w:spacing w:val="-6"/>
                        </w:rPr>
                        <w:t xml:space="preserve"> </w:t>
                      </w:r>
                      <w:r>
                        <w:rPr>
                          <w:color w:val="000000"/>
                        </w:rPr>
                        <w:t>the</w:t>
                      </w:r>
                      <w:r>
                        <w:rPr>
                          <w:color w:val="000000"/>
                          <w:spacing w:val="-7"/>
                        </w:rPr>
                        <w:t xml:space="preserve"> </w:t>
                      </w:r>
                      <w:r>
                        <w:rPr>
                          <w:color w:val="000000"/>
                        </w:rPr>
                        <w:t>common</w:t>
                      </w:r>
                      <w:r>
                        <w:rPr>
                          <w:color w:val="000000"/>
                          <w:spacing w:val="-7"/>
                        </w:rPr>
                        <w:t xml:space="preserve"> </w:t>
                      </w:r>
                      <w:r>
                        <w:rPr>
                          <w:color w:val="000000"/>
                        </w:rPr>
                        <w:t>law</w:t>
                      </w:r>
                      <w:r>
                        <w:rPr>
                          <w:color w:val="000000"/>
                          <w:spacing w:val="-8"/>
                        </w:rPr>
                        <w:t xml:space="preserve"> </w:t>
                      </w:r>
                      <w:r>
                        <w:rPr>
                          <w:color w:val="000000"/>
                        </w:rPr>
                        <w:t>as</w:t>
                      </w:r>
                      <w:r>
                        <w:rPr>
                          <w:color w:val="000000"/>
                          <w:spacing w:val="-6"/>
                        </w:rPr>
                        <w:t xml:space="preserve"> </w:t>
                      </w:r>
                      <w:r>
                        <w:rPr>
                          <w:color w:val="000000"/>
                        </w:rPr>
                        <w:t>well</w:t>
                      </w:r>
                      <w:r>
                        <w:rPr>
                          <w:color w:val="000000"/>
                          <w:spacing w:val="-6"/>
                        </w:rPr>
                        <w:t xml:space="preserve"> </w:t>
                      </w:r>
                      <w:r>
                        <w:rPr>
                          <w:color w:val="000000"/>
                        </w:rPr>
                        <w:t>as statutory law and should include an explicit provision to the effect that all non-statutory law, including the substantive and adjectival (procedural) law, is amended by the Charter so as to conform to human rights as defined and limited in the Charter, and that any conflict with Charter rights is to be resolved in favour of the Charter.</w:t>
                      </w:r>
                    </w:p>
                    <w:p w14:paraId="7CB26770" w14:textId="77777777" w:rsidR="008A4099" w:rsidRDefault="006A6EE2">
                      <w:pPr>
                        <w:spacing w:before="117"/>
                        <w:ind w:left="108"/>
                        <w:jc w:val="both"/>
                        <w:rPr>
                          <w:b/>
                          <w:color w:val="000000"/>
                          <w:sz w:val="23"/>
                        </w:rPr>
                      </w:pPr>
                      <w:r>
                        <w:rPr>
                          <w:b/>
                          <w:color w:val="000000"/>
                          <w:sz w:val="23"/>
                        </w:rPr>
                        <w:t>Recommendation</w:t>
                      </w:r>
                      <w:r>
                        <w:rPr>
                          <w:b/>
                          <w:color w:val="000000"/>
                          <w:spacing w:val="-7"/>
                          <w:sz w:val="23"/>
                        </w:rPr>
                        <w:t xml:space="preserve"> </w:t>
                      </w:r>
                      <w:r>
                        <w:rPr>
                          <w:b/>
                          <w:color w:val="000000"/>
                          <w:spacing w:val="-10"/>
                          <w:sz w:val="23"/>
                        </w:rPr>
                        <w:t>5</w:t>
                      </w:r>
                    </w:p>
                    <w:p w14:paraId="7CB26771" w14:textId="77777777" w:rsidR="008A4099" w:rsidRDefault="006A6EE2">
                      <w:pPr>
                        <w:pStyle w:val="BodyText"/>
                        <w:spacing w:before="240" w:line="242" w:lineRule="auto"/>
                        <w:ind w:left="108" w:right="220"/>
                        <w:jc w:val="both"/>
                        <w:rPr>
                          <w:color w:val="000000"/>
                        </w:rPr>
                      </w:pPr>
                      <w:r>
                        <w:rPr>
                          <w:color w:val="000000"/>
                        </w:rPr>
                        <w:t>That courts and tribunals be included in the definition of public authority when acting in an administrative capacity or in the exercise of procedure. However, this inclusion needs to be reconciled</w:t>
                      </w:r>
                      <w:r>
                        <w:rPr>
                          <w:color w:val="000000"/>
                          <w:spacing w:val="-7"/>
                        </w:rPr>
                        <w:t xml:space="preserve"> </w:t>
                      </w:r>
                      <w:r>
                        <w:rPr>
                          <w:color w:val="000000"/>
                        </w:rPr>
                        <w:t>with</w:t>
                      </w:r>
                      <w:r>
                        <w:rPr>
                          <w:color w:val="000000"/>
                          <w:spacing w:val="-7"/>
                        </w:rPr>
                        <w:t xml:space="preserve"> </w:t>
                      </w:r>
                      <w:r>
                        <w:rPr>
                          <w:color w:val="000000"/>
                        </w:rPr>
                        <w:t>the</w:t>
                      </w:r>
                      <w:r>
                        <w:rPr>
                          <w:color w:val="000000"/>
                          <w:spacing w:val="-7"/>
                        </w:rPr>
                        <w:t xml:space="preserve"> </w:t>
                      </w:r>
                      <w:r>
                        <w:rPr>
                          <w:color w:val="000000"/>
                        </w:rPr>
                        <w:t>enforcement</w:t>
                      </w:r>
                      <w:r>
                        <w:rPr>
                          <w:color w:val="000000"/>
                          <w:spacing w:val="-6"/>
                        </w:rPr>
                        <w:t xml:space="preserve"> </w:t>
                      </w:r>
                      <w:r>
                        <w:rPr>
                          <w:color w:val="000000"/>
                        </w:rPr>
                        <w:t>provisions</w:t>
                      </w:r>
                      <w:r>
                        <w:rPr>
                          <w:color w:val="000000"/>
                          <w:spacing w:val="-6"/>
                        </w:rPr>
                        <w:t xml:space="preserve"> </w:t>
                      </w:r>
                      <w:r>
                        <w:rPr>
                          <w:color w:val="000000"/>
                        </w:rPr>
                        <w:t>adopted</w:t>
                      </w:r>
                      <w:r>
                        <w:rPr>
                          <w:color w:val="000000"/>
                          <w:spacing w:val="-7"/>
                        </w:rPr>
                        <w:t xml:space="preserve"> </w:t>
                      </w:r>
                      <w:r>
                        <w:rPr>
                          <w:color w:val="000000"/>
                        </w:rPr>
                        <w:t>in</w:t>
                      </w:r>
                      <w:r>
                        <w:rPr>
                          <w:color w:val="000000"/>
                          <w:spacing w:val="-10"/>
                        </w:rPr>
                        <w:t xml:space="preserve"> </w:t>
                      </w:r>
                      <w:r>
                        <w:rPr>
                          <w:color w:val="000000"/>
                        </w:rPr>
                        <w:t>the</w:t>
                      </w:r>
                      <w:r>
                        <w:rPr>
                          <w:color w:val="000000"/>
                          <w:spacing w:val="-7"/>
                        </w:rPr>
                        <w:t xml:space="preserve"> </w:t>
                      </w:r>
                      <w:r>
                        <w:rPr>
                          <w:color w:val="000000"/>
                        </w:rPr>
                        <w:t>human</w:t>
                      </w:r>
                      <w:r>
                        <w:rPr>
                          <w:color w:val="000000"/>
                          <w:spacing w:val="-7"/>
                        </w:rPr>
                        <w:t xml:space="preserve"> </w:t>
                      </w:r>
                      <w:r>
                        <w:rPr>
                          <w:color w:val="000000"/>
                        </w:rPr>
                        <w:t>rights</w:t>
                      </w:r>
                      <w:r>
                        <w:rPr>
                          <w:color w:val="000000"/>
                          <w:spacing w:val="-6"/>
                        </w:rPr>
                        <w:t xml:space="preserve"> </w:t>
                      </w:r>
                      <w:r>
                        <w:rPr>
                          <w:color w:val="000000"/>
                        </w:rPr>
                        <w:t>enactment,</w:t>
                      </w:r>
                      <w:r>
                        <w:rPr>
                          <w:color w:val="000000"/>
                          <w:spacing w:val="-7"/>
                        </w:rPr>
                        <w:t xml:space="preserve"> </w:t>
                      </w:r>
                      <w:r>
                        <w:rPr>
                          <w:color w:val="000000"/>
                        </w:rPr>
                        <w:t>particularly</w:t>
                      </w:r>
                      <w:r>
                        <w:rPr>
                          <w:color w:val="000000"/>
                          <w:spacing w:val="-7"/>
                        </w:rPr>
                        <w:t xml:space="preserve"> </w:t>
                      </w:r>
                      <w:r>
                        <w:rPr>
                          <w:color w:val="000000"/>
                        </w:rPr>
                        <w:t>the avenues of redress.</w:t>
                      </w:r>
                    </w:p>
                  </w:txbxContent>
                </v:textbox>
                <w10:anchorlock/>
              </v:shape>
            </w:pict>
          </mc:Fallback>
        </mc:AlternateContent>
      </w:r>
    </w:p>
    <w:p w14:paraId="7CB26124" w14:textId="77777777" w:rsidR="008A4099" w:rsidRDefault="006A6EE2">
      <w:pPr>
        <w:pStyle w:val="Heading4"/>
        <w:spacing w:before="215"/>
      </w:pPr>
      <w:bookmarkStart w:id="34" w:name="_TOC_250026"/>
      <w:r>
        <w:t>Other</w:t>
      </w:r>
      <w:r>
        <w:rPr>
          <w:spacing w:val="-4"/>
        </w:rPr>
        <w:t xml:space="preserve"> </w:t>
      </w:r>
      <w:r>
        <w:t>exempted</w:t>
      </w:r>
      <w:r>
        <w:rPr>
          <w:spacing w:val="-3"/>
        </w:rPr>
        <w:t xml:space="preserve"> </w:t>
      </w:r>
      <w:bookmarkEnd w:id="34"/>
      <w:r>
        <w:rPr>
          <w:spacing w:val="-2"/>
        </w:rPr>
        <w:t>organisations</w:t>
      </w:r>
    </w:p>
    <w:p w14:paraId="7CB26125" w14:textId="77777777" w:rsidR="008A4099" w:rsidRDefault="008A4099">
      <w:pPr>
        <w:pStyle w:val="BodyText"/>
        <w:spacing w:before="16"/>
        <w:rPr>
          <w:b/>
          <w:i/>
          <w:sz w:val="23"/>
        </w:rPr>
      </w:pPr>
    </w:p>
    <w:p w14:paraId="7CB26126" w14:textId="77777777" w:rsidR="008A4099" w:rsidRDefault="006A6EE2">
      <w:pPr>
        <w:pStyle w:val="Heading3"/>
      </w:pPr>
      <w:r>
        <w:t>TLRI</w:t>
      </w:r>
      <w:r>
        <w:rPr>
          <w:spacing w:val="-4"/>
        </w:rPr>
        <w:t xml:space="preserve"> </w:t>
      </w:r>
      <w:r>
        <w:t>2007</w:t>
      </w:r>
      <w:r>
        <w:rPr>
          <w:spacing w:val="-2"/>
        </w:rPr>
        <w:t xml:space="preserve"> </w:t>
      </w:r>
      <w:r>
        <w:t>Final</w:t>
      </w:r>
      <w:r>
        <w:rPr>
          <w:spacing w:val="-2"/>
        </w:rPr>
        <w:t xml:space="preserve"> </w:t>
      </w:r>
      <w:r>
        <w:t>Report</w:t>
      </w:r>
      <w:r>
        <w:rPr>
          <w:spacing w:val="-5"/>
        </w:rPr>
        <w:t xml:space="preserve"> </w:t>
      </w:r>
      <w:r>
        <w:t>and</w:t>
      </w:r>
      <w:r>
        <w:rPr>
          <w:spacing w:val="-3"/>
        </w:rPr>
        <w:t xml:space="preserve"> </w:t>
      </w:r>
      <w:r>
        <w:t>subsequent</w:t>
      </w:r>
      <w:r>
        <w:rPr>
          <w:spacing w:val="-2"/>
        </w:rPr>
        <w:t xml:space="preserve"> developments</w:t>
      </w:r>
    </w:p>
    <w:p w14:paraId="7CB26127" w14:textId="77777777" w:rsidR="008A4099" w:rsidRDefault="006A6EE2">
      <w:pPr>
        <w:pStyle w:val="ListParagraph"/>
        <w:numPr>
          <w:ilvl w:val="2"/>
          <w:numId w:val="3"/>
        </w:numPr>
        <w:tabs>
          <w:tab w:val="left" w:pos="879"/>
        </w:tabs>
        <w:spacing w:before="259"/>
        <w:ind w:right="685" w:firstLine="0"/>
        <w:jc w:val="both"/>
      </w:pPr>
      <w:r>
        <w:t>In addition to the limited application to courts, both Queensland and Victoria provide for regulations to declare that particular entities are, or are not, public entities for the purposes of the obligations of their Human Rights enactments.</w:t>
      </w:r>
    </w:p>
    <w:p w14:paraId="7CB26128" w14:textId="77777777" w:rsidR="008A4099" w:rsidRDefault="006A6EE2">
      <w:pPr>
        <w:pStyle w:val="ListParagraph"/>
        <w:numPr>
          <w:ilvl w:val="2"/>
          <w:numId w:val="3"/>
        </w:numPr>
        <w:tabs>
          <w:tab w:val="left" w:pos="879"/>
        </w:tabs>
        <w:spacing w:before="216"/>
        <w:ind w:right="676" w:firstLine="0"/>
        <w:jc w:val="both"/>
        <w:rPr>
          <w:sz w:val="13"/>
        </w:rPr>
      </w:pPr>
      <w:r>
        <w:t>In</w:t>
      </w:r>
      <w:r>
        <w:rPr>
          <w:spacing w:val="-2"/>
        </w:rPr>
        <w:t xml:space="preserve"> </w:t>
      </w:r>
      <w:r>
        <w:t>Victoria,</w:t>
      </w:r>
      <w:r>
        <w:rPr>
          <w:spacing w:val="-2"/>
        </w:rPr>
        <w:t xml:space="preserve"> </w:t>
      </w:r>
      <w:r>
        <w:t>the</w:t>
      </w:r>
      <w:r>
        <w:rPr>
          <w:spacing w:val="-2"/>
        </w:rPr>
        <w:t xml:space="preserve"> </w:t>
      </w:r>
      <w:r>
        <w:t>Adult</w:t>
      </w:r>
      <w:r>
        <w:rPr>
          <w:spacing w:val="-1"/>
        </w:rPr>
        <w:t xml:space="preserve"> </w:t>
      </w:r>
      <w:r>
        <w:t>Parole</w:t>
      </w:r>
      <w:r>
        <w:rPr>
          <w:spacing w:val="-2"/>
        </w:rPr>
        <w:t xml:space="preserve"> </w:t>
      </w:r>
      <w:r>
        <w:t>Board,</w:t>
      </w:r>
      <w:r>
        <w:rPr>
          <w:spacing w:val="-2"/>
        </w:rPr>
        <w:t xml:space="preserve"> </w:t>
      </w:r>
      <w:r>
        <w:t>the</w:t>
      </w:r>
      <w:r>
        <w:rPr>
          <w:spacing w:val="-2"/>
        </w:rPr>
        <w:t xml:space="preserve"> </w:t>
      </w:r>
      <w:r>
        <w:t>Youth</w:t>
      </w:r>
      <w:r>
        <w:rPr>
          <w:spacing w:val="-2"/>
        </w:rPr>
        <w:t xml:space="preserve"> </w:t>
      </w:r>
      <w:r>
        <w:t>Residential</w:t>
      </w:r>
      <w:r>
        <w:rPr>
          <w:spacing w:val="-1"/>
        </w:rPr>
        <w:t xml:space="preserve"> </w:t>
      </w:r>
      <w:r>
        <w:t>Board,</w:t>
      </w:r>
      <w:r>
        <w:rPr>
          <w:spacing w:val="-2"/>
        </w:rPr>
        <w:t xml:space="preserve"> </w:t>
      </w:r>
      <w:r>
        <w:t>and</w:t>
      </w:r>
      <w:r>
        <w:rPr>
          <w:spacing w:val="-2"/>
        </w:rPr>
        <w:t xml:space="preserve"> </w:t>
      </w:r>
      <w:r>
        <w:t>the</w:t>
      </w:r>
      <w:r>
        <w:rPr>
          <w:spacing w:val="-2"/>
        </w:rPr>
        <w:t xml:space="preserve"> </w:t>
      </w:r>
      <w:r>
        <w:t>Youth</w:t>
      </w:r>
      <w:r>
        <w:rPr>
          <w:spacing w:val="-2"/>
        </w:rPr>
        <w:t xml:space="preserve"> </w:t>
      </w:r>
      <w:r>
        <w:t>Parole</w:t>
      </w:r>
      <w:r>
        <w:rPr>
          <w:spacing w:val="-2"/>
        </w:rPr>
        <w:t xml:space="preserve"> </w:t>
      </w:r>
      <w:r>
        <w:t>Board have</w:t>
      </w:r>
      <w:r>
        <w:rPr>
          <w:spacing w:val="-7"/>
        </w:rPr>
        <w:t xml:space="preserve"> </w:t>
      </w:r>
      <w:r>
        <w:t>been</w:t>
      </w:r>
      <w:r>
        <w:rPr>
          <w:spacing w:val="-7"/>
        </w:rPr>
        <w:t xml:space="preserve"> </w:t>
      </w:r>
      <w:r>
        <w:t>declared</w:t>
      </w:r>
      <w:r>
        <w:rPr>
          <w:spacing w:val="-7"/>
        </w:rPr>
        <w:t xml:space="preserve"> </w:t>
      </w:r>
      <w:r>
        <w:t>not</w:t>
      </w:r>
      <w:r>
        <w:rPr>
          <w:spacing w:val="-9"/>
        </w:rPr>
        <w:t xml:space="preserve"> </w:t>
      </w:r>
      <w:r>
        <w:t>to</w:t>
      </w:r>
      <w:r>
        <w:rPr>
          <w:spacing w:val="-7"/>
        </w:rPr>
        <w:t xml:space="preserve"> </w:t>
      </w:r>
      <w:r>
        <w:t>be</w:t>
      </w:r>
      <w:r>
        <w:rPr>
          <w:spacing w:val="-7"/>
        </w:rPr>
        <w:t xml:space="preserve"> </w:t>
      </w:r>
      <w:r>
        <w:t>public</w:t>
      </w:r>
      <w:r>
        <w:rPr>
          <w:spacing w:val="-9"/>
        </w:rPr>
        <w:t xml:space="preserve"> </w:t>
      </w:r>
      <w:r>
        <w:t>authorities.</w:t>
      </w:r>
      <w:r>
        <w:rPr>
          <w:position w:val="7"/>
          <w:sz w:val="13"/>
        </w:rPr>
        <w:t>391</w:t>
      </w:r>
      <w:r>
        <w:rPr>
          <w:spacing w:val="15"/>
          <w:position w:val="7"/>
          <w:sz w:val="13"/>
        </w:rPr>
        <w:t xml:space="preserve"> </w:t>
      </w:r>
      <w:r>
        <w:t>In</w:t>
      </w:r>
      <w:r>
        <w:rPr>
          <w:spacing w:val="-7"/>
        </w:rPr>
        <w:t xml:space="preserve"> </w:t>
      </w:r>
      <w:r>
        <w:t>Queensland,</w:t>
      </w:r>
      <w:r>
        <w:rPr>
          <w:spacing w:val="-7"/>
        </w:rPr>
        <w:t xml:space="preserve"> </w:t>
      </w:r>
      <w:r>
        <w:t>grammar</w:t>
      </w:r>
      <w:r>
        <w:rPr>
          <w:spacing w:val="-8"/>
        </w:rPr>
        <w:t xml:space="preserve"> </w:t>
      </w:r>
      <w:r>
        <w:t>schools</w:t>
      </w:r>
      <w:r>
        <w:rPr>
          <w:spacing w:val="-9"/>
        </w:rPr>
        <w:t xml:space="preserve"> </w:t>
      </w:r>
      <w:r>
        <w:t>and</w:t>
      </w:r>
      <w:r>
        <w:rPr>
          <w:spacing w:val="-7"/>
        </w:rPr>
        <w:t xml:space="preserve"> </w:t>
      </w:r>
      <w:r>
        <w:t>their</w:t>
      </w:r>
      <w:r>
        <w:rPr>
          <w:spacing w:val="-9"/>
        </w:rPr>
        <w:t xml:space="preserve"> </w:t>
      </w:r>
      <w:r>
        <w:t>boards</w:t>
      </w:r>
      <w:r>
        <w:rPr>
          <w:spacing w:val="-6"/>
        </w:rPr>
        <w:t xml:space="preserve"> </w:t>
      </w:r>
      <w:r>
        <w:t>are prescribed</w:t>
      </w:r>
      <w:r>
        <w:rPr>
          <w:spacing w:val="-8"/>
        </w:rPr>
        <w:t xml:space="preserve"> </w:t>
      </w:r>
      <w:r>
        <w:t>not</w:t>
      </w:r>
      <w:r>
        <w:rPr>
          <w:spacing w:val="-8"/>
        </w:rPr>
        <w:t xml:space="preserve"> </w:t>
      </w:r>
      <w:r>
        <w:t>to</w:t>
      </w:r>
      <w:r>
        <w:rPr>
          <w:spacing w:val="-9"/>
        </w:rPr>
        <w:t xml:space="preserve"> </w:t>
      </w:r>
      <w:r>
        <w:t>be</w:t>
      </w:r>
      <w:r>
        <w:rPr>
          <w:spacing w:val="-8"/>
        </w:rPr>
        <w:t xml:space="preserve"> </w:t>
      </w:r>
      <w:r>
        <w:t>public</w:t>
      </w:r>
      <w:r>
        <w:rPr>
          <w:spacing w:val="-11"/>
        </w:rPr>
        <w:t xml:space="preserve"> </w:t>
      </w:r>
      <w:r>
        <w:t>entities.</w:t>
      </w:r>
      <w:r>
        <w:rPr>
          <w:position w:val="7"/>
          <w:sz w:val="13"/>
        </w:rPr>
        <w:t>392</w:t>
      </w:r>
      <w:r>
        <w:rPr>
          <w:spacing w:val="14"/>
          <w:position w:val="7"/>
          <w:sz w:val="13"/>
        </w:rPr>
        <w:t xml:space="preserve"> </w:t>
      </w:r>
      <w:r>
        <w:t>In</w:t>
      </w:r>
      <w:r>
        <w:rPr>
          <w:spacing w:val="-9"/>
        </w:rPr>
        <w:t xml:space="preserve"> </w:t>
      </w:r>
      <w:r>
        <w:t>the</w:t>
      </w:r>
      <w:r>
        <w:rPr>
          <w:spacing w:val="-8"/>
        </w:rPr>
        <w:t xml:space="preserve"> </w:t>
      </w:r>
      <w:r>
        <w:t>2015</w:t>
      </w:r>
      <w:r>
        <w:rPr>
          <w:spacing w:val="-8"/>
        </w:rPr>
        <w:t xml:space="preserve"> </w:t>
      </w:r>
      <w:r>
        <w:t>Victorian</w:t>
      </w:r>
      <w:r>
        <w:rPr>
          <w:spacing w:val="-7"/>
        </w:rPr>
        <w:t xml:space="preserve"> </w:t>
      </w:r>
      <w:r>
        <w:t>Review,</w:t>
      </w:r>
      <w:r>
        <w:rPr>
          <w:spacing w:val="-9"/>
        </w:rPr>
        <w:t xml:space="preserve"> </w:t>
      </w:r>
      <w:r>
        <w:t>the</w:t>
      </w:r>
      <w:r>
        <w:rPr>
          <w:spacing w:val="-8"/>
        </w:rPr>
        <w:t xml:space="preserve"> </w:t>
      </w:r>
      <w:r>
        <w:t>exemption</w:t>
      </w:r>
      <w:r>
        <w:rPr>
          <w:spacing w:val="-9"/>
        </w:rPr>
        <w:t xml:space="preserve"> </w:t>
      </w:r>
      <w:r>
        <w:t>of</w:t>
      </w:r>
      <w:r>
        <w:rPr>
          <w:spacing w:val="-8"/>
        </w:rPr>
        <w:t xml:space="preserve"> </w:t>
      </w:r>
      <w:r>
        <w:t>the</w:t>
      </w:r>
      <w:r>
        <w:rPr>
          <w:spacing w:val="-8"/>
        </w:rPr>
        <w:t xml:space="preserve"> </w:t>
      </w:r>
      <w:r>
        <w:t>parole</w:t>
      </w:r>
      <w:r>
        <w:rPr>
          <w:spacing w:val="-8"/>
        </w:rPr>
        <w:t xml:space="preserve"> </w:t>
      </w:r>
      <w:r>
        <w:t>boards from public authority obligations was considered, with a number of submissions (including from the Law</w:t>
      </w:r>
      <w:r>
        <w:rPr>
          <w:spacing w:val="-6"/>
        </w:rPr>
        <w:t xml:space="preserve"> </w:t>
      </w:r>
      <w:r>
        <w:t>Institute</w:t>
      </w:r>
      <w:r>
        <w:rPr>
          <w:spacing w:val="-4"/>
        </w:rPr>
        <w:t xml:space="preserve"> </w:t>
      </w:r>
      <w:r>
        <w:t>of</w:t>
      </w:r>
      <w:r>
        <w:rPr>
          <w:spacing w:val="-4"/>
        </w:rPr>
        <w:t xml:space="preserve"> </w:t>
      </w:r>
      <w:r>
        <w:t>Victoria,</w:t>
      </w:r>
      <w:r>
        <w:rPr>
          <w:spacing w:val="-4"/>
        </w:rPr>
        <w:t xml:space="preserve"> </w:t>
      </w:r>
      <w:r>
        <w:t>VEOHRC,</w:t>
      </w:r>
      <w:r>
        <w:rPr>
          <w:spacing w:val="-5"/>
        </w:rPr>
        <w:t xml:space="preserve"> </w:t>
      </w:r>
      <w:r>
        <w:t>Community</w:t>
      </w:r>
      <w:r>
        <w:rPr>
          <w:spacing w:val="-5"/>
        </w:rPr>
        <w:t xml:space="preserve"> </w:t>
      </w:r>
      <w:r>
        <w:t>Legal</w:t>
      </w:r>
      <w:r>
        <w:rPr>
          <w:spacing w:val="-4"/>
        </w:rPr>
        <w:t xml:space="preserve"> </w:t>
      </w:r>
      <w:r>
        <w:t>Centres)</w:t>
      </w:r>
      <w:r>
        <w:rPr>
          <w:spacing w:val="-4"/>
        </w:rPr>
        <w:t xml:space="preserve"> </w:t>
      </w:r>
      <w:r>
        <w:t>recommending</w:t>
      </w:r>
      <w:r>
        <w:rPr>
          <w:spacing w:val="-7"/>
        </w:rPr>
        <w:t xml:space="preserve"> </w:t>
      </w:r>
      <w:r>
        <w:t>that</w:t>
      </w:r>
      <w:r>
        <w:rPr>
          <w:spacing w:val="-4"/>
        </w:rPr>
        <w:t xml:space="preserve"> </w:t>
      </w:r>
      <w:r>
        <w:t>the</w:t>
      </w:r>
      <w:r>
        <w:rPr>
          <w:spacing w:val="-4"/>
        </w:rPr>
        <w:t xml:space="preserve"> </w:t>
      </w:r>
      <w:r>
        <w:t>exemption</w:t>
      </w:r>
      <w:r>
        <w:rPr>
          <w:spacing w:val="-5"/>
        </w:rPr>
        <w:t xml:space="preserve"> </w:t>
      </w:r>
      <w:r>
        <w:t>be revoked.</w:t>
      </w:r>
      <w:r>
        <w:rPr>
          <w:position w:val="7"/>
          <w:sz w:val="13"/>
        </w:rPr>
        <w:t>393</w:t>
      </w:r>
      <w:r>
        <w:rPr>
          <w:spacing w:val="13"/>
          <w:position w:val="7"/>
          <w:sz w:val="13"/>
        </w:rPr>
        <w:t xml:space="preserve"> </w:t>
      </w:r>
      <w:r>
        <w:t>Comment</w:t>
      </w:r>
      <w:r>
        <w:rPr>
          <w:spacing w:val="-9"/>
        </w:rPr>
        <w:t xml:space="preserve"> </w:t>
      </w:r>
      <w:r>
        <w:t>was</w:t>
      </w:r>
      <w:r>
        <w:rPr>
          <w:spacing w:val="-11"/>
        </w:rPr>
        <w:t xml:space="preserve"> </w:t>
      </w:r>
      <w:r>
        <w:t>also</w:t>
      </w:r>
      <w:r>
        <w:rPr>
          <w:spacing w:val="-10"/>
        </w:rPr>
        <w:t xml:space="preserve"> </w:t>
      </w:r>
      <w:r>
        <w:t>made</w:t>
      </w:r>
      <w:r>
        <w:rPr>
          <w:spacing w:val="-9"/>
        </w:rPr>
        <w:t xml:space="preserve"> </w:t>
      </w:r>
      <w:r>
        <w:t>about</w:t>
      </w:r>
      <w:r>
        <w:rPr>
          <w:spacing w:val="-9"/>
        </w:rPr>
        <w:t xml:space="preserve"> </w:t>
      </w:r>
      <w:r>
        <w:t>the</w:t>
      </w:r>
      <w:r>
        <w:rPr>
          <w:spacing w:val="-9"/>
        </w:rPr>
        <w:t xml:space="preserve"> </w:t>
      </w:r>
      <w:r>
        <w:t>complex</w:t>
      </w:r>
      <w:r>
        <w:rPr>
          <w:spacing w:val="-9"/>
        </w:rPr>
        <w:t xml:space="preserve"> </w:t>
      </w:r>
      <w:r>
        <w:t>nature</w:t>
      </w:r>
      <w:r>
        <w:rPr>
          <w:spacing w:val="-9"/>
        </w:rPr>
        <w:t xml:space="preserve"> </w:t>
      </w:r>
      <w:r>
        <w:t>of</w:t>
      </w:r>
      <w:r>
        <w:rPr>
          <w:spacing w:val="-11"/>
        </w:rPr>
        <w:t xml:space="preserve"> </w:t>
      </w:r>
      <w:r>
        <w:t>the</w:t>
      </w:r>
      <w:r>
        <w:rPr>
          <w:spacing w:val="-9"/>
        </w:rPr>
        <w:t xml:space="preserve"> </w:t>
      </w:r>
      <w:r>
        <w:t>work</w:t>
      </w:r>
      <w:r>
        <w:rPr>
          <w:spacing w:val="-10"/>
        </w:rPr>
        <w:t xml:space="preserve"> </w:t>
      </w:r>
      <w:r>
        <w:t>undertaken</w:t>
      </w:r>
      <w:r>
        <w:rPr>
          <w:spacing w:val="-10"/>
        </w:rPr>
        <w:t xml:space="preserve"> </w:t>
      </w:r>
      <w:r>
        <w:t>by</w:t>
      </w:r>
      <w:r>
        <w:rPr>
          <w:spacing w:val="-10"/>
        </w:rPr>
        <w:t xml:space="preserve"> </w:t>
      </w:r>
      <w:r>
        <w:t>parole</w:t>
      </w:r>
      <w:r>
        <w:rPr>
          <w:spacing w:val="-9"/>
        </w:rPr>
        <w:t xml:space="preserve"> </w:t>
      </w:r>
      <w:r>
        <w:t>boards and the work that would be required to build a human rights framework into their decisions. In the report,</w:t>
      </w:r>
      <w:r>
        <w:rPr>
          <w:spacing w:val="-14"/>
        </w:rPr>
        <w:t xml:space="preserve"> </w:t>
      </w:r>
      <w:r>
        <w:t>no</w:t>
      </w:r>
      <w:r>
        <w:rPr>
          <w:spacing w:val="-14"/>
        </w:rPr>
        <w:t xml:space="preserve"> </w:t>
      </w:r>
      <w:r>
        <w:t>recommendation</w:t>
      </w:r>
      <w:r>
        <w:rPr>
          <w:spacing w:val="-14"/>
        </w:rPr>
        <w:t xml:space="preserve"> </w:t>
      </w:r>
      <w:r>
        <w:t>was</w:t>
      </w:r>
      <w:r>
        <w:rPr>
          <w:spacing w:val="-13"/>
        </w:rPr>
        <w:t xml:space="preserve"> </w:t>
      </w:r>
      <w:r>
        <w:t>made</w:t>
      </w:r>
      <w:r>
        <w:rPr>
          <w:spacing w:val="-14"/>
        </w:rPr>
        <w:t xml:space="preserve"> </w:t>
      </w:r>
      <w:r>
        <w:t>in</w:t>
      </w:r>
      <w:r>
        <w:rPr>
          <w:spacing w:val="-14"/>
        </w:rPr>
        <w:t xml:space="preserve"> </w:t>
      </w:r>
      <w:r>
        <w:t>relation</w:t>
      </w:r>
      <w:r>
        <w:rPr>
          <w:spacing w:val="-14"/>
        </w:rPr>
        <w:t xml:space="preserve"> </w:t>
      </w:r>
      <w:r>
        <w:t>to</w:t>
      </w:r>
      <w:r>
        <w:rPr>
          <w:spacing w:val="-13"/>
        </w:rPr>
        <w:t xml:space="preserve"> </w:t>
      </w:r>
      <w:r>
        <w:t>exempted</w:t>
      </w:r>
      <w:r>
        <w:rPr>
          <w:spacing w:val="-14"/>
        </w:rPr>
        <w:t xml:space="preserve"> </w:t>
      </w:r>
      <w:r>
        <w:t>organisation</w:t>
      </w:r>
      <w:r>
        <w:rPr>
          <w:spacing w:val="-14"/>
        </w:rPr>
        <w:t xml:space="preserve"> </w:t>
      </w:r>
      <w:r>
        <w:t>and</w:t>
      </w:r>
      <w:r>
        <w:rPr>
          <w:spacing w:val="-14"/>
        </w:rPr>
        <w:t xml:space="preserve"> </w:t>
      </w:r>
      <w:r>
        <w:t>was</w:t>
      </w:r>
      <w:r>
        <w:rPr>
          <w:spacing w:val="-13"/>
        </w:rPr>
        <w:t xml:space="preserve"> </w:t>
      </w:r>
      <w:r>
        <w:t>identified</w:t>
      </w:r>
      <w:r>
        <w:rPr>
          <w:spacing w:val="-14"/>
        </w:rPr>
        <w:t xml:space="preserve"> </w:t>
      </w:r>
      <w:r>
        <w:t>as</w:t>
      </w:r>
      <w:r>
        <w:rPr>
          <w:spacing w:val="-14"/>
        </w:rPr>
        <w:t xml:space="preserve"> </w:t>
      </w:r>
      <w:r>
        <w:t>a</w:t>
      </w:r>
      <w:r>
        <w:rPr>
          <w:spacing w:val="-14"/>
        </w:rPr>
        <w:t xml:space="preserve"> </w:t>
      </w:r>
      <w:r>
        <w:t>matter for government to consider at the expiry of the current regulations.</w:t>
      </w:r>
      <w:r>
        <w:rPr>
          <w:position w:val="7"/>
          <w:sz w:val="13"/>
        </w:rPr>
        <w:t>394</w:t>
      </w:r>
    </w:p>
    <w:p w14:paraId="7CB26129" w14:textId="77777777" w:rsidR="008A4099" w:rsidRDefault="006A6EE2">
      <w:pPr>
        <w:pStyle w:val="ListParagraph"/>
        <w:numPr>
          <w:ilvl w:val="2"/>
          <w:numId w:val="3"/>
        </w:numPr>
        <w:tabs>
          <w:tab w:val="left" w:pos="879"/>
        </w:tabs>
        <w:spacing w:before="216"/>
        <w:ind w:right="675" w:firstLine="0"/>
        <w:jc w:val="both"/>
      </w:pPr>
      <w:r>
        <w:t>The TLRI 2007 Final Report considered the question of who should be bound by a charter of rights. As discussed at [1.3.7], the TLRI recommended an initially conservative approach with the charter to initially to bind only public authorities. Other than discussing the scope of the definition of public authority and the inclusion (or otherwise) of courts and non-government schools and health services), consideration was not given to creating a more general provision to allow for other organisations to be exempted from the charter by regulation.</w:t>
      </w:r>
    </w:p>
    <w:p w14:paraId="7CB2612A" w14:textId="77777777" w:rsidR="008A4099" w:rsidRDefault="006A6EE2">
      <w:pPr>
        <w:pStyle w:val="Heading3"/>
        <w:spacing w:before="236"/>
      </w:pPr>
      <w:r>
        <w:t>TLRI’s</w:t>
      </w:r>
      <w:r>
        <w:rPr>
          <w:spacing w:val="-4"/>
        </w:rPr>
        <w:t xml:space="preserve"> </w:t>
      </w:r>
      <w:r>
        <w:t>current</w:t>
      </w:r>
      <w:r>
        <w:rPr>
          <w:spacing w:val="-3"/>
        </w:rPr>
        <w:t xml:space="preserve"> </w:t>
      </w:r>
      <w:r>
        <w:t>views</w:t>
      </w:r>
      <w:r>
        <w:rPr>
          <w:spacing w:val="-3"/>
        </w:rPr>
        <w:t xml:space="preserve"> </w:t>
      </w:r>
      <w:r>
        <w:t>and</w:t>
      </w:r>
      <w:r>
        <w:rPr>
          <w:spacing w:val="-3"/>
        </w:rPr>
        <w:t xml:space="preserve"> </w:t>
      </w:r>
      <w:r>
        <w:rPr>
          <w:spacing w:val="-2"/>
        </w:rPr>
        <w:t>recommendation</w:t>
      </w:r>
    </w:p>
    <w:p w14:paraId="7CB2612B" w14:textId="77777777" w:rsidR="008A4099" w:rsidRDefault="006A6EE2">
      <w:pPr>
        <w:pStyle w:val="ListParagraph"/>
        <w:numPr>
          <w:ilvl w:val="2"/>
          <w:numId w:val="3"/>
        </w:numPr>
        <w:tabs>
          <w:tab w:val="left" w:pos="879"/>
        </w:tabs>
        <w:spacing w:before="263" w:line="237" w:lineRule="auto"/>
        <w:ind w:right="679" w:firstLine="0"/>
        <w:jc w:val="both"/>
      </w:pPr>
      <w:r>
        <w:t>In</w:t>
      </w:r>
      <w:r>
        <w:rPr>
          <w:spacing w:val="-10"/>
        </w:rPr>
        <w:t xml:space="preserve"> </w:t>
      </w:r>
      <w:r>
        <w:t>line</w:t>
      </w:r>
      <w:r>
        <w:rPr>
          <w:spacing w:val="-9"/>
        </w:rPr>
        <w:t xml:space="preserve"> </w:t>
      </w:r>
      <w:r>
        <w:t>with</w:t>
      </w:r>
      <w:r>
        <w:rPr>
          <w:spacing w:val="-10"/>
        </w:rPr>
        <w:t xml:space="preserve"> </w:t>
      </w:r>
      <w:r>
        <w:t>the</w:t>
      </w:r>
      <w:r>
        <w:rPr>
          <w:spacing w:val="-9"/>
        </w:rPr>
        <w:t xml:space="preserve"> </w:t>
      </w:r>
      <w:r>
        <w:t>2007</w:t>
      </w:r>
      <w:r>
        <w:rPr>
          <w:spacing w:val="-10"/>
        </w:rPr>
        <w:t xml:space="preserve"> </w:t>
      </w:r>
      <w:r>
        <w:t>Final</w:t>
      </w:r>
      <w:r>
        <w:rPr>
          <w:spacing w:val="-11"/>
        </w:rPr>
        <w:t xml:space="preserve"> </w:t>
      </w:r>
      <w:r>
        <w:t>Report,</w:t>
      </w:r>
      <w:r>
        <w:rPr>
          <w:spacing w:val="-10"/>
        </w:rPr>
        <w:t xml:space="preserve"> </w:t>
      </w:r>
      <w:r>
        <w:t>the</w:t>
      </w:r>
      <w:r>
        <w:rPr>
          <w:spacing w:val="-9"/>
        </w:rPr>
        <w:t xml:space="preserve"> </w:t>
      </w:r>
      <w:r>
        <w:t>TLRI’s</w:t>
      </w:r>
      <w:r>
        <w:rPr>
          <w:spacing w:val="-9"/>
        </w:rPr>
        <w:t xml:space="preserve"> </w:t>
      </w:r>
      <w:r>
        <w:t>view</w:t>
      </w:r>
      <w:r>
        <w:rPr>
          <w:spacing w:val="-10"/>
        </w:rPr>
        <w:t xml:space="preserve"> </w:t>
      </w:r>
      <w:r>
        <w:t>remains</w:t>
      </w:r>
      <w:r>
        <w:rPr>
          <w:spacing w:val="-9"/>
        </w:rPr>
        <w:t xml:space="preserve"> </w:t>
      </w:r>
      <w:r>
        <w:t>that</w:t>
      </w:r>
      <w:r>
        <w:rPr>
          <w:spacing w:val="-11"/>
        </w:rPr>
        <w:t xml:space="preserve"> </w:t>
      </w:r>
      <w:r>
        <w:t>the</w:t>
      </w:r>
      <w:r>
        <w:rPr>
          <w:spacing w:val="-9"/>
        </w:rPr>
        <w:t xml:space="preserve"> </w:t>
      </w:r>
      <w:r>
        <w:t>scope</w:t>
      </w:r>
      <w:r>
        <w:rPr>
          <w:spacing w:val="-9"/>
        </w:rPr>
        <w:t xml:space="preserve"> </w:t>
      </w:r>
      <w:r>
        <w:t>of</w:t>
      </w:r>
      <w:r>
        <w:rPr>
          <w:spacing w:val="-9"/>
        </w:rPr>
        <w:t xml:space="preserve"> </w:t>
      </w:r>
      <w:r>
        <w:t>‘public</w:t>
      </w:r>
      <w:r>
        <w:rPr>
          <w:spacing w:val="-12"/>
        </w:rPr>
        <w:t xml:space="preserve"> </w:t>
      </w:r>
      <w:r>
        <w:t>authority’ should be as broad as possible. The TLRI considers that concerns arise if there is provision to exempt or exclude organisations engaged in performing public services (including criminal justice responsibilities) from the operation of a Tasmanian human rights enactment. Evidence given in the investigation</w:t>
      </w:r>
      <w:r>
        <w:rPr>
          <w:spacing w:val="-14"/>
        </w:rPr>
        <w:t xml:space="preserve"> </w:t>
      </w:r>
      <w:r>
        <w:t>of</w:t>
      </w:r>
      <w:r>
        <w:rPr>
          <w:spacing w:val="-14"/>
        </w:rPr>
        <w:t xml:space="preserve"> </w:t>
      </w:r>
      <w:r>
        <w:t>the</w:t>
      </w:r>
      <w:r>
        <w:rPr>
          <w:spacing w:val="-12"/>
        </w:rPr>
        <w:t xml:space="preserve"> </w:t>
      </w:r>
      <w:r>
        <w:t>Tasmanian</w:t>
      </w:r>
      <w:r>
        <w:rPr>
          <w:spacing w:val="-12"/>
        </w:rPr>
        <w:t xml:space="preserve"> </w:t>
      </w:r>
      <w:r>
        <w:t>Commission</w:t>
      </w:r>
      <w:r>
        <w:rPr>
          <w:spacing w:val="-14"/>
        </w:rPr>
        <w:t xml:space="preserve"> </w:t>
      </w:r>
      <w:r>
        <w:t>of</w:t>
      </w:r>
      <w:r>
        <w:rPr>
          <w:spacing w:val="-11"/>
        </w:rPr>
        <w:t xml:space="preserve"> </w:t>
      </w:r>
      <w:r>
        <w:t>Inquiry</w:t>
      </w:r>
      <w:r>
        <w:rPr>
          <w:spacing w:val="-14"/>
        </w:rPr>
        <w:t xml:space="preserve"> </w:t>
      </w:r>
      <w:r>
        <w:t>into</w:t>
      </w:r>
      <w:r>
        <w:rPr>
          <w:spacing w:val="-12"/>
        </w:rPr>
        <w:t xml:space="preserve"> </w:t>
      </w:r>
      <w:r>
        <w:t>Child</w:t>
      </w:r>
      <w:r>
        <w:rPr>
          <w:spacing w:val="-12"/>
        </w:rPr>
        <w:t xml:space="preserve"> </w:t>
      </w:r>
      <w:r>
        <w:t>Sexual</w:t>
      </w:r>
      <w:r>
        <w:rPr>
          <w:spacing w:val="-11"/>
        </w:rPr>
        <w:t xml:space="preserve"> </w:t>
      </w:r>
      <w:r>
        <w:t>Abuse</w:t>
      </w:r>
      <w:r>
        <w:rPr>
          <w:spacing w:val="-14"/>
        </w:rPr>
        <w:t xml:space="preserve"> </w:t>
      </w:r>
      <w:r>
        <w:t>in</w:t>
      </w:r>
      <w:r>
        <w:rPr>
          <w:spacing w:val="-12"/>
        </w:rPr>
        <w:t xml:space="preserve"> </w:t>
      </w:r>
      <w:r>
        <w:t>Institutional</w:t>
      </w:r>
      <w:r>
        <w:rPr>
          <w:spacing w:val="-11"/>
        </w:rPr>
        <w:t xml:space="preserve"> </w:t>
      </w:r>
      <w:r>
        <w:t>Settings</w:t>
      </w:r>
    </w:p>
    <w:p w14:paraId="7CB2612C" w14:textId="77777777" w:rsidR="008A4099" w:rsidRDefault="006A6EE2">
      <w:pPr>
        <w:pStyle w:val="BodyText"/>
        <w:spacing w:before="27"/>
        <w:rPr>
          <w:sz w:val="20"/>
        </w:rPr>
      </w:pPr>
      <w:r>
        <w:rPr>
          <w:noProof/>
        </w:rPr>
        <mc:AlternateContent>
          <mc:Choice Requires="wps">
            <w:drawing>
              <wp:anchor distT="0" distB="0" distL="0" distR="0" simplePos="0" relativeHeight="487622144" behindDoc="1" locked="0" layoutInCell="1" allowOverlap="1" wp14:anchorId="7CB2665F" wp14:editId="7CB26660">
                <wp:simplePos x="0" y="0"/>
                <wp:positionH relativeFrom="page">
                  <wp:posOffset>914704</wp:posOffset>
                </wp:positionH>
                <wp:positionV relativeFrom="paragraph">
                  <wp:posOffset>178861</wp:posOffset>
                </wp:positionV>
                <wp:extent cx="1829435" cy="762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B421BA" id="Graphic 115" o:spid="_x0000_s1026" style="position:absolute;margin-left:1in;margin-top:14.1pt;width:144.05pt;height:.6pt;z-index:-156943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" path="m1829054,l,,,7619r1829054,l1829054,xe" fillcolor="black" stroked="f">
                <v:path arrowok="t"/>
                <w10:wrap type="topAndBottom" anchorx="page"/>
              </v:shape>
            </w:pict>
          </mc:Fallback>
        </mc:AlternateContent>
      </w:r>
    </w:p>
    <w:p w14:paraId="7CB2612D" w14:textId="77777777" w:rsidR="008A4099" w:rsidRDefault="006A6EE2">
      <w:pPr>
        <w:spacing w:before="112"/>
        <w:ind w:left="160"/>
        <w:rPr>
          <w:sz w:val="18"/>
        </w:rPr>
      </w:pPr>
      <w:r>
        <w:rPr>
          <w:sz w:val="18"/>
          <w:vertAlign w:val="superscript"/>
        </w:rPr>
        <w:t>391</w:t>
      </w:r>
      <w:r>
        <w:rPr>
          <w:spacing w:val="4"/>
          <w:sz w:val="18"/>
        </w:rPr>
        <w:t xml:space="preserve"> </w:t>
      </w:r>
      <w:r>
        <w:rPr>
          <w:sz w:val="18"/>
        </w:rPr>
        <w:t>Charter</w:t>
      </w:r>
      <w:r>
        <w:rPr>
          <w:spacing w:val="-1"/>
          <w:sz w:val="18"/>
        </w:rPr>
        <w:t xml:space="preserve"> </w:t>
      </w:r>
      <w:r>
        <w:rPr>
          <w:sz w:val="18"/>
        </w:rPr>
        <w:t>of</w:t>
      </w:r>
      <w:r>
        <w:rPr>
          <w:spacing w:val="1"/>
          <w:sz w:val="18"/>
        </w:rPr>
        <w:t xml:space="preserve"> </w:t>
      </w:r>
      <w:r>
        <w:rPr>
          <w:sz w:val="18"/>
        </w:rPr>
        <w:t>Human Rights and</w:t>
      </w:r>
      <w:r>
        <w:rPr>
          <w:spacing w:val="-1"/>
          <w:sz w:val="18"/>
        </w:rPr>
        <w:t xml:space="preserve"> </w:t>
      </w:r>
      <w:r>
        <w:rPr>
          <w:sz w:val="18"/>
        </w:rPr>
        <w:t>Responsibilities</w:t>
      </w:r>
      <w:r>
        <w:rPr>
          <w:spacing w:val="-2"/>
          <w:sz w:val="18"/>
        </w:rPr>
        <w:t xml:space="preserve"> </w:t>
      </w:r>
      <w:r>
        <w:rPr>
          <w:sz w:val="18"/>
        </w:rPr>
        <w:t>(Public Authorities)</w:t>
      </w:r>
      <w:r>
        <w:rPr>
          <w:spacing w:val="-1"/>
          <w:sz w:val="18"/>
        </w:rPr>
        <w:t xml:space="preserve"> </w:t>
      </w:r>
      <w:r>
        <w:rPr>
          <w:sz w:val="18"/>
        </w:rPr>
        <w:t>Regulations 2013 (Vic) clause</w:t>
      </w:r>
      <w:r>
        <w:rPr>
          <w:spacing w:val="-5"/>
          <w:sz w:val="18"/>
        </w:rPr>
        <w:t xml:space="preserve"> 5.</w:t>
      </w:r>
    </w:p>
    <w:p w14:paraId="7CB2612E" w14:textId="77777777" w:rsidR="008A4099" w:rsidRDefault="006A6EE2">
      <w:pPr>
        <w:spacing w:before="24"/>
        <w:ind w:left="160"/>
        <w:rPr>
          <w:sz w:val="18"/>
        </w:rPr>
      </w:pPr>
      <w:r>
        <w:rPr>
          <w:sz w:val="18"/>
          <w:vertAlign w:val="superscript"/>
        </w:rPr>
        <w:t>392</w:t>
      </w:r>
      <w:r>
        <w:rPr>
          <w:sz w:val="18"/>
        </w:rPr>
        <w:t xml:space="preserve"> </w:t>
      </w:r>
      <w:r>
        <w:rPr>
          <w:i/>
          <w:sz w:val="18"/>
        </w:rPr>
        <w:t>Human</w:t>
      </w:r>
      <w:r>
        <w:rPr>
          <w:i/>
          <w:spacing w:val="-1"/>
          <w:sz w:val="18"/>
        </w:rPr>
        <w:t xml:space="preserve"> </w:t>
      </w:r>
      <w:r>
        <w:rPr>
          <w:i/>
          <w:sz w:val="18"/>
        </w:rPr>
        <w:t>Rights Act</w:t>
      </w:r>
      <w:r>
        <w:rPr>
          <w:i/>
          <w:spacing w:val="-2"/>
          <w:sz w:val="18"/>
        </w:rPr>
        <w:t xml:space="preserve"> </w:t>
      </w:r>
      <w:r>
        <w:rPr>
          <w:i/>
          <w:sz w:val="18"/>
        </w:rPr>
        <w:t>2019</w:t>
      </w:r>
      <w:r>
        <w:rPr>
          <w:i/>
          <w:spacing w:val="3"/>
          <w:sz w:val="18"/>
        </w:rPr>
        <w:t xml:space="preserve"> </w:t>
      </w:r>
      <w:r>
        <w:rPr>
          <w:sz w:val="18"/>
        </w:rPr>
        <w:t>(Qld)</w:t>
      </w:r>
      <w:r>
        <w:rPr>
          <w:spacing w:val="-1"/>
          <w:sz w:val="18"/>
        </w:rPr>
        <w:t xml:space="preserve"> </w:t>
      </w:r>
      <w:r>
        <w:rPr>
          <w:sz w:val="18"/>
        </w:rPr>
        <w:t>s 9; Human</w:t>
      </w:r>
      <w:r>
        <w:rPr>
          <w:spacing w:val="1"/>
          <w:sz w:val="18"/>
        </w:rPr>
        <w:t xml:space="preserve"> </w:t>
      </w:r>
      <w:r>
        <w:rPr>
          <w:sz w:val="18"/>
        </w:rPr>
        <w:t>Rights Regulation 2020</w:t>
      </w:r>
      <w:r>
        <w:rPr>
          <w:spacing w:val="-4"/>
          <w:sz w:val="18"/>
        </w:rPr>
        <w:t xml:space="preserve"> </w:t>
      </w:r>
      <w:r>
        <w:rPr>
          <w:sz w:val="18"/>
        </w:rPr>
        <w:t>(Qld) clause</w:t>
      </w:r>
      <w:r>
        <w:rPr>
          <w:spacing w:val="-1"/>
          <w:sz w:val="18"/>
        </w:rPr>
        <w:t xml:space="preserve"> </w:t>
      </w:r>
      <w:r>
        <w:rPr>
          <w:spacing w:val="-5"/>
          <w:sz w:val="18"/>
        </w:rPr>
        <w:t>2.</w:t>
      </w:r>
    </w:p>
    <w:p w14:paraId="7CB2612F" w14:textId="77777777" w:rsidR="008A4099" w:rsidRDefault="006A6EE2">
      <w:pPr>
        <w:spacing w:before="23"/>
        <w:ind w:left="160"/>
        <w:rPr>
          <w:sz w:val="18"/>
        </w:rPr>
      </w:pPr>
      <w:r>
        <w:rPr>
          <w:sz w:val="18"/>
          <w:vertAlign w:val="superscript"/>
        </w:rPr>
        <w:t>393</w:t>
      </w:r>
      <w:r>
        <w:rPr>
          <w:sz w:val="18"/>
        </w:rPr>
        <w:t xml:space="preserve"> Brett</w:t>
      </w:r>
      <w:r>
        <w:rPr>
          <w:spacing w:val="1"/>
          <w:sz w:val="18"/>
        </w:rPr>
        <w:t xml:space="preserve"> </w:t>
      </w:r>
      <w:r>
        <w:rPr>
          <w:sz w:val="18"/>
        </w:rPr>
        <w:t>Young,</w:t>
      </w:r>
      <w:r>
        <w:rPr>
          <w:spacing w:val="1"/>
          <w:sz w:val="18"/>
        </w:rPr>
        <w:t xml:space="preserve"> </w:t>
      </w:r>
      <w:r>
        <w:rPr>
          <w:i/>
          <w:sz w:val="18"/>
        </w:rPr>
        <w:t>From</w:t>
      </w:r>
      <w:r>
        <w:rPr>
          <w:i/>
          <w:spacing w:val="1"/>
          <w:sz w:val="18"/>
        </w:rPr>
        <w:t xml:space="preserve"> </w:t>
      </w:r>
      <w:r>
        <w:rPr>
          <w:i/>
          <w:sz w:val="18"/>
        </w:rPr>
        <w:t>Commitment</w:t>
      </w:r>
      <w:r>
        <w:rPr>
          <w:i/>
          <w:spacing w:val="-1"/>
          <w:sz w:val="18"/>
        </w:rPr>
        <w:t xml:space="preserve"> </w:t>
      </w:r>
      <w:r>
        <w:rPr>
          <w:i/>
          <w:sz w:val="18"/>
        </w:rPr>
        <w:t>to</w:t>
      </w:r>
      <w:r>
        <w:rPr>
          <w:i/>
          <w:spacing w:val="1"/>
          <w:sz w:val="18"/>
        </w:rPr>
        <w:t xml:space="preserve"> </w:t>
      </w:r>
      <w:r>
        <w:rPr>
          <w:i/>
          <w:sz w:val="18"/>
        </w:rPr>
        <w:t>Culture</w:t>
      </w:r>
      <w:r>
        <w:rPr>
          <w:i/>
          <w:spacing w:val="2"/>
          <w:sz w:val="18"/>
        </w:rPr>
        <w:t xml:space="preserve"> </w:t>
      </w:r>
      <w:r>
        <w:rPr>
          <w:spacing w:val="-5"/>
          <w:sz w:val="18"/>
        </w:rPr>
        <w:t>66.</w:t>
      </w:r>
    </w:p>
    <w:p w14:paraId="7CB26130" w14:textId="77777777" w:rsidR="008A4099" w:rsidRDefault="006A6EE2">
      <w:pPr>
        <w:spacing w:before="24"/>
        <w:ind w:left="160"/>
        <w:rPr>
          <w:sz w:val="18"/>
        </w:rPr>
      </w:pPr>
      <w:r>
        <w:rPr>
          <w:sz w:val="18"/>
          <w:vertAlign w:val="superscript"/>
        </w:rPr>
        <w:t>394</w:t>
      </w:r>
      <w:r>
        <w:rPr>
          <w:spacing w:val="6"/>
          <w:sz w:val="18"/>
        </w:rPr>
        <w:t xml:space="preserve"> </w:t>
      </w:r>
      <w:r>
        <w:rPr>
          <w:sz w:val="18"/>
        </w:rPr>
        <w:t>Ibid</w:t>
      </w:r>
      <w:r>
        <w:rPr>
          <w:spacing w:val="6"/>
          <w:sz w:val="18"/>
        </w:rPr>
        <w:t xml:space="preserve"> </w:t>
      </w:r>
      <w:r>
        <w:rPr>
          <w:spacing w:val="-5"/>
          <w:sz w:val="18"/>
        </w:rPr>
        <w:t>68.</w:t>
      </w:r>
    </w:p>
    <w:p w14:paraId="7CB26131" w14:textId="77777777" w:rsidR="008A4099" w:rsidRDefault="008A4099">
      <w:pPr>
        <w:rPr>
          <w:sz w:val="18"/>
        </w:rPr>
        <w:sectPr w:rsidR="008A4099" w:rsidSect="00D43B2D">
          <w:pgSz w:w="11910" w:h="16840"/>
          <w:pgMar w:top="980" w:right="760" w:bottom="940" w:left="1280" w:header="718" w:footer="753" w:gutter="0"/>
          <w:cols w:space="720"/>
        </w:sectPr>
      </w:pPr>
    </w:p>
    <w:p w14:paraId="7CB26132" w14:textId="77777777" w:rsidR="008A4099" w:rsidRDefault="008A4099">
      <w:pPr>
        <w:pStyle w:val="BodyText"/>
        <w:spacing w:before="194"/>
      </w:pPr>
    </w:p>
    <w:p w14:paraId="7CB26133" w14:textId="77777777" w:rsidR="008A4099" w:rsidRDefault="006A6EE2">
      <w:pPr>
        <w:pStyle w:val="BodyText"/>
        <w:spacing w:line="242" w:lineRule="auto"/>
        <w:ind w:left="160" w:right="676"/>
        <w:jc w:val="both"/>
        <w:rPr>
          <w:sz w:val="13"/>
        </w:rPr>
      </w:pPr>
      <w:r>
        <w:t>in Tasmania</w:t>
      </w:r>
      <w:r>
        <w:rPr>
          <w:position w:val="7"/>
          <w:sz w:val="13"/>
        </w:rPr>
        <w:t>395</w:t>
      </w:r>
      <w:r>
        <w:rPr>
          <w:spacing w:val="40"/>
          <w:position w:val="7"/>
          <w:sz w:val="13"/>
        </w:rPr>
        <w:t xml:space="preserve"> </w:t>
      </w:r>
      <w:r>
        <w:t>alerts us to the dangers of excluding institutions from human rights obligations. It is acknowledged</w:t>
      </w:r>
      <w:r>
        <w:rPr>
          <w:spacing w:val="-7"/>
        </w:rPr>
        <w:t xml:space="preserve"> </w:t>
      </w:r>
      <w:r>
        <w:t>that</w:t>
      </w:r>
      <w:r>
        <w:rPr>
          <w:spacing w:val="-6"/>
        </w:rPr>
        <w:t xml:space="preserve"> </w:t>
      </w:r>
      <w:r>
        <w:t>bodies</w:t>
      </w:r>
      <w:r>
        <w:rPr>
          <w:spacing w:val="-6"/>
        </w:rPr>
        <w:t xml:space="preserve"> </w:t>
      </w:r>
      <w:r>
        <w:t>such</w:t>
      </w:r>
      <w:r>
        <w:rPr>
          <w:spacing w:val="-7"/>
        </w:rPr>
        <w:t xml:space="preserve"> </w:t>
      </w:r>
      <w:r>
        <w:t>as</w:t>
      </w:r>
      <w:r>
        <w:rPr>
          <w:spacing w:val="-6"/>
        </w:rPr>
        <w:t xml:space="preserve"> </w:t>
      </w:r>
      <w:r>
        <w:t>a</w:t>
      </w:r>
      <w:r>
        <w:rPr>
          <w:spacing w:val="-9"/>
        </w:rPr>
        <w:t xml:space="preserve"> </w:t>
      </w:r>
      <w:r>
        <w:t>parole</w:t>
      </w:r>
      <w:r>
        <w:rPr>
          <w:spacing w:val="-7"/>
        </w:rPr>
        <w:t xml:space="preserve"> </w:t>
      </w:r>
      <w:r>
        <w:t>board</w:t>
      </w:r>
      <w:r>
        <w:rPr>
          <w:spacing w:val="-7"/>
        </w:rPr>
        <w:t xml:space="preserve"> </w:t>
      </w:r>
      <w:r>
        <w:t>undertake</w:t>
      </w:r>
      <w:r>
        <w:rPr>
          <w:spacing w:val="-9"/>
        </w:rPr>
        <w:t xml:space="preserve"> </w:t>
      </w:r>
      <w:r>
        <w:t>complex</w:t>
      </w:r>
      <w:r>
        <w:rPr>
          <w:spacing w:val="-7"/>
        </w:rPr>
        <w:t xml:space="preserve"> </w:t>
      </w:r>
      <w:r>
        <w:t>and</w:t>
      </w:r>
      <w:r>
        <w:rPr>
          <w:spacing w:val="-7"/>
        </w:rPr>
        <w:t xml:space="preserve"> </w:t>
      </w:r>
      <w:r>
        <w:t>sensitive</w:t>
      </w:r>
      <w:r>
        <w:rPr>
          <w:spacing w:val="-9"/>
        </w:rPr>
        <w:t xml:space="preserve"> </w:t>
      </w:r>
      <w:r>
        <w:t>work,</w:t>
      </w:r>
      <w:r>
        <w:rPr>
          <w:spacing w:val="-7"/>
        </w:rPr>
        <w:t xml:space="preserve"> </w:t>
      </w:r>
      <w:r>
        <w:t>but</w:t>
      </w:r>
      <w:r>
        <w:rPr>
          <w:spacing w:val="-9"/>
        </w:rPr>
        <w:t xml:space="preserve"> </w:t>
      </w:r>
      <w:r>
        <w:t>this</w:t>
      </w:r>
      <w:r>
        <w:rPr>
          <w:spacing w:val="-6"/>
        </w:rPr>
        <w:t xml:space="preserve"> </w:t>
      </w:r>
      <w:r>
        <w:t>is</w:t>
      </w:r>
      <w:r>
        <w:rPr>
          <w:spacing w:val="-6"/>
        </w:rPr>
        <w:t xml:space="preserve"> </w:t>
      </w:r>
      <w:r>
        <w:t>true of many other public authorities that would be</w:t>
      </w:r>
      <w:r>
        <w:rPr>
          <w:spacing w:val="-2"/>
        </w:rPr>
        <w:t xml:space="preserve"> </w:t>
      </w:r>
      <w:r>
        <w:t>required</w:t>
      </w:r>
      <w:r>
        <w:rPr>
          <w:spacing w:val="-2"/>
        </w:rPr>
        <w:t xml:space="preserve"> </w:t>
      </w:r>
      <w:r>
        <w:t>to comply with</w:t>
      </w:r>
      <w:r>
        <w:rPr>
          <w:spacing w:val="-3"/>
        </w:rPr>
        <w:t xml:space="preserve"> </w:t>
      </w:r>
      <w:r>
        <w:t>the human</w:t>
      </w:r>
      <w:r>
        <w:rPr>
          <w:spacing w:val="-3"/>
        </w:rPr>
        <w:t xml:space="preserve"> </w:t>
      </w:r>
      <w:r>
        <w:t>rights</w:t>
      </w:r>
      <w:r>
        <w:rPr>
          <w:spacing w:val="-2"/>
        </w:rPr>
        <w:t xml:space="preserve"> </w:t>
      </w:r>
      <w:r>
        <w:t>enactment.</w:t>
      </w:r>
      <w:r>
        <w:rPr>
          <w:position w:val="7"/>
          <w:sz w:val="13"/>
        </w:rPr>
        <w:t>396</w:t>
      </w:r>
    </w:p>
    <w:p w14:paraId="7CB26134" w14:textId="77777777" w:rsidR="008A4099" w:rsidRDefault="006A6EE2">
      <w:pPr>
        <w:pStyle w:val="ListParagraph"/>
        <w:numPr>
          <w:ilvl w:val="2"/>
          <w:numId w:val="3"/>
        </w:numPr>
        <w:tabs>
          <w:tab w:val="left" w:pos="879"/>
        </w:tabs>
        <w:spacing w:before="214"/>
        <w:ind w:right="676" w:firstLine="0"/>
        <w:jc w:val="both"/>
      </w:pPr>
      <w:r>
        <w:t>Accordingly, the TLRI recommends that, if provision is made in a Tasmanian human rights enactment for exempting or excluding institutions from human rights obligations, any instrument containing such exemptions or exclusions be subject to disallowance to enable parliamentary scrutiny of whether the exemption or exclusion is justifiable.</w:t>
      </w:r>
    </w:p>
    <w:p w14:paraId="7CB26135" w14:textId="77777777" w:rsidR="008A4099" w:rsidRDefault="006A6EE2">
      <w:pPr>
        <w:pStyle w:val="BodyText"/>
        <w:spacing w:before="10"/>
        <w:rPr>
          <w:sz w:val="19"/>
        </w:rPr>
      </w:pPr>
      <w:r>
        <w:rPr>
          <w:noProof/>
        </w:rPr>
        <mc:AlternateContent>
          <mc:Choice Requires="wps">
            <w:drawing>
              <wp:anchor distT="0" distB="0" distL="0" distR="0" simplePos="0" relativeHeight="487622656" behindDoc="1" locked="0" layoutInCell="1" allowOverlap="1" wp14:anchorId="7CB26661" wp14:editId="7CB26662">
                <wp:simplePos x="0" y="0"/>
                <wp:positionH relativeFrom="page">
                  <wp:posOffset>914704</wp:posOffset>
                </wp:positionH>
                <wp:positionV relativeFrom="paragraph">
                  <wp:posOffset>160340</wp:posOffset>
                </wp:positionV>
                <wp:extent cx="5727065" cy="1178560"/>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178560"/>
                        </a:xfrm>
                        <a:prstGeom prst="rect">
                          <a:avLst/>
                        </a:prstGeom>
                        <a:solidFill>
                          <a:srgbClr val="E8E8E8"/>
                        </a:solidFill>
                      </wps:spPr>
                      <wps:txbx>
                        <w:txbxContent>
                          <w:p w14:paraId="7CB26772" w14:textId="77777777" w:rsidR="008A4099" w:rsidRDefault="006A6EE2">
                            <w:pPr>
                              <w:spacing w:before="219"/>
                              <w:ind w:left="108"/>
                              <w:jc w:val="both"/>
                              <w:rPr>
                                <w:b/>
                                <w:color w:val="000000"/>
                                <w:sz w:val="23"/>
                              </w:rPr>
                            </w:pPr>
                            <w:r>
                              <w:rPr>
                                <w:b/>
                                <w:color w:val="000000"/>
                                <w:sz w:val="23"/>
                              </w:rPr>
                              <w:t>Recommendation</w:t>
                            </w:r>
                            <w:r>
                              <w:rPr>
                                <w:b/>
                                <w:color w:val="000000"/>
                                <w:spacing w:val="-4"/>
                                <w:sz w:val="23"/>
                              </w:rPr>
                              <w:t xml:space="preserve"> </w:t>
                            </w:r>
                            <w:r>
                              <w:rPr>
                                <w:b/>
                                <w:color w:val="000000"/>
                                <w:sz w:val="23"/>
                              </w:rPr>
                              <w:t>6</w:t>
                            </w:r>
                            <w:r>
                              <w:rPr>
                                <w:b/>
                                <w:color w:val="000000"/>
                                <w:spacing w:val="-2"/>
                                <w:sz w:val="23"/>
                              </w:rPr>
                              <w:t xml:space="preserve"> </w:t>
                            </w:r>
                            <w:r>
                              <w:rPr>
                                <w:b/>
                                <w:color w:val="000000"/>
                                <w:sz w:val="23"/>
                              </w:rPr>
                              <w:t>–</w:t>
                            </w:r>
                            <w:r>
                              <w:rPr>
                                <w:b/>
                                <w:color w:val="000000"/>
                                <w:spacing w:val="-3"/>
                                <w:sz w:val="23"/>
                              </w:rPr>
                              <w:t xml:space="preserve"> </w:t>
                            </w:r>
                            <w:r>
                              <w:rPr>
                                <w:b/>
                                <w:color w:val="000000"/>
                                <w:sz w:val="23"/>
                              </w:rPr>
                              <w:t>Exempt</w:t>
                            </w:r>
                            <w:r>
                              <w:rPr>
                                <w:b/>
                                <w:color w:val="000000"/>
                                <w:spacing w:val="-2"/>
                                <w:sz w:val="23"/>
                              </w:rPr>
                              <w:t xml:space="preserve"> organisations</w:t>
                            </w:r>
                          </w:p>
                          <w:p w14:paraId="7CB26773" w14:textId="77777777" w:rsidR="008A4099" w:rsidRDefault="006A6EE2">
                            <w:pPr>
                              <w:pStyle w:val="BodyText"/>
                              <w:spacing w:before="237" w:line="242" w:lineRule="auto"/>
                              <w:ind w:left="108" w:right="221"/>
                              <w:jc w:val="both"/>
                              <w:rPr>
                                <w:color w:val="000000"/>
                              </w:rPr>
                            </w:pPr>
                            <w:r>
                              <w:rPr>
                                <w:color w:val="000000"/>
                              </w:rPr>
                              <w:t>That, if provision is made in a Tasmanian human rights enactment for exempting or excluding institutions from human rights obligations, any instrument containing such exemptions or exclusions should be subject to disallowance to enable parliamentary scrutiny of whether the exemption or exclusion is justifiable.</w:t>
                            </w:r>
                          </w:p>
                        </w:txbxContent>
                      </wps:txbx>
                      <wps:bodyPr wrap="square" lIns="0" tIns="0" rIns="0" bIns="0" rtlCol="0">
                        <a:noAutofit/>
                      </wps:bodyPr>
                    </wps:wsp>
                  </a:graphicData>
                </a:graphic>
              </wp:anchor>
            </w:drawing>
          </mc:Choice>
          <mc:Fallback>
            <w:pict>
              <v:shape w14:anchorId="7CB26661" id="Textbox 116" o:spid="_x0000_s1032" type="#_x0000_t202" style="position:absolute;margin-left:1in;margin-top:12.65pt;width:450.95pt;height:92.8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" fillcolor="#e8e8e8" stroked="f">
                <v:textbox inset="0,0,0,0">
                  <w:txbxContent>
                    <w:p w14:paraId="7CB26772" w14:textId="77777777" w:rsidR="008A4099" w:rsidRDefault="006A6EE2">
                      <w:pPr>
                        <w:spacing w:before="219"/>
                        <w:ind w:left="108"/>
                        <w:jc w:val="both"/>
                        <w:rPr>
                          <w:b/>
                          <w:color w:val="000000"/>
                          <w:sz w:val="23"/>
                        </w:rPr>
                      </w:pPr>
                      <w:r>
                        <w:rPr>
                          <w:b/>
                          <w:color w:val="000000"/>
                          <w:sz w:val="23"/>
                        </w:rPr>
                        <w:t>Recommendation</w:t>
                      </w:r>
                      <w:r>
                        <w:rPr>
                          <w:b/>
                          <w:color w:val="000000"/>
                          <w:spacing w:val="-4"/>
                          <w:sz w:val="23"/>
                        </w:rPr>
                        <w:t xml:space="preserve"> </w:t>
                      </w:r>
                      <w:r>
                        <w:rPr>
                          <w:b/>
                          <w:color w:val="000000"/>
                          <w:sz w:val="23"/>
                        </w:rPr>
                        <w:t>6</w:t>
                      </w:r>
                      <w:r>
                        <w:rPr>
                          <w:b/>
                          <w:color w:val="000000"/>
                          <w:spacing w:val="-2"/>
                          <w:sz w:val="23"/>
                        </w:rPr>
                        <w:t xml:space="preserve"> </w:t>
                      </w:r>
                      <w:r>
                        <w:rPr>
                          <w:b/>
                          <w:color w:val="000000"/>
                          <w:sz w:val="23"/>
                        </w:rPr>
                        <w:t>–</w:t>
                      </w:r>
                      <w:r>
                        <w:rPr>
                          <w:b/>
                          <w:color w:val="000000"/>
                          <w:spacing w:val="-3"/>
                          <w:sz w:val="23"/>
                        </w:rPr>
                        <w:t xml:space="preserve"> </w:t>
                      </w:r>
                      <w:r>
                        <w:rPr>
                          <w:b/>
                          <w:color w:val="000000"/>
                          <w:sz w:val="23"/>
                        </w:rPr>
                        <w:t>Exempt</w:t>
                      </w:r>
                      <w:r>
                        <w:rPr>
                          <w:b/>
                          <w:color w:val="000000"/>
                          <w:spacing w:val="-2"/>
                          <w:sz w:val="23"/>
                        </w:rPr>
                        <w:t xml:space="preserve"> organisations</w:t>
                      </w:r>
                    </w:p>
                    <w:p w14:paraId="7CB26773" w14:textId="77777777" w:rsidR="008A4099" w:rsidRDefault="006A6EE2">
                      <w:pPr>
                        <w:pStyle w:val="BodyText"/>
                        <w:spacing w:before="237" w:line="242" w:lineRule="auto"/>
                        <w:ind w:left="108" w:right="221"/>
                        <w:jc w:val="both"/>
                        <w:rPr>
                          <w:color w:val="000000"/>
                        </w:rPr>
                      </w:pPr>
                      <w:r>
                        <w:rPr>
                          <w:color w:val="000000"/>
                        </w:rPr>
                        <w:t>That, if provision is made in a Tasmanian human rights enactment for exempting or excluding institutions from human rights obligations, any instrument containing such exemptions or exclusions should be subject to disallowance to enable parliamentary scrutiny of whether the exemption or exclusion is justifiable.</w:t>
                      </w:r>
                    </w:p>
                  </w:txbxContent>
                </v:textbox>
                <w10:wrap type="topAndBottom" anchorx="page"/>
              </v:shape>
            </w:pict>
          </mc:Fallback>
        </mc:AlternateContent>
      </w:r>
    </w:p>
    <w:p w14:paraId="7CB26136" w14:textId="77777777" w:rsidR="008A4099" w:rsidRDefault="008A4099">
      <w:pPr>
        <w:pStyle w:val="BodyText"/>
      </w:pPr>
    </w:p>
    <w:p w14:paraId="7CB26137" w14:textId="77777777" w:rsidR="008A4099" w:rsidRDefault="008A4099">
      <w:pPr>
        <w:pStyle w:val="BodyText"/>
        <w:spacing w:before="133"/>
      </w:pPr>
    </w:p>
    <w:p w14:paraId="7CB26138" w14:textId="77777777" w:rsidR="008A4099" w:rsidRDefault="006A6EE2">
      <w:pPr>
        <w:pStyle w:val="Heading2"/>
        <w:numPr>
          <w:ilvl w:val="1"/>
          <w:numId w:val="3"/>
        </w:numPr>
        <w:tabs>
          <w:tab w:val="left" w:pos="878"/>
        </w:tabs>
        <w:ind w:left="878" w:hanging="718"/>
        <w:jc w:val="both"/>
      </w:pPr>
      <w:bookmarkStart w:id="35" w:name="_TOC_250025"/>
      <w:r>
        <w:t>What</w:t>
      </w:r>
      <w:r>
        <w:rPr>
          <w:spacing w:val="-9"/>
        </w:rPr>
        <w:t xml:space="preserve"> </w:t>
      </w:r>
      <w:r>
        <w:t>rights</w:t>
      </w:r>
      <w:r>
        <w:rPr>
          <w:spacing w:val="-5"/>
        </w:rPr>
        <w:t xml:space="preserve"> </w:t>
      </w:r>
      <w:r>
        <w:t>should</w:t>
      </w:r>
      <w:r>
        <w:rPr>
          <w:spacing w:val="-7"/>
        </w:rPr>
        <w:t xml:space="preserve"> </w:t>
      </w:r>
      <w:r>
        <w:t>be</w:t>
      </w:r>
      <w:r>
        <w:rPr>
          <w:spacing w:val="-8"/>
        </w:rPr>
        <w:t xml:space="preserve"> </w:t>
      </w:r>
      <w:bookmarkEnd w:id="35"/>
      <w:r>
        <w:rPr>
          <w:spacing w:val="-2"/>
        </w:rPr>
        <w:t>protected?</w:t>
      </w:r>
    </w:p>
    <w:p w14:paraId="7CB26139" w14:textId="77777777" w:rsidR="008A4099" w:rsidRDefault="006A6EE2">
      <w:pPr>
        <w:pStyle w:val="Heading4"/>
        <w:spacing w:before="240"/>
        <w:jc w:val="both"/>
      </w:pPr>
      <w:bookmarkStart w:id="36" w:name="_TOC_250024"/>
      <w:r>
        <w:t>Extension</w:t>
      </w:r>
      <w:r>
        <w:rPr>
          <w:spacing w:val="-4"/>
        </w:rPr>
        <w:t xml:space="preserve"> </w:t>
      </w:r>
      <w:r>
        <w:t>beyond</w:t>
      </w:r>
      <w:r>
        <w:rPr>
          <w:spacing w:val="-3"/>
        </w:rPr>
        <w:t xml:space="preserve"> </w:t>
      </w:r>
      <w:r>
        <w:t>civil</w:t>
      </w:r>
      <w:r>
        <w:rPr>
          <w:spacing w:val="-3"/>
        </w:rPr>
        <w:t xml:space="preserve"> </w:t>
      </w:r>
      <w:r>
        <w:t>and</w:t>
      </w:r>
      <w:r>
        <w:rPr>
          <w:spacing w:val="-3"/>
        </w:rPr>
        <w:t xml:space="preserve"> </w:t>
      </w:r>
      <w:r>
        <w:t>political</w:t>
      </w:r>
      <w:bookmarkEnd w:id="36"/>
      <w:r>
        <w:rPr>
          <w:spacing w:val="-2"/>
        </w:rPr>
        <w:t xml:space="preserve"> rights</w:t>
      </w:r>
    </w:p>
    <w:p w14:paraId="7CB2613A" w14:textId="77777777" w:rsidR="008A4099" w:rsidRDefault="008A4099">
      <w:pPr>
        <w:pStyle w:val="BodyText"/>
        <w:spacing w:before="15"/>
        <w:rPr>
          <w:b/>
          <w:i/>
          <w:sz w:val="23"/>
        </w:rPr>
      </w:pPr>
    </w:p>
    <w:p w14:paraId="7CB2613B" w14:textId="77777777" w:rsidR="008A4099" w:rsidRDefault="006A6EE2">
      <w:pPr>
        <w:pStyle w:val="Heading3"/>
        <w:jc w:val="both"/>
      </w:pPr>
      <w:r>
        <w:t>2007</w:t>
      </w:r>
      <w:r>
        <w:rPr>
          <w:spacing w:val="-3"/>
        </w:rPr>
        <w:t xml:space="preserve"> </w:t>
      </w:r>
      <w:r>
        <w:t>Final</w:t>
      </w:r>
      <w:r>
        <w:rPr>
          <w:spacing w:val="-3"/>
        </w:rPr>
        <w:t xml:space="preserve"> </w:t>
      </w:r>
      <w:r>
        <w:t>Report</w:t>
      </w:r>
      <w:r>
        <w:rPr>
          <w:spacing w:val="-3"/>
        </w:rPr>
        <w:t xml:space="preserve"> </w:t>
      </w:r>
      <w:r>
        <w:t>and</w:t>
      </w:r>
      <w:r>
        <w:rPr>
          <w:spacing w:val="-2"/>
        </w:rPr>
        <w:t xml:space="preserve"> </w:t>
      </w:r>
      <w:r>
        <w:t>subsequent</w:t>
      </w:r>
      <w:r>
        <w:rPr>
          <w:spacing w:val="-2"/>
        </w:rPr>
        <w:t xml:space="preserve"> developments</w:t>
      </w:r>
    </w:p>
    <w:p w14:paraId="7CB2613C" w14:textId="77777777" w:rsidR="008A4099" w:rsidRDefault="006A6EE2">
      <w:pPr>
        <w:pStyle w:val="ListParagraph"/>
        <w:numPr>
          <w:ilvl w:val="2"/>
          <w:numId w:val="3"/>
        </w:numPr>
        <w:tabs>
          <w:tab w:val="left" w:pos="879"/>
        </w:tabs>
        <w:spacing w:before="259"/>
        <w:ind w:left="879" w:hanging="719"/>
        <w:jc w:val="both"/>
      </w:pPr>
      <w:r>
        <w:t>In</w:t>
      </w:r>
      <w:r>
        <w:rPr>
          <w:spacing w:val="-3"/>
        </w:rPr>
        <w:t xml:space="preserve"> </w:t>
      </w:r>
      <w:r>
        <w:t>the</w:t>
      </w:r>
      <w:r>
        <w:rPr>
          <w:spacing w:val="-2"/>
        </w:rPr>
        <w:t xml:space="preserve"> </w:t>
      </w:r>
      <w:r>
        <w:t>2007</w:t>
      </w:r>
      <w:r>
        <w:rPr>
          <w:spacing w:val="-4"/>
        </w:rPr>
        <w:t xml:space="preserve"> </w:t>
      </w:r>
      <w:r>
        <w:t>Final</w:t>
      </w:r>
      <w:r>
        <w:rPr>
          <w:spacing w:val="-2"/>
        </w:rPr>
        <w:t xml:space="preserve"> </w:t>
      </w:r>
      <w:r>
        <w:t>Report,</w:t>
      </w:r>
      <w:r>
        <w:rPr>
          <w:spacing w:val="-2"/>
        </w:rPr>
        <w:t xml:space="preserve"> </w:t>
      </w:r>
      <w:r>
        <w:t>the</w:t>
      </w:r>
      <w:r>
        <w:rPr>
          <w:spacing w:val="-2"/>
        </w:rPr>
        <w:t xml:space="preserve"> </w:t>
      </w:r>
      <w:r>
        <w:t>TLRI</w:t>
      </w:r>
      <w:r>
        <w:rPr>
          <w:spacing w:val="-4"/>
        </w:rPr>
        <w:t xml:space="preserve"> </w:t>
      </w:r>
      <w:r>
        <w:rPr>
          <w:spacing w:val="-2"/>
        </w:rPr>
        <w:t>said:</w:t>
      </w:r>
    </w:p>
    <w:p w14:paraId="7CB2613D" w14:textId="77777777" w:rsidR="008A4099" w:rsidRDefault="006A6EE2">
      <w:pPr>
        <w:pStyle w:val="BodyText"/>
        <w:spacing w:before="238" w:line="276" w:lineRule="auto"/>
        <w:ind w:left="868" w:right="1344"/>
        <w:jc w:val="both"/>
        <w:rPr>
          <w:sz w:val="13"/>
        </w:rPr>
      </w:pPr>
      <w:r>
        <w:t>the arguments for limiting rights protection to civil and political rights are not compelling. They speak of timidity rather than rationality. … The Tasmanian Law Reform Institute recognises</w:t>
      </w:r>
      <w:r>
        <w:rPr>
          <w:spacing w:val="-2"/>
        </w:rPr>
        <w:t xml:space="preserve"> </w:t>
      </w:r>
      <w:r>
        <w:t>that human rights are indivisible and that the separation of rights into civil and political rights on the one hand and economic, social and cultural rights on the other is artificial.</w:t>
      </w:r>
      <w:r>
        <w:rPr>
          <w:position w:val="7"/>
          <w:sz w:val="13"/>
        </w:rPr>
        <w:t>397</w:t>
      </w:r>
    </w:p>
    <w:p w14:paraId="7CB2613E" w14:textId="77777777" w:rsidR="008A4099" w:rsidRDefault="006A6EE2">
      <w:pPr>
        <w:pStyle w:val="ListParagraph"/>
        <w:numPr>
          <w:ilvl w:val="2"/>
          <w:numId w:val="3"/>
        </w:numPr>
        <w:tabs>
          <w:tab w:val="left" w:pos="879"/>
        </w:tabs>
        <w:spacing w:before="238"/>
        <w:ind w:right="674" w:firstLine="0"/>
        <w:jc w:val="both"/>
      </w:pPr>
      <w:r>
        <w:t>The TLRI set out a comprehensive list of rights to be included in a Tasmanian Charter, including civil and political</w:t>
      </w:r>
      <w:r>
        <w:rPr>
          <w:spacing w:val="-1"/>
        </w:rPr>
        <w:t xml:space="preserve"> </w:t>
      </w:r>
      <w:r>
        <w:t>rights and a number of</w:t>
      </w:r>
      <w:r>
        <w:rPr>
          <w:spacing w:val="-2"/>
        </w:rPr>
        <w:t xml:space="preserve"> </w:t>
      </w:r>
      <w:r>
        <w:t>economic, social, and cultural rights.</w:t>
      </w:r>
      <w:r>
        <w:rPr>
          <w:position w:val="7"/>
          <w:sz w:val="13"/>
        </w:rPr>
        <w:t>398</w:t>
      </w:r>
      <w:r>
        <w:rPr>
          <w:spacing w:val="22"/>
          <w:position w:val="7"/>
          <w:sz w:val="13"/>
        </w:rPr>
        <w:t xml:space="preserve"> </w:t>
      </w:r>
      <w:r>
        <w:t>Significant rights recommended in 2007 for inclusion in a Tasmanian Charter, which went beyond the rights protected</w:t>
      </w:r>
      <w:r>
        <w:rPr>
          <w:spacing w:val="-8"/>
        </w:rPr>
        <w:t xml:space="preserve"> </w:t>
      </w:r>
      <w:r>
        <w:t>in</w:t>
      </w:r>
      <w:r>
        <w:rPr>
          <w:spacing w:val="-9"/>
        </w:rPr>
        <w:t xml:space="preserve"> </w:t>
      </w:r>
      <w:r>
        <w:t>the</w:t>
      </w:r>
      <w:r>
        <w:rPr>
          <w:spacing w:val="-8"/>
        </w:rPr>
        <w:t xml:space="preserve"> </w:t>
      </w:r>
      <w:r>
        <w:t>ACT</w:t>
      </w:r>
      <w:r>
        <w:rPr>
          <w:spacing w:val="-7"/>
        </w:rPr>
        <w:t xml:space="preserve"> </w:t>
      </w:r>
      <w:r>
        <w:t>and</w:t>
      </w:r>
      <w:r>
        <w:rPr>
          <w:spacing w:val="-6"/>
        </w:rPr>
        <w:t xml:space="preserve"> </w:t>
      </w:r>
      <w:r>
        <w:t>Victorian</w:t>
      </w:r>
      <w:r>
        <w:rPr>
          <w:spacing w:val="-6"/>
        </w:rPr>
        <w:t xml:space="preserve"> </w:t>
      </w:r>
      <w:r>
        <w:t>Charters,</w:t>
      </w:r>
      <w:r>
        <w:rPr>
          <w:spacing w:val="-6"/>
        </w:rPr>
        <w:t xml:space="preserve"> </w:t>
      </w:r>
      <w:r>
        <w:t>were</w:t>
      </w:r>
      <w:r>
        <w:rPr>
          <w:spacing w:val="-8"/>
        </w:rPr>
        <w:t xml:space="preserve"> </w:t>
      </w:r>
      <w:r>
        <w:t>rights</w:t>
      </w:r>
      <w:r>
        <w:rPr>
          <w:spacing w:val="-8"/>
        </w:rPr>
        <w:t xml:space="preserve"> </w:t>
      </w:r>
      <w:r>
        <w:t>to</w:t>
      </w:r>
      <w:r>
        <w:rPr>
          <w:spacing w:val="-6"/>
        </w:rPr>
        <w:t xml:space="preserve"> </w:t>
      </w:r>
      <w:r>
        <w:t>work,</w:t>
      </w:r>
      <w:r>
        <w:rPr>
          <w:spacing w:val="-9"/>
        </w:rPr>
        <w:t xml:space="preserve"> </w:t>
      </w:r>
      <w:r>
        <w:t>food,</w:t>
      </w:r>
      <w:r>
        <w:rPr>
          <w:spacing w:val="-9"/>
        </w:rPr>
        <w:t xml:space="preserve"> </w:t>
      </w:r>
      <w:r>
        <w:t>housing,</w:t>
      </w:r>
      <w:r>
        <w:rPr>
          <w:spacing w:val="-6"/>
        </w:rPr>
        <w:t xml:space="preserve"> </w:t>
      </w:r>
      <w:r>
        <w:t>health,</w:t>
      </w:r>
      <w:r>
        <w:rPr>
          <w:spacing w:val="-9"/>
        </w:rPr>
        <w:t xml:space="preserve"> </w:t>
      </w:r>
      <w:r>
        <w:t>education,</w:t>
      </w:r>
      <w:r>
        <w:rPr>
          <w:spacing w:val="-9"/>
        </w:rPr>
        <w:t xml:space="preserve"> </w:t>
      </w:r>
      <w:r>
        <w:t>and a safe environment. Since</w:t>
      </w:r>
      <w:r>
        <w:rPr>
          <w:spacing w:val="-2"/>
        </w:rPr>
        <w:t xml:space="preserve"> </w:t>
      </w:r>
      <w:r>
        <w:t>the 2007 Final Report, the right</w:t>
      </w:r>
      <w:r>
        <w:rPr>
          <w:spacing w:val="-1"/>
        </w:rPr>
        <w:t xml:space="preserve"> </w:t>
      </w:r>
      <w:r>
        <w:t>to education</w:t>
      </w:r>
      <w:r>
        <w:rPr>
          <w:spacing w:val="-3"/>
        </w:rPr>
        <w:t xml:space="preserve"> </w:t>
      </w:r>
      <w:r>
        <w:t>and</w:t>
      </w:r>
      <w:r>
        <w:rPr>
          <w:spacing w:val="-2"/>
        </w:rPr>
        <w:t xml:space="preserve"> </w:t>
      </w:r>
      <w:r>
        <w:t>the</w:t>
      </w:r>
      <w:r>
        <w:rPr>
          <w:spacing w:val="-2"/>
        </w:rPr>
        <w:t xml:space="preserve"> </w:t>
      </w:r>
      <w:r>
        <w:t>right to health services have been included in the Queensland human rights enactment; the rights to work, food, and a safe environment have not.</w:t>
      </w:r>
    </w:p>
    <w:p w14:paraId="7CB2613F" w14:textId="77777777" w:rsidR="008A4099" w:rsidRDefault="006A6EE2">
      <w:pPr>
        <w:pStyle w:val="ListParagraph"/>
        <w:numPr>
          <w:ilvl w:val="2"/>
          <w:numId w:val="3"/>
        </w:numPr>
        <w:tabs>
          <w:tab w:val="left" w:pos="879"/>
        </w:tabs>
        <w:spacing w:before="219" w:line="237" w:lineRule="auto"/>
        <w:ind w:right="674" w:firstLine="0"/>
        <w:jc w:val="both"/>
        <w:rPr>
          <w:i/>
        </w:rPr>
      </w:pPr>
      <w:r>
        <w:t>Other jurisdictions have taken a cautious, incremental approach to rights protected by their human rights legislation (emphasising civil and political rights over economic, social, and cultural rights) and largely deferring the inclusion of additional rights to future reviews. The Report of the Economic,</w:t>
      </w:r>
      <w:r>
        <w:rPr>
          <w:spacing w:val="-14"/>
        </w:rPr>
        <w:t xml:space="preserve"> </w:t>
      </w:r>
      <w:r>
        <w:t>Social</w:t>
      </w:r>
      <w:r>
        <w:rPr>
          <w:spacing w:val="-13"/>
        </w:rPr>
        <w:t xml:space="preserve"> </w:t>
      </w:r>
      <w:r>
        <w:t>and</w:t>
      </w:r>
      <w:r>
        <w:rPr>
          <w:spacing w:val="-13"/>
        </w:rPr>
        <w:t xml:space="preserve"> </w:t>
      </w:r>
      <w:r>
        <w:t>Cultural</w:t>
      </w:r>
      <w:r>
        <w:rPr>
          <w:spacing w:val="-14"/>
        </w:rPr>
        <w:t xml:space="preserve"> </w:t>
      </w:r>
      <w:r>
        <w:t>Rights</w:t>
      </w:r>
      <w:r>
        <w:rPr>
          <w:spacing w:val="-11"/>
        </w:rPr>
        <w:t xml:space="preserve"> </w:t>
      </w:r>
      <w:r>
        <w:t>Research</w:t>
      </w:r>
      <w:r>
        <w:rPr>
          <w:spacing w:val="-14"/>
        </w:rPr>
        <w:t xml:space="preserve"> </w:t>
      </w:r>
      <w:r>
        <w:t>Project</w:t>
      </w:r>
      <w:r>
        <w:rPr>
          <w:spacing w:val="-13"/>
        </w:rPr>
        <w:t xml:space="preserve"> </w:t>
      </w:r>
      <w:r>
        <w:t>in</w:t>
      </w:r>
      <w:r>
        <w:rPr>
          <w:spacing w:val="-13"/>
        </w:rPr>
        <w:t xml:space="preserve"> </w:t>
      </w:r>
      <w:r>
        <w:t>2010</w:t>
      </w:r>
      <w:r>
        <w:rPr>
          <w:spacing w:val="-13"/>
        </w:rPr>
        <w:t xml:space="preserve"> </w:t>
      </w:r>
      <w:r>
        <w:t>recommended</w:t>
      </w:r>
      <w:r>
        <w:rPr>
          <w:spacing w:val="-13"/>
        </w:rPr>
        <w:t xml:space="preserve"> </w:t>
      </w:r>
      <w:r>
        <w:t>including</w:t>
      </w:r>
      <w:r>
        <w:rPr>
          <w:spacing w:val="-14"/>
        </w:rPr>
        <w:t xml:space="preserve"> </w:t>
      </w:r>
      <w:r>
        <w:t>rights</w:t>
      </w:r>
      <w:r>
        <w:rPr>
          <w:spacing w:val="-10"/>
        </w:rPr>
        <w:t xml:space="preserve"> </w:t>
      </w:r>
      <w:r>
        <w:t>included in the</w:t>
      </w:r>
      <w:r>
        <w:rPr>
          <w:spacing w:val="-2"/>
        </w:rPr>
        <w:t xml:space="preserve"> </w:t>
      </w:r>
      <w:r>
        <w:rPr>
          <w:i/>
        </w:rPr>
        <w:t>International</w:t>
      </w:r>
      <w:r>
        <w:rPr>
          <w:i/>
          <w:spacing w:val="-1"/>
        </w:rPr>
        <w:t xml:space="preserve"> </w:t>
      </w:r>
      <w:r>
        <w:rPr>
          <w:i/>
        </w:rPr>
        <w:t>Covenant on Economic, Social and</w:t>
      </w:r>
      <w:r>
        <w:rPr>
          <w:i/>
          <w:spacing w:val="-3"/>
        </w:rPr>
        <w:t xml:space="preserve"> </w:t>
      </w:r>
      <w:r>
        <w:rPr>
          <w:i/>
        </w:rPr>
        <w:t>Cultural</w:t>
      </w:r>
      <w:r>
        <w:rPr>
          <w:i/>
          <w:spacing w:val="-1"/>
        </w:rPr>
        <w:t xml:space="preserve"> </w:t>
      </w:r>
      <w:r>
        <w:rPr>
          <w:i/>
        </w:rPr>
        <w:t xml:space="preserve">Rights </w:t>
      </w:r>
      <w:r>
        <w:t>in</w:t>
      </w:r>
      <w:r>
        <w:rPr>
          <w:spacing w:val="-3"/>
        </w:rPr>
        <w:t xml:space="preserve"> </w:t>
      </w:r>
      <w:r>
        <w:t xml:space="preserve">the </w:t>
      </w:r>
      <w:r>
        <w:rPr>
          <w:i/>
        </w:rPr>
        <w:t>Human Rights Act 2004</w:t>
      </w:r>
    </w:p>
    <w:p w14:paraId="7CB26140" w14:textId="77777777" w:rsidR="008A4099" w:rsidRDefault="008A4099">
      <w:pPr>
        <w:pStyle w:val="BodyText"/>
        <w:rPr>
          <w:i/>
          <w:sz w:val="20"/>
        </w:rPr>
      </w:pPr>
    </w:p>
    <w:p w14:paraId="7CB26141" w14:textId="77777777" w:rsidR="008A4099" w:rsidRDefault="006A6EE2">
      <w:pPr>
        <w:pStyle w:val="BodyText"/>
        <w:spacing w:before="105"/>
        <w:rPr>
          <w:i/>
          <w:sz w:val="20"/>
        </w:rPr>
      </w:pPr>
      <w:r>
        <w:rPr>
          <w:noProof/>
        </w:rPr>
        <mc:AlternateContent>
          <mc:Choice Requires="wps">
            <w:drawing>
              <wp:anchor distT="0" distB="0" distL="0" distR="0" simplePos="0" relativeHeight="487623168" behindDoc="1" locked="0" layoutInCell="1" allowOverlap="1" wp14:anchorId="7CB26663" wp14:editId="7CB26664">
                <wp:simplePos x="0" y="0"/>
                <wp:positionH relativeFrom="page">
                  <wp:posOffset>914704</wp:posOffset>
                </wp:positionH>
                <wp:positionV relativeFrom="paragraph">
                  <wp:posOffset>228471</wp:posOffset>
                </wp:positionV>
                <wp:extent cx="1829435" cy="762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00CD20" id="Graphic 117" o:spid="_x0000_s1026" style="position:absolute;margin-left:1in;margin-top:18pt;width:144.05pt;height:.6pt;z-index:-156933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" path="m1829054,l,,,7620r1829054,l1829054,xe" fillcolor="black" stroked="f">
                <v:path arrowok="t"/>
                <w10:wrap type="topAndBottom" anchorx="page"/>
              </v:shape>
            </w:pict>
          </mc:Fallback>
        </mc:AlternateContent>
      </w:r>
    </w:p>
    <w:p w14:paraId="7CB26142" w14:textId="77777777" w:rsidR="008A4099" w:rsidRDefault="006A6EE2">
      <w:pPr>
        <w:spacing w:before="112"/>
        <w:ind w:left="160"/>
        <w:rPr>
          <w:sz w:val="18"/>
        </w:rPr>
      </w:pPr>
      <w:r>
        <w:rPr>
          <w:sz w:val="18"/>
          <w:vertAlign w:val="superscript"/>
        </w:rPr>
        <w:t>395</w:t>
      </w:r>
      <w:r>
        <w:rPr>
          <w:spacing w:val="-7"/>
          <w:sz w:val="18"/>
        </w:rPr>
        <w:t xml:space="preserve"> </w:t>
      </w:r>
      <w:r>
        <w:rPr>
          <w:sz w:val="18"/>
        </w:rPr>
        <w:t>The</w:t>
      </w:r>
      <w:r>
        <w:rPr>
          <w:spacing w:val="-9"/>
          <w:sz w:val="18"/>
        </w:rPr>
        <w:t xml:space="preserve"> </w:t>
      </w:r>
      <w:r>
        <w:rPr>
          <w:sz w:val="18"/>
        </w:rPr>
        <w:t>Commission</w:t>
      </w:r>
      <w:r>
        <w:rPr>
          <w:spacing w:val="-7"/>
          <w:sz w:val="18"/>
        </w:rPr>
        <w:t xml:space="preserve"> </w:t>
      </w:r>
      <w:r>
        <w:rPr>
          <w:sz w:val="18"/>
        </w:rPr>
        <w:t>of</w:t>
      </w:r>
      <w:r>
        <w:rPr>
          <w:spacing w:val="-8"/>
          <w:sz w:val="18"/>
        </w:rPr>
        <w:t xml:space="preserve"> </w:t>
      </w:r>
      <w:r>
        <w:rPr>
          <w:sz w:val="18"/>
        </w:rPr>
        <w:t>Inquiry</w:t>
      </w:r>
      <w:r>
        <w:rPr>
          <w:spacing w:val="-7"/>
          <w:sz w:val="18"/>
        </w:rPr>
        <w:t xml:space="preserve"> </w:t>
      </w:r>
      <w:r>
        <w:rPr>
          <w:sz w:val="18"/>
        </w:rPr>
        <w:t>into</w:t>
      </w:r>
      <w:r>
        <w:rPr>
          <w:spacing w:val="-7"/>
          <w:sz w:val="18"/>
        </w:rPr>
        <w:t xml:space="preserve"> </w:t>
      </w:r>
      <w:r>
        <w:rPr>
          <w:sz w:val="18"/>
        </w:rPr>
        <w:t>to</w:t>
      </w:r>
      <w:r>
        <w:rPr>
          <w:spacing w:val="-5"/>
          <w:sz w:val="18"/>
        </w:rPr>
        <w:t xml:space="preserve"> </w:t>
      </w:r>
      <w:r>
        <w:rPr>
          <w:sz w:val="18"/>
        </w:rPr>
        <w:t>the</w:t>
      </w:r>
      <w:r>
        <w:rPr>
          <w:spacing w:val="-6"/>
          <w:sz w:val="18"/>
        </w:rPr>
        <w:t xml:space="preserve"> </w:t>
      </w:r>
      <w:r>
        <w:rPr>
          <w:sz w:val="18"/>
        </w:rPr>
        <w:t>Tasmanian</w:t>
      </w:r>
      <w:r>
        <w:rPr>
          <w:spacing w:val="-8"/>
          <w:sz w:val="18"/>
        </w:rPr>
        <w:t xml:space="preserve"> </w:t>
      </w:r>
      <w:r>
        <w:rPr>
          <w:sz w:val="18"/>
        </w:rPr>
        <w:t>Government’s</w:t>
      </w:r>
      <w:r>
        <w:rPr>
          <w:spacing w:val="-8"/>
          <w:sz w:val="18"/>
        </w:rPr>
        <w:t xml:space="preserve"> </w:t>
      </w:r>
      <w:r>
        <w:rPr>
          <w:sz w:val="18"/>
        </w:rPr>
        <w:t>response</w:t>
      </w:r>
      <w:r>
        <w:rPr>
          <w:spacing w:val="-9"/>
          <w:sz w:val="18"/>
        </w:rPr>
        <w:t xml:space="preserve"> </w:t>
      </w:r>
      <w:r>
        <w:rPr>
          <w:sz w:val="18"/>
        </w:rPr>
        <w:t>to</w:t>
      </w:r>
      <w:r>
        <w:rPr>
          <w:spacing w:val="-7"/>
          <w:sz w:val="18"/>
        </w:rPr>
        <w:t xml:space="preserve"> </w:t>
      </w:r>
      <w:r>
        <w:rPr>
          <w:sz w:val="18"/>
        </w:rPr>
        <w:t>this</w:t>
      </w:r>
      <w:r>
        <w:rPr>
          <w:spacing w:val="-6"/>
          <w:sz w:val="18"/>
        </w:rPr>
        <w:t xml:space="preserve"> </w:t>
      </w:r>
      <w:r>
        <w:rPr>
          <w:sz w:val="18"/>
        </w:rPr>
        <w:t>matter</w:t>
      </w:r>
      <w:r>
        <w:rPr>
          <w:spacing w:val="-6"/>
          <w:sz w:val="18"/>
        </w:rPr>
        <w:t xml:space="preserve"> </w:t>
      </w:r>
      <w:r>
        <w:rPr>
          <w:sz w:val="18"/>
        </w:rPr>
        <w:t>was</w:t>
      </w:r>
      <w:r>
        <w:rPr>
          <w:spacing w:val="-6"/>
          <w:sz w:val="18"/>
        </w:rPr>
        <w:t xml:space="preserve"> </w:t>
      </w:r>
      <w:r>
        <w:rPr>
          <w:sz w:val="18"/>
        </w:rPr>
        <w:t>established</w:t>
      </w:r>
      <w:r>
        <w:rPr>
          <w:spacing w:val="-6"/>
          <w:sz w:val="18"/>
        </w:rPr>
        <w:t xml:space="preserve"> </w:t>
      </w:r>
      <w:r>
        <w:rPr>
          <w:sz w:val="18"/>
        </w:rPr>
        <w:t>on</w:t>
      </w:r>
      <w:r>
        <w:rPr>
          <w:spacing w:val="-7"/>
          <w:sz w:val="18"/>
        </w:rPr>
        <w:t xml:space="preserve"> </w:t>
      </w:r>
      <w:r>
        <w:rPr>
          <w:sz w:val="18"/>
        </w:rPr>
        <w:t>15</w:t>
      </w:r>
      <w:r>
        <w:rPr>
          <w:spacing w:val="-7"/>
          <w:sz w:val="18"/>
        </w:rPr>
        <w:t xml:space="preserve"> </w:t>
      </w:r>
      <w:r>
        <w:rPr>
          <w:sz w:val="18"/>
        </w:rPr>
        <w:t>March</w:t>
      </w:r>
      <w:r>
        <w:rPr>
          <w:spacing w:val="-7"/>
          <w:sz w:val="18"/>
        </w:rPr>
        <w:t xml:space="preserve"> </w:t>
      </w:r>
      <w:r>
        <w:rPr>
          <w:spacing w:val="-4"/>
          <w:sz w:val="18"/>
        </w:rPr>
        <w:t>2021</w:t>
      </w:r>
    </w:p>
    <w:p w14:paraId="7CB26143" w14:textId="77777777" w:rsidR="008A4099" w:rsidRDefault="006A6EE2">
      <w:pPr>
        <w:spacing w:before="5"/>
        <w:ind w:left="160"/>
        <w:rPr>
          <w:sz w:val="18"/>
        </w:rPr>
      </w:pPr>
      <w:r>
        <w:rPr>
          <w:spacing w:val="-2"/>
          <w:sz w:val="18"/>
        </w:rPr>
        <w:t>&lt;https://</w:t>
      </w:r>
      <w:hyperlink r:id="rId142">
        <w:r>
          <w:rPr>
            <w:spacing w:val="-2"/>
            <w:sz w:val="18"/>
          </w:rPr>
          <w:t>www.commissionofinquiry.tas.gov.au/home</w:t>
        </w:r>
      </w:hyperlink>
      <w:r>
        <w:rPr>
          <w:spacing w:val="-2"/>
          <w:sz w:val="18"/>
        </w:rPr>
        <w:t>&gt;.</w:t>
      </w:r>
    </w:p>
    <w:p w14:paraId="7CB26144" w14:textId="77777777" w:rsidR="008A4099" w:rsidRDefault="006A6EE2">
      <w:pPr>
        <w:spacing w:before="18"/>
        <w:ind w:left="160"/>
        <w:rPr>
          <w:i/>
          <w:sz w:val="18"/>
        </w:rPr>
      </w:pPr>
      <w:r>
        <w:rPr>
          <w:sz w:val="18"/>
          <w:vertAlign w:val="superscript"/>
        </w:rPr>
        <w:t>396</w:t>
      </w:r>
      <w:r>
        <w:rPr>
          <w:spacing w:val="-3"/>
          <w:sz w:val="18"/>
        </w:rPr>
        <w:t xml:space="preserve"> </w:t>
      </w:r>
      <w:r>
        <w:rPr>
          <w:sz w:val="18"/>
        </w:rPr>
        <w:t>This</w:t>
      </w:r>
      <w:r>
        <w:rPr>
          <w:spacing w:val="-2"/>
          <w:sz w:val="18"/>
        </w:rPr>
        <w:t xml:space="preserve"> </w:t>
      </w:r>
      <w:r>
        <w:rPr>
          <w:sz w:val="18"/>
        </w:rPr>
        <w:t>argument</w:t>
      </w:r>
      <w:r>
        <w:rPr>
          <w:spacing w:val="-3"/>
          <w:sz w:val="18"/>
        </w:rPr>
        <w:t xml:space="preserve"> </w:t>
      </w:r>
      <w:r>
        <w:rPr>
          <w:sz w:val="18"/>
        </w:rPr>
        <w:t>was</w:t>
      </w:r>
      <w:r>
        <w:rPr>
          <w:spacing w:val="-3"/>
          <w:sz w:val="18"/>
        </w:rPr>
        <w:t xml:space="preserve"> </w:t>
      </w:r>
      <w:r>
        <w:rPr>
          <w:sz w:val="18"/>
        </w:rPr>
        <w:t>advanced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VHREOC</w:t>
      </w:r>
      <w:r>
        <w:rPr>
          <w:spacing w:val="-2"/>
          <w:sz w:val="18"/>
        </w:rPr>
        <w:t xml:space="preserve"> </w:t>
      </w:r>
      <w:r>
        <w:rPr>
          <w:sz w:val="18"/>
        </w:rPr>
        <w:t>in</w:t>
      </w:r>
      <w:r>
        <w:rPr>
          <w:spacing w:val="-4"/>
          <w:sz w:val="18"/>
        </w:rPr>
        <w:t xml:space="preserve"> </w:t>
      </w:r>
      <w:r>
        <w:rPr>
          <w:sz w:val="18"/>
        </w:rPr>
        <w:t>its</w:t>
      </w:r>
      <w:r>
        <w:rPr>
          <w:spacing w:val="-3"/>
          <w:sz w:val="18"/>
        </w:rPr>
        <w:t xml:space="preserve"> </w:t>
      </w:r>
      <w:r>
        <w:rPr>
          <w:sz w:val="18"/>
        </w:rPr>
        <w:t>submission</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review:</w:t>
      </w:r>
      <w:r>
        <w:rPr>
          <w:spacing w:val="-2"/>
          <w:sz w:val="18"/>
        </w:rPr>
        <w:t xml:space="preserve"> </w:t>
      </w:r>
      <w:r>
        <w:rPr>
          <w:sz w:val="18"/>
        </w:rPr>
        <w:t>Brett</w:t>
      </w:r>
      <w:r>
        <w:rPr>
          <w:spacing w:val="-3"/>
          <w:sz w:val="18"/>
        </w:rPr>
        <w:t xml:space="preserve"> </w:t>
      </w:r>
      <w:r>
        <w:rPr>
          <w:sz w:val="18"/>
        </w:rPr>
        <w:t xml:space="preserve">Young, </w:t>
      </w:r>
      <w:r>
        <w:rPr>
          <w:i/>
          <w:sz w:val="18"/>
        </w:rPr>
        <w:t>From</w:t>
      </w:r>
      <w:r>
        <w:rPr>
          <w:i/>
          <w:spacing w:val="-3"/>
          <w:sz w:val="18"/>
        </w:rPr>
        <w:t xml:space="preserve"> </w:t>
      </w:r>
      <w:r>
        <w:rPr>
          <w:i/>
          <w:sz w:val="18"/>
        </w:rPr>
        <w:t>Commitment</w:t>
      </w:r>
      <w:r>
        <w:rPr>
          <w:i/>
          <w:spacing w:val="-3"/>
          <w:sz w:val="18"/>
        </w:rPr>
        <w:t xml:space="preserve"> </w:t>
      </w:r>
      <w:r>
        <w:rPr>
          <w:i/>
          <w:sz w:val="18"/>
        </w:rPr>
        <w:t>to</w:t>
      </w:r>
      <w:r>
        <w:rPr>
          <w:i/>
          <w:spacing w:val="-1"/>
          <w:sz w:val="18"/>
        </w:rPr>
        <w:t xml:space="preserve"> </w:t>
      </w:r>
      <w:r>
        <w:rPr>
          <w:i/>
          <w:spacing w:val="-2"/>
          <w:sz w:val="18"/>
        </w:rPr>
        <w:t>Culture</w:t>
      </w:r>
    </w:p>
    <w:p w14:paraId="7CB26145" w14:textId="77777777" w:rsidR="008A4099" w:rsidRDefault="006A6EE2">
      <w:pPr>
        <w:spacing w:before="4"/>
        <w:ind w:left="160"/>
        <w:rPr>
          <w:sz w:val="18"/>
        </w:rPr>
      </w:pPr>
      <w:r>
        <w:rPr>
          <w:spacing w:val="-5"/>
          <w:sz w:val="18"/>
        </w:rPr>
        <w:t>67.</w:t>
      </w:r>
    </w:p>
    <w:p w14:paraId="7CB26146" w14:textId="77777777" w:rsidR="008A4099" w:rsidRDefault="006A6EE2">
      <w:pPr>
        <w:spacing w:before="19"/>
        <w:ind w:left="160"/>
        <w:rPr>
          <w:sz w:val="18"/>
        </w:rPr>
      </w:pPr>
      <w:r>
        <w:rPr>
          <w:sz w:val="18"/>
          <w:vertAlign w:val="superscript"/>
        </w:rPr>
        <w:t>397</w:t>
      </w:r>
      <w:r>
        <w:rPr>
          <w:spacing w:val="1"/>
          <w:sz w:val="18"/>
        </w:rPr>
        <w:t xml:space="preserve"> </w:t>
      </w:r>
      <w:r>
        <w:rPr>
          <w:sz w:val="18"/>
        </w:rPr>
        <w:t>TLRI</w:t>
      </w:r>
      <w:r>
        <w:rPr>
          <w:spacing w:val="1"/>
          <w:sz w:val="18"/>
        </w:rPr>
        <w:t xml:space="preserve"> </w:t>
      </w:r>
      <w:r>
        <w:rPr>
          <w:sz w:val="18"/>
        </w:rPr>
        <w:t>2007</w:t>
      </w:r>
      <w:r>
        <w:rPr>
          <w:spacing w:val="2"/>
          <w:sz w:val="18"/>
        </w:rPr>
        <w:t xml:space="preserve"> </w:t>
      </w:r>
      <w:r>
        <w:rPr>
          <w:sz w:val="18"/>
        </w:rPr>
        <w:t>Final</w:t>
      </w:r>
      <w:r>
        <w:rPr>
          <w:spacing w:val="1"/>
          <w:sz w:val="18"/>
        </w:rPr>
        <w:t xml:space="preserve"> </w:t>
      </w:r>
      <w:r>
        <w:rPr>
          <w:sz w:val="18"/>
        </w:rPr>
        <w:t>Report</w:t>
      </w:r>
      <w:r>
        <w:rPr>
          <w:spacing w:val="1"/>
          <w:sz w:val="18"/>
        </w:rPr>
        <w:t xml:space="preserve"> </w:t>
      </w:r>
      <w:r>
        <w:rPr>
          <w:spacing w:val="-2"/>
          <w:sz w:val="18"/>
        </w:rPr>
        <w:t>[4.15.13].</w:t>
      </w:r>
    </w:p>
    <w:p w14:paraId="7CB26147" w14:textId="77777777" w:rsidR="008A4099" w:rsidRDefault="006A6EE2">
      <w:pPr>
        <w:spacing w:before="23"/>
        <w:ind w:left="160"/>
        <w:rPr>
          <w:sz w:val="18"/>
        </w:rPr>
      </w:pPr>
      <w:r>
        <w:rPr>
          <w:sz w:val="18"/>
          <w:vertAlign w:val="superscript"/>
        </w:rPr>
        <w:t>398</w:t>
      </w:r>
      <w:r>
        <w:rPr>
          <w:sz w:val="18"/>
        </w:rPr>
        <w:t xml:space="preserve"> See</w:t>
      </w:r>
      <w:r>
        <w:rPr>
          <w:spacing w:val="-1"/>
          <w:sz w:val="18"/>
        </w:rPr>
        <w:t xml:space="preserve"> </w:t>
      </w:r>
      <w:r>
        <w:rPr>
          <w:sz w:val="18"/>
        </w:rPr>
        <w:t>Appendix</w:t>
      </w:r>
      <w:r>
        <w:rPr>
          <w:spacing w:val="-1"/>
          <w:sz w:val="18"/>
        </w:rPr>
        <w:t xml:space="preserve"> </w:t>
      </w:r>
      <w:r>
        <w:rPr>
          <w:sz w:val="18"/>
        </w:rPr>
        <w:t>B of</w:t>
      </w:r>
      <w:r>
        <w:rPr>
          <w:spacing w:val="-2"/>
          <w:sz w:val="18"/>
        </w:rPr>
        <w:t xml:space="preserve"> </w:t>
      </w:r>
      <w:r>
        <w:rPr>
          <w:sz w:val="18"/>
        </w:rPr>
        <w:t>this</w:t>
      </w:r>
      <w:r>
        <w:rPr>
          <w:spacing w:val="-3"/>
          <w:sz w:val="18"/>
        </w:rPr>
        <w:t xml:space="preserve"> </w:t>
      </w:r>
      <w:r>
        <w:rPr>
          <w:sz w:val="18"/>
        </w:rPr>
        <w:t>Report</w:t>
      </w:r>
      <w:r>
        <w:rPr>
          <w:spacing w:val="-2"/>
          <w:sz w:val="18"/>
        </w:rPr>
        <w:t xml:space="preserve"> </w:t>
      </w:r>
      <w:r>
        <w:rPr>
          <w:sz w:val="18"/>
        </w:rPr>
        <w:t>and</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Recommendations</w:t>
      </w:r>
      <w:r>
        <w:rPr>
          <w:spacing w:val="-3"/>
          <w:sz w:val="18"/>
        </w:rPr>
        <w:t xml:space="preserve"> </w:t>
      </w:r>
      <w:r>
        <w:rPr>
          <w:sz w:val="18"/>
        </w:rPr>
        <w:t>15,</w:t>
      </w:r>
      <w:r>
        <w:rPr>
          <w:spacing w:val="-2"/>
          <w:sz w:val="18"/>
        </w:rPr>
        <w:t xml:space="preserve"> </w:t>
      </w:r>
      <w:r>
        <w:rPr>
          <w:sz w:val="18"/>
        </w:rPr>
        <w:t>16</w:t>
      </w:r>
      <w:r>
        <w:rPr>
          <w:spacing w:val="1"/>
          <w:sz w:val="18"/>
        </w:rPr>
        <w:t xml:space="preserve"> </w:t>
      </w:r>
      <w:r>
        <w:rPr>
          <w:sz w:val="18"/>
        </w:rPr>
        <w:t>and</w:t>
      </w:r>
      <w:r>
        <w:rPr>
          <w:spacing w:val="1"/>
          <w:sz w:val="18"/>
        </w:rPr>
        <w:t xml:space="preserve"> </w:t>
      </w:r>
      <w:r>
        <w:rPr>
          <w:spacing w:val="-5"/>
          <w:sz w:val="18"/>
        </w:rPr>
        <w:t>17.</w:t>
      </w:r>
    </w:p>
    <w:p w14:paraId="7CB26148" w14:textId="77777777" w:rsidR="008A4099" w:rsidRDefault="008A4099">
      <w:pPr>
        <w:rPr>
          <w:sz w:val="18"/>
        </w:rPr>
        <w:sectPr w:rsidR="008A4099" w:rsidSect="00D43B2D">
          <w:pgSz w:w="11910" w:h="16840"/>
          <w:pgMar w:top="980" w:right="760" w:bottom="940" w:left="1280" w:header="718" w:footer="753" w:gutter="0"/>
          <w:cols w:space="720"/>
        </w:sectPr>
      </w:pPr>
    </w:p>
    <w:p w14:paraId="7CB26149" w14:textId="77777777" w:rsidR="008A4099" w:rsidRDefault="008A4099">
      <w:pPr>
        <w:pStyle w:val="BodyText"/>
        <w:spacing w:before="194"/>
      </w:pPr>
    </w:p>
    <w:p w14:paraId="7CB2614A" w14:textId="77777777" w:rsidR="008A4099" w:rsidRDefault="006A6EE2">
      <w:pPr>
        <w:pStyle w:val="BodyText"/>
        <w:ind w:left="160" w:right="680"/>
      </w:pPr>
      <w:r>
        <w:t>(ACT) – if not immediately, then by selecting a few and ‘leaving open the possibility of expansion of the list of rights protected in subsequent reviews of the HRA’.</w:t>
      </w:r>
      <w:r>
        <w:rPr>
          <w:position w:val="7"/>
          <w:sz w:val="13"/>
        </w:rPr>
        <w:t>399</w:t>
      </w:r>
      <w:r>
        <w:rPr>
          <w:spacing w:val="31"/>
          <w:position w:val="7"/>
          <w:sz w:val="13"/>
        </w:rPr>
        <w:t xml:space="preserve"> </w:t>
      </w:r>
      <w:r>
        <w:t>The government response stated:</w:t>
      </w:r>
    </w:p>
    <w:p w14:paraId="7CB2614B" w14:textId="77777777" w:rsidR="008A4099" w:rsidRDefault="006A6EE2">
      <w:pPr>
        <w:pStyle w:val="BodyText"/>
        <w:spacing w:before="241" w:line="276" w:lineRule="auto"/>
        <w:ind w:left="868" w:right="1341"/>
        <w:jc w:val="both"/>
        <w:rPr>
          <w:sz w:val="13"/>
        </w:rPr>
      </w:pPr>
      <w:r>
        <w:t xml:space="preserve">The Government believes that an incremental approach, such as the one identified by the Report, is the best way forward. This approach will mirror the approach taken in 2004 with the introduction of the </w:t>
      </w:r>
      <w:r>
        <w:rPr>
          <w:i/>
        </w:rPr>
        <w:t xml:space="preserve">Human Rights Act </w:t>
      </w:r>
      <w:r>
        <w:t xml:space="preserve">which ensured that public authorities were fully engaged with the civil and political rights contained within the </w:t>
      </w:r>
      <w:r>
        <w:rPr>
          <w:i/>
        </w:rPr>
        <w:t xml:space="preserve">Human Rights Act </w:t>
      </w:r>
      <w:r>
        <w:t>and confident in their scope and application. The success of this approach provides a best practice model for the introduction of additional rights.</w:t>
      </w:r>
      <w:r>
        <w:rPr>
          <w:position w:val="7"/>
          <w:sz w:val="13"/>
        </w:rPr>
        <w:t>400</w:t>
      </w:r>
    </w:p>
    <w:p w14:paraId="7CB2614C" w14:textId="77777777" w:rsidR="008A4099" w:rsidRDefault="006A6EE2">
      <w:pPr>
        <w:pStyle w:val="ListParagraph"/>
        <w:numPr>
          <w:ilvl w:val="2"/>
          <w:numId w:val="3"/>
        </w:numPr>
        <w:tabs>
          <w:tab w:val="left" w:pos="879"/>
        </w:tabs>
        <w:spacing w:before="240"/>
        <w:ind w:right="674" w:firstLine="0"/>
        <w:jc w:val="both"/>
        <w:rPr>
          <w:sz w:val="13"/>
        </w:rPr>
      </w:pPr>
      <w:r>
        <w:t>In 2020, the ACT Human Rights Commission strongly recommended that more economic, social,</w:t>
      </w:r>
      <w:r>
        <w:rPr>
          <w:spacing w:val="-9"/>
        </w:rPr>
        <w:t xml:space="preserve"> </w:t>
      </w:r>
      <w:r>
        <w:t>and</w:t>
      </w:r>
      <w:r>
        <w:rPr>
          <w:spacing w:val="-8"/>
        </w:rPr>
        <w:t xml:space="preserve"> </w:t>
      </w:r>
      <w:r>
        <w:t>cultural</w:t>
      </w:r>
      <w:r>
        <w:rPr>
          <w:spacing w:val="-7"/>
        </w:rPr>
        <w:t xml:space="preserve"> </w:t>
      </w:r>
      <w:r>
        <w:t>rights</w:t>
      </w:r>
      <w:r>
        <w:rPr>
          <w:spacing w:val="-7"/>
        </w:rPr>
        <w:t xml:space="preserve"> </w:t>
      </w:r>
      <w:r>
        <w:t>(such</w:t>
      </w:r>
      <w:r>
        <w:rPr>
          <w:spacing w:val="-8"/>
        </w:rPr>
        <w:t xml:space="preserve"> </w:t>
      </w:r>
      <w:r>
        <w:t>as</w:t>
      </w:r>
      <w:r>
        <w:rPr>
          <w:spacing w:val="-7"/>
        </w:rPr>
        <w:t xml:space="preserve"> </w:t>
      </w:r>
      <w:r>
        <w:t>housing</w:t>
      </w:r>
      <w:r>
        <w:rPr>
          <w:spacing w:val="-9"/>
        </w:rPr>
        <w:t xml:space="preserve"> </w:t>
      </w:r>
      <w:r>
        <w:t>and</w:t>
      </w:r>
      <w:r>
        <w:rPr>
          <w:spacing w:val="-8"/>
        </w:rPr>
        <w:t xml:space="preserve"> </w:t>
      </w:r>
      <w:r>
        <w:t>health</w:t>
      </w:r>
      <w:r>
        <w:rPr>
          <w:spacing w:val="-9"/>
        </w:rPr>
        <w:t xml:space="preserve"> </w:t>
      </w:r>
      <w:r>
        <w:t>rights)</w:t>
      </w:r>
      <w:r>
        <w:rPr>
          <w:spacing w:val="-8"/>
        </w:rPr>
        <w:t xml:space="preserve"> </w:t>
      </w:r>
      <w:r>
        <w:t>be</w:t>
      </w:r>
      <w:r>
        <w:rPr>
          <w:spacing w:val="-8"/>
        </w:rPr>
        <w:t xml:space="preserve"> </w:t>
      </w:r>
      <w:r>
        <w:t>included</w:t>
      </w:r>
      <w:r>
        <w:rPr>
          <w:spacing w:val="-9"/>
        </w:rPr>
        <w:t xml:space="preserve"> </w:t>
      </w:r>
      <w:r>
        <w:t>in</w:t>
      </w:r>
      <w:r>
        <w:rPr>
          <w:spacing w:val="-9"/>
        </w:rPr>
        <w:t xml:space="preserve"> </w:t>
      </w:r>
      <w:r>
        <w:t>the</w:t>
      </w:r>
      <w:r>
        <w:rPr>
          <w:spacing w:val="-7"/>
        </w:rPr>
        <w:t xml:space="preserve"> </w:t>
      </w:r>
      <w:r>
        <w:rPr>
          <w:i/>
        </w:rPr>
        <w:t>Human</w:t>
      </w:r>
      <w:r>
        <w:rPr>
          <w:i/>
          <w:spacing w:val="-9"/>
        </w:rPr>
        <w:t xml:space="preserve"> </w:t>
      </w:r>
      <w:r>
        <w:rPr>
          <w:i/>
        </w:rPr>
        <w:t>Rights</w:t>
      </w:r>
      <w:r>
        <w:rPr>
          <w:i/>
          <w:spacing w:val="-8"/>
        </w:rPr>
        <w:t xml:space="preserve"> </w:t>
      </w:r>
      <w:r>
        <w:rPr>
          <w:i/>
        </w:rPr>
        <w:t>Act</w:t>
      </w:r>
      <w:r>
        <w:rPr>
          <w:i/>
          <w:spacing w:val="-8"/>
        </w:rPr>
        <w:t xml:space="preserve"> </w:t>
      </w:r>
      <w:r>
        <w:rPr>
          <w:i/>
        </w:rPr>
        <w:t xml:space="preserve">2004 </w:t>
      </w:r>
      <w:r>
        <w:t>(ACT).</w:t>
      </w:r>
      <w:r>
        <w:rPr>
          <w:position w:val="7"/>
          <w:sz w:val="13"/>
        </w:rPr>
        <w:t>401</w:t>
      </w:r>
      <w:r>
        <w:rPr>
          <w:spacing w:val="17"/>
          <w:position w:val="7"/>
          <w:sz w:val="13"/>
        </w:rPr>
        <w:t xml:space="preserve"> </w:t>
      </w:r>
      <w:r>
        <w:t>On</w:t>
      </w:r>
      <w:r>
        <w:rPr>
          <w:spacing w:val="-5"/>
        </w:rPr>
        <w:t xml:space="preserve"> </w:t>
      </w:r>
      <w:r>
        <w:t>30</w:t>
      </w:r>
      <w:r>
        <w:rPr>
          <w:spacing w:val="-5"/>
        </w:rPr>
        <w:t xml:space="preserve"> </w:t>
      </w:r>
      <w:r>
        <w:t>June</w:t>
      </w:r>
      <w:r>
        <w:rPr>
          <w:spacing w:val="-4"/>
        </w:rPr>
        <w:t xml:space="preserve"> </w:t>
      </w:r>
      <w:r>
        <w:t>2022,</w:t>
      </w:r>
      <w:r>
        <w:rPr>
          <w:spacing w:val="-5"/>
        </w:rPr>
        <w:t xml:space="preserve"> </w:t>
      </w:r>
      <w:r>
        <w:t>the</w:t>
      </w:r>
      <w:r>
        <w:rPr>
          <w:spacing w:val="-4"/>
        </w:rPr>
        <w:t xml:space="preserve"> </w:t>
      </w:r>
      <w:r>
        <w:t>ACT</w:t>
      </w:r>
      <w:r>
        <w:rPr>
          <w:spacing w:val="-5"/>
        </w:rPr>
        <w:t xml:space="preserve"> </w:t>
      </w:r>
      <w:r>
        <w:t>Government</w:t>
      </w:r>
      <w:r>
        <w:rPr>
          <w:spacing w:val="-4"/>
        </w:rPr>
        <w:t xml:space="preserve"> </w:t>
      </w:r>
      <w:r>
        <w:t>released</w:t>
      </w:r>
      <w:r>
        <w:rPr>
          <w:spacing w:val="-4"/>
        </w:rPr>
        <w:t xml:space="preserve"> </w:t>
      </w:r>
      <w:r>
        <w:t xml:space="preserve">a </w:t>
      </w:r>
      <w:hyperlink r:id="rId143">
        <w:r>
          <w:t>Discussion</w:t>
        </w:r>
        <w:r>
          <w:rPr>
            <w:spacing w:val="-5"/>
          </w:rPr>
          <w:t xml:space="preserve"> </w:t>
        </w:r>
        <w:r>
          <w:t>Paper</w:t>
        </w:r>
      </w:hyperlink>
      <w:r>
        <w:rPr>
          <w:spacing w:val="-3"/>
        </w:rPr>
        <w:t xml:space="preserve"> </w:t>
      </w:r>
      <w:r>
        <w:t>to</w:t>
      </w:r>
      <w:r>
        <w:rPr>
          <w:spacing w:val="-5"/>
        </w:rPr>
        <w:t xml:space="preserve"> </w:t>
      </w:r>
      <w:r>
        <w:t>inform</w:t>
      </w:r>
      <w:r>
        <w:rPr>
          <w:spacing w:val="-2"/>
        </w:rPr>
        <w:t xml:space="preserve"> </w:t>
      </w:r>
      <w:r>
        <w:t xml:space="preserve">consideration of the inclusion in the </w:t>
      </w:r>
      <w:r>
        <w:rPr>
          <w:i/>
        </w:rPr>
        <w:t xml:space="preserve">Human Rights Act 2004 </w:t>
      </w:r>
      <w:r>
        <w:t>(ACT) of a right to a healthy environment; the government</w:t>
      </w:r>
      <w:r>
        <w:rPr>
          <w:spacing w:val="-10"/>
        </w:rPr>
        <w:t xml:space="preserve"> </w:t>
      </w:r>
      <w:r>
        <w:t>has</w:t>
      </w:r>
      <w:r>
        <w:rPr>
          <w:spacing w:val="-10"/>
        </w:rPr>
        <w:t xml:space="preserve"> </w:t>
      </w:r>
      <w:r>
        <w:t>committed</w:t>
      </w:r>
      <w:r>
        <w:rPr>
          <w:spacing w:val="-13"/>
        </w:rPr>
        <w:t xml:space="preserve"> </w:t>
      </w:r>
      <w:r>
        <w:t>to</w:t>
      </w:r>
      <w:r>
        <w:rPr>
          <w:spacing w:val="-11"/>
        </w:rPr>
        <w:t xml:space="preserve"> </w:t>
      </w:r>
      <w:r>
        <w:t>protecting</w:t>
      </w:r>
      <w:r>
        <w:rPr>
          <w:spacing w:val="-13"/>
        </w:rPr>
        <w:t xml:space="preserve"> </w:t>
      </w:r>
      <w:r>
        <w:t>this</w:t>
      </w:r>
      <w:r>
        <w:rPr>
          <w:spacing w:val="-10"/>
        </w:rPr>
        <w:t xml:space="preserve"> </w:t>
      </w:r>
      <w:r>
        <w:t>right.</w:t>
      </w:r>
      <w:r>
        <w:rPr>
          <w:position w:val="7"/>
          <w:sz w:val="13"/>
        </w:rPr>
        <w:t>402</w:t>
      </w:r>
      <w:r>
        <w:rPr>
          <w:spacing w:val="12"/>
          <w:position w:val="7"/>
          <w:sz w:val="13"/>
        </w:rPr>
        <w:t xml:space="preserve"> </w:t>
      </w:r>
      <w:r>
        <w:rPr>
          <w:sz w:val="24"/>
        </w:rPr>
        <w:t>Subsequently,</w:t>
      </w:r>
      <w:r>
        <w:rPr>
          <w:spacing w:val="-11"/>
          <w:sz w:val="24"/>
        </w:rPr>
        <w:t xml:space="preserve"> </w:t>
      </w:r>
      <w:r>
        <w:rPr>
          <w:sz w:val="24"/>
        </w:rPr>
        <w:t>legislation</w:t>
      </w:r>
      <w:r>
        <w:rPr>
          <w:spacing w:val="-11"/>
          <w:sz w:val="24"/>
        </w:rPr>
        <w:t xml:space="preserve"> </w:t>
      </w:r>
      <w:r>
        <w:rPr>
          <w:sz w:val="24"/>
        </w:rPr>
        <w:t>has</w:t>
      </w:r>
      <w:r>
        <w:rPr>
          <w:spacing w:val="-13"/>
          <w:sz w:val="24"/>
        </w:rPr>
        <w:t xml:space="preserve"> </w:t>
      </w:r>
      <w:r>
        <w:rPr>
          <w:sz w:val="24"/>
        </w:rPr>
        <w:t>been</w:t>
      </w:r>
      <w:r>
        <w:rPr>
          <w:spacing w:val="-8"/>
          <w:sz w:val="24"/>
        </w:rPr>
        <w:t xml:space="preserve"> </w:t>
      </w:r>
      <w:r>
        <w:rPr>
          <w:sz w:val="24"/>
        </w:rPr>
        <w:t>introduced that would insert that right into the ACT Charter.</w:t>
      </w:r>
      <w:r>
        <w:rPr>
          <w:position w:val="7"/>
          <w:sz w:val="13"/>
        </w:rPr>
        <w:t>403</w:t>
      </w:r>
      <w:r>
        <w:rPr>
          <w:spacing w:val="30"/>
          <w:position w:val="7"/>
          <w:sz w:val="13"/>
        </w:rPr>
        <w:t xml:space="preserve"> </w:t>
      </w:r>
      <w:r>
        <w:t>The ACT Government has also recognised a right to work</w:t>
      </w:r>
      <w:r>
        <w:rPr>
          <w:position w:val="7"/>
          <w:sz w:val="13"/>
        </w:rPr>
        <w:t>404</w:t>
      </w:r>
      <w:r>
        <w:rPr>
          <w:spacing w:val="40"/>
          <w:position w:val="7"/>
          <w:sz w:val="13"/>
        </w:rPr>
        <w:t xml:space="preserve"> </w:t>
      </w:r>
      <w:r>
        <w:t>and a right to education.</w:t>
      </w:r>
      <w:r>
        <w:rPr>
          <w:position w:val="7"/>
          <w:sz w:val="13"/>
        </w:rPr>
        <w:t>405</w:t>
      </w:r>
    </w:p>
    <w:p w14:paraId="7CB2614D" w14:textId="77777777" w:rsidR="008A4099" w:rsidRDefault="006A6EE2">
      <w:pPr>
        <w:pStyle w:val="ListParagraph"/>
        <w:numPr>
          <w:ilvl w:val="2"/>
          <w:numId w:val="3"/>
        </w:numPr>
        <w:tabs>
          <w:tab w:val="left" w:pos="879"/>
        </w:tabs>
        <w:spacing w:before="217"/>
        <w:ind w:right="674" w:firstLine="0"/>
        <w:jc w:val="both"/>
        <w:rPr>
          <w:sz w:val="13"/>
        </w:rPr>
      </w:pPr>
      <w:r>
        <w:t>The 2011 Review of the Vic Human Rights Charter found no case for adding new categories of rights to the Charter. This issue was revisited in the 2015 review, which, while not calling for the protection of any additional economic, social, and cultural rights at that time,</w:t>
      </w:r>
      <w:r>
        <w:rPr>
          <w:position w:val="7"/>
          <w:sz w:val="13"/>
        </w:rPr>
        <w:t>406</w:t>
      </w:r>
      <w:r>
        <w:rPr>
          <w:spacing w:val="37"/>
          <w:position w:val="7"/>
          <w:sz w:val="13"/>
        </w:rPr>
        <w:t xml:space="preserve"> </w:t>
      </w:r>
      <w:r>
        <w:t>did recommend that their inclusion be a priority consideration for future reviews.</w:t>
      </w:r>
      <w:r>
        <w:rPr>
          <w:position w:val="7"/>
          <w:sz w:val="13"/>
        </w:rPr>
        <w:t>407</w:t>
      </w:r>
      <w:r>
        <w:rPr>
          <w:spacing w:val="28"/>
          <w:position w:val="7"/>
          <w:sz w:val="13"/>
        </w:rPr>
        <w:t xml:space="preserve"> </w:t>
      </w:r>
      <w:r>
        <w:t>No further progress has been made on this recommendation.</w:t>
      </w:r>
      <w:r>
        <w:rPr>
          <w:position w:val="7"/>
          <w:sz w:val="13"/>
        </w:rPr>
        <w:t>408</w:t>
      </w:r>
    </w:p>
    <w:p w14:paraId="7CB2614E" w14:textId="77777777" w:rsidR="008A4099" w:rsidRDefault="006A6EE2">
      <w:pPr>
        <w:pStyle w:val="ListParagraph"/>
        <w:numPr>
          <w:ilvl w:val="2"/>
          <w:numId w:val="3"/>
        </w:numPr>
        <w:tabs>
          <w:tab w:val="left" w:pos="879"/>
        </w:tabs>
        <w:spacing w:before="217" w:line="237" w:lineRule="auto"/>
        <w:ind w:right="681" w:firstLine="0"/>
        <w:jc w:val="both"/>
        <w:rPr>
          <w:sz w:val="13"/>
        </w:rPr>
      </w:pPr>
      <w:r>
        <w:t xml:space="preserve">The </w:t>
      </w:r>
      <w:r>
        <w:rPr>
          <w:i/>
        </w:rPr>
        <w:t xml:space="preserve">Human Rights Act 2019 </w:t>
      </w:r>
      <w:r>
        <w:t>(Qld) explicitly provides that the first review of the Act, due to commence in 2023, must consider whether a broader range of rights should be protected.</w:t>
      </w:r>
      <w:r>
        <w:rPr>
          <w:position w:val="7"/>
          <w:sz w:val="13"/>
        </w:rPr>
        <w:t>409</w:t>
      </w:r>
    </w:p>
    <w:p w14:paraId="7CB2614F" w14:textId="77777777" w:rsidR="008A4099" w:rsidRDefault="006A6EE2">
      <w:pPr>
        <w:pStyle w:val="Heading3"/>
        <w:spacing w:before="237"/>
      </w:pPr>
      <w:r>
        <w:t>TLRI’s</w:t>
      </w:r>
      <w:r>
        <w:rPr>
          <w:spacing w:val="-5"/>
        </w:rPr>
        <w:t xml:space="preserve"> </w:t>
      </w:r>
      <w:r>
        <w:t>current</w:t>
      </w:r>
      <w:r>
        <w:rPr>
          <w:spacing w:val="-3"/>
        </w:rPr>
        <w:t xml:space="preserve"> </w:t>
      </w:r>
      <w:r>
        <w:rPr>
          <w:spacing w:val="-4"/>
        </w:rPr>
        <w:t>views</w:t>
      </w:r>
    </w:p>
    <w:p w14:paraId="7CB26150" w14:textId="77777777" w:rsidR="008A4099" w:rsidRDefault="008A4099">
      <w:pPr>
        <w:pStyle w:val="BodyText"/>
        <w:spacing w:before="2"/>
        <w:rPr>
          <w:b/>
          <w:sz w:val="23"/>
        </w:rPr>
      </w:pPr>
    </w:p>
    <w:p w14:paraId="7CB26151" w14:textId="77777777" w:rsidR="008A4099" w:rsidRDefault="006A6EE2">
      <w:pPr>
        <w:pStyle w:val="ListParagraph"/>
        <w:numPr>
          <w:ilvl w:val="2"/>
          <w:numId w:val="3"/>
        </w:numPr>
        <w:tabs>
          <w:tab w:val="left" w:pos="879"/>
        </w:tabs>
        <w:spacing w:before="0" w:line="235" w:lineRule="auto"/>
        <w:ind w:right="680" w:firstLine="0"/>
        <w:jc w:val="both"/>
      </w:pPr>
      <w:r>
        <w:t>Consistent with the views of the TLRI set out in the 2007 Final Report, the TLRI remains of the</w:t>
      </w:r>
      <w:r>
        <w:rPr>
          <w:spacing w:val="-7"/>
        </w:rPr>
        <w:t xml:space="preserve"> </w:t>
      </w:r>
      <w:r>
        <w:t>view</w:t>
      </w:r>
      <w:r>
        <w:rPr>
          <w:spacing w:val="-10"/>
        </w:rPr>
        <w:t xml:space="preserve"> </w:t>
      </w:r>
      <w:r>
        <w:t>that</w:t>
      </w:r>
      <w:r>
        <w:rPr>
          <w:spacing w:val="-6"/>
        </w:rPr>
        <w:t xml:space="preserve"> </w:t>
      </w:r>
      <w:r>
        <w:t>the</w:t>
      </w:r>
      <w:r>
        <w:rPr>
          <w:spacing w:val="-7"/>
        </w:rPr>
        <w:t xml:space="preserve"> </w:t>
      </w:r>
      <w:r>
        <w:t>rights</w:t>
      </w:r>
      <w:r>
        <w:rPr>
          <w:spacing w:val="-6"/>
        </w:rPr>
        <w:t xml:space="preserve"> </w:t>
      </w:r>
      <w:r>
        <w:t>protected</w:t>
      </w:r>
      <w:r>
        <w:rPr>
          <w:spacing w:val="-7"/>
        </w:rPr>
        <w:t xml:space="preserve"> </w:t>
      </w:r>
      <w:r>
        <w:t>in</w:t>
      </w:r>
      <w:r>
        <w:rPr>
          <w:spacing w:val="-10"/>
        </w:rPr>
        <w:t xml:space="preserve"> </w:t>
      </w:r>
      <w:r>
        <w:t>the</w:t>
      </w:r>
      <w:r>
        <w:rPr>
          <w:spacing w:val="-7"/>
        </w:rPr>
        <w:t xml:space="preserve"> </w:t>
      </w:r>
      <w:r>
        <w:t>Tasmanian</w:t>
      </w:r>
      <w:r>
        <w:rPr>
          <w:spacing w:val="-9"/>
        </w:rPr>
        <w:t xml:space="preserve"> </w:t>
      </w:r>
      <w:r>
        <w:t>Human</w:t>
      </w:r>
      <w:r>
        <w:rPr>
          <w:spacing w:val="-7"/>
        </w:rPr>
        <w:t xml:space="preserve"> </w:t>
      </w:r>
      <w:r>
        <w:t>Rights</w:t>
      </w:r>
      <w:r>
        <w:rPr>
          <w:spacing w:val="-6"/>
        </w:rPr>
        <w:t xml:space="preserve"> </w:t>
      </w:r>
      <w:r>
        <w:t>Act</w:t>
      </w:r>
      <w:r>
        <w:rPr>
          <w:spacing w:val="-6"/>
        </w:rPr>
        <w:t xml:space="preserve"> </w:t>
      </w:r>
      <w:r>
        <w:t>or</w:t>
      </w:r>
      <w:r>
        <w:rPr>
          <w:spacing w:val="-6"/>
        </w:rPr>
        <w:t xml:space="preserve"> </w:t>
      </w:r>
      <w:r>
        <w:t>Charter</w:t>
      </w:r>
      <w:r>
        <w:rPr>
          <w:spacing w:val="-6"/>
        </w:rPr>
        <w:t xml:space="preserve"> </w:t>
      </w:r>
      <w:r>
        <w:t>should</w:t>
      </w:r>
      <w:r>
        <w:rPr>
          <w:spacing w:val="-10"/>
        </w:rPr>
        <w:t xml:space="preserve"> </w:t>
      </w:r>
      <w:r>
        <w:t>extend</w:t>
      </w:r>
      <w:r>
        <w:rPr>
          <w:spacing w:val="-7"/>
        </w:rPr>
        <w:t xml:space="preserve"> </w:t>
      </w:r>
      <w:r>
        <w:t>beyond</w:t>
      </w:r>
    </w:p>
    <w:p w14:paraId="7CB26152" w14:textId="77777777" w:rsidR="008A4099" w:rsidRDefault="008A4099">
      <w:pPr>
        <w:pStyle w:val="BodyText"/>
        <w:rPr>
          <w:sz w:val="20"/>
        </w:rPr>
      </w:pPr>
    </w:p>
    <w:p w14:paraId="7CB26153" w14:textId="77777777" w:rsidR="008A4099" w:rsidRDefault="006A6EE2">
      <w:pPr>
        <w:pStyle w:val="BodyText"/>
        <w:spacing w:before="45"/>
        <w:rPr>
          <w:sz w:val="20"/>
        </w:rPr>
      </w:pPr>
      <w:r>
        <w:rPr>
          <w:noProof/>
        </w:rPr>
        <mc:AlternateContent>
          <mc:Choice Requires="wps">
            <w:drawing>
              <wp:anchor distT="0" distB="0" distL="0" distR="0" simplePos="0" relativeHeight="487623680" behindDoc="1" locked="0" layoutInCell="1" allowOverlap="1" wp14:anchorId="7CB26665" wp14:editId="7CB26666">
                <wp:simplePos x="0" y="0"/>
                <wp:positionH relativeFrom="page">
                  <wp:posOffset>914704</wp:posOffset>
                </wp:positionH>
                <wp:positionV relativeFrom="paragraph">
                  <wp:posOffset>190119</wp:posOffset>
                </wp:positionV>
                <wp:extent cx="1829435" cy="762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2D191B" id="Graphic 118" o:spid="_x0000_s1026" style="position:absolute;margin-left:1in;margin-top:14.95pt;width:144.05pt;height:.6pt;z-index:-156928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" path="m1829054,l,,,7620r1829054,l1829054,xe" fillcolor="black" stroked="f">
                <v:path arrowok="t"/>
                <w10:wrap type="topAndBottom" anchorx="page"/>
              </v:shape>
            </w:pict>
          </mc:Fallback>
        </mc:AlternateContent>
      </w:r>
    </w:p>
    <w:p w14:paraId="7CB26154" w14:textId="77777777" w:rsidR="008A4099" w:rsidRDefault="006A6EE2">
      <w:pPr>
        <w:spacing w:before="112"/>
        <w:ind w:left="160"/>
        <w:rPr>
          <w:i/>
          <w:sz w:val="18"/>
        </w:rPr>
      </w:pPr>
      <w:r>
        <w:rPr>
          <w:sz w:val="18"/>
          <w:vertAlign w:val="superscript"/>
        </w:rPr>
        <w:t>399</w:t>
      </w:r>
      <w:r>
        <w:rPr>
          <w:spacing w:val="-1"/>
          <w:sz w:val="18"/>
        </w:rPr>
        <w:t xml:space="preserve"> </w:t>
      </w:r>
      <w:r>
        <w:rPr>
          <w:sz w:val="18"/>
        </w:rPr>
        <w:t>Andrew</w:t>
      </w:r>
      <w:r>
        <w:rPr>
          <w:spacing w:val="39"/>
          <w:sz w:val="18"/>
        </w:rPr>
        <w:t xml:space="preserve"> </w:t>
      </w:r>
      <w:r>
        <w:rPr>
          <w:sz w:val="18"/>
        </w:rPr>
        <w:t>Byrnes</w:t>
      </w:r>
      <w:r>
        <w:rPr>
          <w:spacing w:val="39"/>
          <w:sz w:val="18"/>
        </w:rPr>
        <w:t xml:space="preserve"> </w:t>
      </w:r>
      <w:r>
        <w:rPr>
          <w:sz w:val="18"/>
        </w:rPr>
        <w:t>et</w:t>
      </w:r>
      <w:r>
        <w:rPr>
          <w:spacing w:val="39"/>
          <w:sz w:val="18"/>
        </w:rPr>
        <w:t xml:space="preserve"> </w:t>
      </w:r>
      <w:r>
        <w:rPr>
          <w:sz w:val="18"/>
        </w:rPr>
        <w:t>al,</w:t>
      </w:r>
      <w:r>
        <w:rPr>
          <w:spacing w:val="40"/>
          <w:sz w:val="18"/>
        </w:rPr>
        <w:t xml:space="preserve"> </w:t>
      </w:r>
      <w:r>
        <w:rPr>
          <w:i/>
          <w:sz w:val="18"/>
        </w:rPr>
        <w:t>Australian</w:t>
      </w:r>
      <w:r>
        <w:rPr>
          <w:i/>
          <w:spacing w:val="41"/>
          <w:sz w:val="18"/>
        </w:rPr>
        <w:t xml:space="preserve"> </w:t>
      </w:r>
      <w:r>
        <w:rPr>
          <w:i/>
          <w:sz w:val="18"/>
        </w:rPr>
        <w:t>Capital</w:t>
      </w:r>
      <w:r>
        <w:rPr>
          <w:i/>
          <w:spacing w:val="38"/>
          <w:sz w:val="18"/>
        </w:rPr>
        <w:t xml:space="preserve"> </w:t>
      </w:r>
      <w:r>
        <w:rPr>
          <w:i/>
          <w:sz w:val="18"/>
        </w:rPr>
        <w:t>Territory</w:t>
      </w:r>
      <w:r>
        <w:rPr>
          <w:i/>
          <w:spacing w:val="36"/>
          <w:sz w:val="18"/>
        </w:rPr>
        <w:t xml:space="preserve"> </w:t>
      </w:r>
      <w:r>
        <w:rPr>
          <w:i/>
          <w:sz w:val="18"/>
        </w:rPr>
        <w:t>Economic,</w:t>
      </w:r>
      <w:r>
        <w:rPr>
          <w:i/>
          <w:spacing w:val="38"/>
          <w:sz w:val="18"/>
        </w:rPr>
        <w:t xml:space="preserve"> </w:t>
      </w:r>
      <w:r>
        <w:rPr>
          <w:i/>
          <w:sz w:val="18"/>
        </w:rPr>
        <w:t>Social</w:t>
      </w:r>
      <w:r>
        <w:rPr>
          <w:i/>
          <w:spacing w:val="38"/>
          <w:sz w:val="18"/>
        </w:rPr>
        <w:t xml:space="preserve"> </w:t>
      </w:r>
      <w:r>
        <w:rPr>
          <w:i/>
          <w:sz w:val="18"/>
        </w:rPr>
        <w:t>and</w:t>
      </w:r>
      <w:r>
        <w:rPr>
          <w:i/>
          <w:spacing w:val="42"/>
          <w:sz w:val="18"/>
        </w:rPr>
        <w:t xml:space="preserve"> </w:t>
      </w:r>
      <w:r>
        <w:rPr>
          <w:i/>
          <w:sz w:val="18"/>
        </w:rPr>
        <w:t>Cultural</w:t>
      </w:r>
      <w:r>
        <w:rPr>
          <w:i/>
          <w:spacing w:val="38"/>
          <w:sz w:val="18"/>
        </w:rPr>
        <w:t xml:space="preserve"> </w:t>
      </w:r>
      <w:r>
        <w:rPr>
          <w:i/>
          <w:sz w:val="18"/>
        </w:rPr>
        <w:t>Rights</w:t>
      </w:r>
      <w:r>
        <w:rPr>
          <w:i/>
          <w:spacing w:val="37"/>
          <w:sz w:val="18"/>
        </w:rPr>
        <w:t xml:space="preserve"> </w:t>
      </w:r>
      <w:r>
        <w:rPr>
          <w:i/>
          <w:sz w:val="18"/>
        </w:rPr>
        <w:t>Research</w:t>
      </w:r>
      <w:r>
        <w:rPr>
          <w:i/>
          <w:spacing w:val="41"/>
          <w:sz w:val="18"/>
        </w:rPr>
        <w:t xml:space="preserve"> </w:t>
      </w:r>
      <w:r>
        <w:rPr>
          <w:i/>
          <w:sz w:val="18"/>
        </w:rPr>
        <w:t>Project</w:t>
      </w:r>
      <w:r>
        <w:rPr>
          <w:i/>
          <w:spacing w:val="47"/>
          <w:sz w:val="18"/>
        </w:rPr>
        <w:t xml:space="preserve"> </w:t>
      </w:r>
      <w:r>
        <w:rPr>
          <w:i/>
          <w:spacing w:val="-2"/>
          <w:sz w:val="18"/>
        </w:rPr>
        <w:t>Report</w:t>
      </w:r>
    </w:p>
    <w:p w14:paraId="7CB26155" w14:textId="77777777" w:rsidR="008A4099" w:rsidRDefault="006A6EE2">
      <w:pPr>
        <w:spacing w:before="5"/>
        <w:ind w:left="160"/>
        <w:rPr>
          <w:sz w:val="18"/>
        </w:rPr>
      </w:pPr>
      <w:r>
        <w:rPr>
          <w:sz w:val="18"/>
        </w:rPr>
        <w:t>(Report, 2010)</w:t>
      </w:r>
      <w:r>
        <w:rPr>
          <w:spacing w:val="-1"/>
          <w:sz w:val="18"/>
        </w:rPr>
        <w:t xml:space="preserve"> </w:t>
      </w:r>
      <w:r>
        <w:rPr>
          <w:spacing w:val="-2"/>
          <w:sz w:val="18"/>
        </w:rPr>
        <w:t>[9.39]</w:t>
      </w:r>
    </w:p>
    <w:p w14:paraId="7CB26156" w14:textId="77777777" w:rsidR="008A4099" w:rsidRDefault="006A6EE2">
      <w:pPr>
        <w:spacing w:before="1"/>
        <w:ind w:left="160"/>
        <w:rPr>
          <w:sz w:val="18"/>
        </w:rPr>
      </w:pPr>
      <w:r>
        <w:rPr>
          <w:spacing w:val="-2"/>
          <w:sz w:val="18"/>
        </w:rPr>
        <w:t>&lt;https://</w:t>
      </w:r>
      <w:hyperlink r:id="rId144">
        <w:r>
          <w:rPr>
            <w:spacing w:val="-2"/>
            <w:sz w:val="18"/>
          </w:rPr>
          <w:t>www.researchgate.net/publication/228158594_Australian_Capital_Territory_Economic_Social_and_Cultural_Right</w:t>
        </w:r>
      </w:hyperlink>
      <w:r>
        <w:rPr>
          <w:spacing w:val="-2"/>
          <w:sz w:val="18"/>
        </w:rPr>
        <w:t xml:space="preserve"> s_Research_Report&gt;.</w:t>
      </w:r>
    </w:p>
    <w:p w14:paraId="7CB26157" w14:textId="77777777" w:rsidR="008A4099" w:rsidRDefault="006A6EE2">
      <w:pPr>
        <w:spacing w:before="19"/>
        <w:ind w:left="160"/>
        <w:rPr>
          <w:sz w:val="18"/>
        </w:rPr>
      </w:pPr>
      <w:r>
        <w:rPr>
          <w:sz w:val="18"/>
          <w:vertAlign w:val="superscript"/>
        </w:rPr>
        <w:t>400</w:t>
      </w:r>
      <w:r>
        <w:rPr>
          <w:spacing w:val="23"/>
          <w:sz w:val="18"/>
        </w:rPr>
        <w:t xml:space="preserve"> </w:t>
      </w:r>
      <w:r>
        <w:rPr>
          <w:sz w:val="18"/>
        </w:rPr>
        <w:t>ACT</w:t>
      </w:r>
      <w:r>
        <w:rPr>
          <w:spacing w:val="23"/>
          <w:sz w:val="18"/>
        </w:rPr>
        <w:t xml:space="preserve"> </w:t>
      </w:r>
      <w:r>
        <w:rPr>
          <w:sz w:val="18"/>
        </w:rPr>
        <w:t>Government,</w:t>
      </w:r>
      <w:r>
        <w:rPr>
          <w:spacing w:val="23"/>
          <w:sz w:val="18"/>
        </w:rPr>
        <w:t xml:space="preserve"> </w:t>
      </w:r>
      <w:r>
        <w:rPr>
          <w:i/>
          <w:sz w:val="18"/>
        </w:rPr>
        <w:t>Response</w:t>
      </w:r>
      <w:r>
        <w:rPr>
          <w:i/>
          <w:spacing w:val="22"/>
          <w:sz w:val="18"/>
        </w:rPr>
        <w:t xml:space="preserve"> </w:t>
      </w:r>
      <w:r>
        <w:rPr>
          <w:i/>
          <w:sz w:val="18"/>
        </w:rPr>
        <w:t>to</w:t>
      </w:r>
      <w:r>
        <w:rPr>
          <w:i/>
          <w:spacing w:val="23"/>
          <w:sz w:val="18"/>
        </w:rPr>
        <w:t xml:space="preserve"> </w:t>
      </w:r>
      <w:r>
        <w:rPr>
          <w:i/>
          <w:sz w:val="18"/>
        </w:rPr>
        <w:t>ACT</w:t>
      </w:r>
      <w:r>
        <w:rPr>
          <w:i/>
          <w:spacing w:val="22"/>
          <w:sz w:val="18"/>
        </w:rPr>
        <w:t xml:space="preserve"> </w:t>
      </w:r>
      <w:r>
        <w:rPr>
          <w:i/>
          <w:sz w:val="18"/>
        </w:rPr>
        <w:t>Economic,</w:t>
      </w:r>
      <w:r>
        <w:rPr>
          <w:i/>
          <w:spacing w:val="22"/>
          <w:sz w:val="18"/>
        </w:rPr>
        <w:t xml:space="preserve"> </w:t>
      </w:r>
      <w:r>
        <w:rPr>
          <w:i/>
          <w:sz w:val="18"/>
        </w:rPr>
        <w:t>Social</w:t>
      </w:r>
      <w:r>
        <w:rPr>
          <w:i/>
          <w:spacing w:val="21"/>
          <w:sz w:val="18"/>
        </w:rPr>
        <w:t xml:space="preserve"> </w:t>
      </w:r>
      <w:r>
        <w:rPr>
          <w:i/>
          <w:sz w:val="18"/>
        </w:rPr>
        <w:t>and</w:t>
      </w:r>
      <w:r>
        <w:rPr>
          <w:i/>
          <w:spacing w:val="23"/>
          <w:sz w:val="18"/>
        </w:rPr>
        <w:t xml:space="preserve"> </w:t>
      </w:r>
      <w:r>
        <w:rPr>
          <w:i/>
          <w:sz w:val="18"/>
        </w:rPr>
        <w:t>Cultural</w:t>
      </w:r>
      <w:r>
        <w:rPr>
          <w:i/>
          <w:spacing w:val="21"/>
          <w:sz w:val="18"/>
        </w:rPr>
        <w:t xml:space="preserve"> </w:t>
      </w:r>
      <w:r>
        <w:rPr>
          <w:i/>
          <w:sz w:val="18"/>
        </w:rPr>
        <w:t>Rights</w:t>
      </w:r>
      <w:r>
        <w:rPr>
          <w:i/>
          <w:spacing w:val="21"/>
          <w:sz w:val="18"/>
        </w:rPr>
        <w:t xml:space="preserve"> </w:t>
      </w:r>
      <w:r>
        <w:rPr>
          <w:i/>
          <w:sz w:val="18"/>
        </w:rPr>
        <w:t>Research</w:t>
      </w:r>
      <w:r>
        <w:rPr>
          <w:i/>
          <w:spacing w:val="24"/>
          <w:sz w:val="18"/>
        </w:rPr>
        <w:t xml:space="preserve"> </w:t>
      </w:r>
      <w:r>
        <w:rPr>
          <w:i/>
          <w:sz w:val="18"/>
        </w:rPr>
        <w:t>Project</w:t>
      </w:r>
      <w:r>
        <w:rPr>
          <w:i/>
          <w:spacing w:val="24"/>
          <w:sz w:val="18"/>
        </w:rPr>
        <w:t xml:space="preserve"> </w:t>
      </w:r>
      <w:r>
        <w:rPr>
          <w:i/>
          <w:sz w:val="18"/>
        </w:rPr>
        <w:t>Report</w:t>
      </w:r>
      <w:r>
        <w:rPr>
          <w:i/>
          <w:spacing w:val="29"/>
          <w:sz w:val="18"/>
        </w:rPr>
        <w:t xml:space="preserve"> </w:t>
      </w:r>
      <w:r>
        <w:rPr>
          <w:sz w:val="18"/>
        </w:rPr>
        <w:t>(March</w:t>
      </w:r>
      <w:r>
        <w:rPr>
          <w:spacing w:val="23"/>
          <w:sz w:val="18"/>
        </w:rPr>
        <w:t xml:space="preserve"> </w:t>
      </w:r>
      <w:r>
        <w:rPr>
          <w:sz w:val="18"/>
        </w:rPr>
        <w:t>2012)</w:t>
      </w:r>
      <w:r>
        <w:rPr>
          <w:spacing w:val="21"/>
          <w:sz w:val="18"/>
        </w:rPr>
        <w:t xml:space="preserve"> </w:t>
      </w:r>
      <w:r>
        <w:rPr>
          <w:spacing w:val="-10"/>
          <w:sz w:val="18"/>
        </w:rPr>
        <w:t>7</w:t>
      </w:r>
    </w:p>
    <w:p w14:paraId="7CB26158" w14:textId="77777777" w:rsidR="008A4099" w:rsidRDefault="006A6EE2">
      <w:pPr>
        <w:spacing w:before="4"/>
        <w:ind w:left="160"/>
        <w:rPr>
          <w:sz w:val="18"/>
        </w:rPr>
      </w:pPr>
      <w:r>
        <w:rPr>
          <w:spacing w:val="-2"/>
          <w:sz w:val="18"/>
        </w:rPr>
        <w:t>&lt;https://regnet.anu.edu.au/Centre-International-Governance-and-Justice/ACT-economic-social-and-cultural-rights-project&gt;.</w:t>
      </w:r>
    </w:p>
    <w:p w14:paraId="7CB26159" w14:textId="77777777" w:rsidR="008A4099" w:rsidRDefault="006A6EE2">
      <w:pPr>
        <w:spacing w:before="18"/>
        <w:ind w:left="160"/>
        <w:rPr>
          <w:sz w:val="18"/>
        </w:rPr>
      </w:pPr>
      <w:r>
        <w:rPr>
          <w:sz w:val="18"/>
          <w:vertAlign w:val="superscript"/>
        </w:rPr>
        <w:t>401</w:t>
      </w:r>
      <w:r>
        <w:rPr>
          <w:spacing w:val="-1"/>
          <w:sz w:val="18"/>
        </w:rPr>
        <w:t xml:space="preserve"> </w:t>
      </w:r>
      <w:r>
        <w:rPr>
          <w:sz w:val="18"/>
        </w:rPr>
        <w:t>ACT Human</w:t>
      </w:r>
      <w:r>
        <w:rPr>
          <w:spacing w:val="1"/>
          <w:sz w:val="18"/>
        </w:rPr>
        <w:t xml:space="preserve"> </w:t>
      </w:r>
      <w:r>
        <w:rPr>
          <w:sz w:val="18"/>
        </w:rPr>
        <w:t>Rights Commission,</w:t>
      </w:r>
      <w:r>
        <w:rPr>
          <w:spacing w:val="1"/>
          <w:sz w:val="18"/>
        </w:rPr>
        <w:t xml:space="preserve"> </w:t>
      </w:r>
      <w:r>
        <w:rPr>
          <w:i/>
          <w:sz w:val="18"/>
        </w:rPr>
        <w:t>Annual</w:t>
      </w:r>
      <w:r>
        <w:rPr>
          <w:i/>
          <w:spacing w:val="1"/>
          <w:sz w:val="18"/>
        </w:rPr>
        <w:t xml:space="preserve"> </w:t>
      </w:r>
      <w:r>
        <w:rPr>
          <w:i/>
          <w:sz w:val="18"/>
        </w:rPr>
        <w:t>Report</w:t>
      </w:r>
      <w:r>
        <w:rPr>
          <w:i/>
          <w:spacing w:val="-3"/>
          <w:sz w:val="18"/>
        </w:rPr>
        <w:t xml:space="preserve"> </w:t>
      </w:r>
      <w:r>
        <w:rPr>
          <w:i/>
          <w:sz w:val="18"/>
        </w:rPr>
        <w:t>2019-2020</w:t>
      </w:r>
      <w:r>
        <w:rPr>
          <w:i/>
          <w:spacing w:val="2"/>
          <w:sz w:val="18"/>
        </w:rPr>
        <w:t xml:space="preserve"> </w:t>
      </w:r>
      <w:r>
        <w:rPr>
          <w:sz w:val="18"/>
        </w:rPr>
        <w:t xml:space="preserve">(Report, </w:t>
      </w:r>
      <w:r>
        <w:rPr>
          <w:spacing w:val="-2"/>
          <w:sz w:val="18"/>
        </w:rPr>
        <w:t>2020)</w:t>
      </w:r>
    </w:p>
    <w:p w14:paraId="7CB2615A" w14:textId="77777777" w:rsidR="008A4099" w:rsidRDefault="006A6EE2">
      <w:pPr>
        <w:spacing w:before="5"/>
        <w:ind w:left="160" w:right="680"/>
        <w:rPr>
          <w:sz w:val="18"/>
        </w:rPr>
      </w:pPr>
      <w:r>
        <w:rPr>
          <w:sz w:val="18"/>
        </w:rPr>
        <w:t>&lt;https://</w:t>
      </w:r>
      <w:hyperlink r:id="rId145">
        <w:r>
          <w:rPr>
            <w:sz w:val="18"/>
          </w:rPr>
          <w:t>www.hrc.act.gov.au/</w:t>
        </w:r>
      </w:hyperlink>
      <w:r>
        <w:rPr>
          <w:spacing w:val="80"/>
          <w:sz w:val="18"/>
          <w:u w:val="single"/>
        </w:rPr>
        <w:t xml:space="preserve"> </w:t>
      </w:r>
      <w:r>
        <w:rPr>
          <w:sz w:val="18"/>
        </w:rPr>
        <w:t xml:space="preserve">data/assets/pdf_file/0009/2282175/ACT-Human-Rights-Commission-Annual-Report-2019- </w:t>
      </w:r>
      <w:r>
        <w:rPr>
          <w:spacing w:val="-2"/>
          <w:sz w:val="18"/>
        </w:rPr>
        <w:t>20.pdf&gt;.</w:t>
      </w:r>
    </w:p>
    <w:p w14:paraId="7CB2615B" w14:textId="77777777" w:rsidR="008A4099" w:rsidRDefault="006A6EE2">
      <w:pPr>
        <w:spacing w:before="18"/>
        <w:ind w:left="160"/>
        <w:rPr>
          <w:sz w:val="18"/>
        </w:rPr>
      </w:pPr>
      <w:r>
        <w:rPr>
          <w:sz w:val="18"/>
          <w:vertAlign w:val="superscript"/>
        </w:rPr>
        <w:t>402</w:t>
      </w:r>
      <w:r>
        <w:rPr>
          <w:sz w:val="18"/>
        </w:rPr>
        <w:t xml:space="preserve"> ACT</w:t>
      </w:r>
      <w:r>
        <w:rPr>
          <w:spacing w:val="38"/>
          <w:sz w:val="18"/>
        </w:rPr>
        <w:t xml:space="preserve">  </w:t>
      </w:r>
      <w:r>
        <w:rPr>
          <w:sz w:val="18"/>
        </w:rPr>
        <w:t>Government,</w:t>
      </w:r>
      <w:r>
        <w:rPr>
          <w:spacing w:val="39"/>
          <w:sz w:val="18"/>
        </w:rPr>
        <w:t xml:space="preserve">  </w:t>
      </w:r>
      <w:r>
        <w:rPr>
          <w:i/>
          <w:sz w:val="18"/>
        </w:rPr>
        <w:t>Your</w:t>
      </w:r>
      <w:r>
        <w:rPr>
          <w:i/>
          <w:spacing w:val="37"/>
          <w:sz w:val="18"/>
        </w:rPr>
        <w:t xml:space="preserve">  </w:t>
      </w:r>
      <w:r>
        <w:rPr>
          <w:i/>
          <w:sz w:val="18"/>
        </w:rPr>
        <w:t>Say</w:t>
      </w:r>
      <w:r>
        <w:rPr>
          <w:i/>
          <w:spacing w:val="39"/>
          <w:sz w:val="18"/>
        </w:rPr>
        <w:t xml:space="preserve">  </w:t>
      </w:r>
      <w:r>
        <w:rPr>
          <w:i/>
          <w:sz w:val="18"/>
        </w:rPr>
        <w:t>Conversations:</w:t>
      </w:r>
      <w:r>
        <w:rPr>
          <w:i/>
          <w:spacing w:val="37"/>
          <w:sz w:val="18"/>
        </w:rPr>
        <w:t xml:space="preserve">  </w:t>
      </w:r>
      <w:r>
        <w:rPr>
          <w:i/>
          <w:sz w:val="18"/>
        </w:rPr>
        <w:t>The</w:t>
      </w:r>
      <w:r>
        <w:rPr>
          <w:i/>
          <w:spacing w:val="37"/>
          <w:sz w:val="18"/>
        </w:rPr>
        <w:t xml:space="preserve">  </w:t>
      </w:r>
      <w:r>
        <w:rPr>
          <w:i/>
          <w:sz w:val="18"/>
        </w:rPr>
        <w:t>Right</w:t>
      </w:r>
      <w:r>
        <w:rPr>
          <w:i/>
          <w:spacing w:val="38"/>
          <w:sz w:val="18"/>
        </w:rPr>
        <w:t xml:space="preserve">  </w:t>
      </w:r>
      <w:r>
        <w:rPr>
          <w:i/>
          <w:sz w:val="18"/>
        </w:rPr>
        <w:t>to</w:t>
      </w:r>
      <w:r>
        <w:rPr>
          <w:i/>
          <w:spacing w:val="38"/>
          <w:sz w:val="18"/>
        </w:rPr>
        <w:t xml:space="preserve">  </w:t>
      </w:r>
      <w:r>
        <w:rPr>
          <w:i/>
          <w:sz w:val="18"/>
        </w:rPr>
        <w:t>a</w:t>
      </w:r>
      <w:r>
        <w:rPr>
          <w:i/>
          <w:spacing w:val="38"/>
          <w:sz w:val="18"/>
        </w:rPr>
        <w:t xml:space="preserve">  </w:t>
      </w:r>
      <w:r>
        <w:rPr>
          <w:i/>
          <w:sz w:val="18"/>
        </w:rPr>
        <w:t>Healthy</w:t>
      </w:r>
      <w:r>
        <w:rPr>
          <w:i/>
          <w:spacing w:val="39"/>
          <w:sz w:val="18"/>
        </w:rPr>
        <w:t xml:space="preserve">  </w:t>
      </w:r>
      <w:r>
        <w:rPr>
          <w:i/>
          <w:sz w:val="18"/>
        </w:rPr>
        <w:t>Environment</w:t>
      </w:r>
      <w:r>
        <w:rPr>
          <w:i/>
          <w:spacing w:val="41"/>
          <w:sz w:val="18"/>
        </w:rPr>
        <w:t xml:space="preserve">  </w:t>
      </w:r>
      <w:r>
        <w:rPr>
          <w:sz w:val="18"/>
        </w:rPr>
        <w:t>(Web</w:t>
      </w:r>
      <w:r>
        <w:rPr>
          <w:spacing w:val="38"/>
          <w:sz w:val="18"/>
        </w:rPr>
        <w:t xml:space="preserve">  </w:t>
      </w:r>
      <w:r>
        <w:rPr>
          <w:sz w:val="18"/>
        </w:rPr>
        <w:t>Page,</w:t>
      </w:r>
      <w:r>
        <w:rPr>
          <w:spacing w:val="37"/>
          <w:sz w:val="18"/>
        </w:rPr>
        <w:t xml:space="preserve">  </w:t>
      </w:r>
      <w:r>
        <w:rPr>
          <w:spacing w:val="-2"/>
          <w:sz w:val="18"/>
        </w:rPr>
        <w:t>2022)</w:t>
      </w:r>
    </w:p>
    <w:p w14:paraId="7CB2615C" w14:textId="77777777" w:rsidR="008A4099" w:rsidRDefault="006A6EE2">
      <w:pPr>
        <w:spacing w:before="4"/>
        <w:ind w:left="160"/>
        <w:rPr>
          <w:sz w:val="18"/>
        </w:rPr>
      </w:pPr>
      <w:r>
        <w:rPr>
          <w:sz w:val="18"/>
        </w:rPr>
        <w:t>&lt;https://yoursayconversations.act.gov.au/right-healthy-environment&gt;</w:t>
      </w:r>
      <w:r>
        <w:rPr>
          <w:spacing w:val="-5"/>
          <w:sz w:val="18"/>
        </w:rPr>
        <w:t xml:space="preserve"> </w:t>
      </w:r>
      <w:r>
        <w:rPr>
          <w:sz w:val="18"/>
        </w:rPr>
        <w:t>and</w:t>
      </w:r>
      <w:r>
        <w:rPr>
          <w:spacing w:val="-2"/>
          <w:sz w:val="18"/>
        </w:rPr>
        <w:t xml:space="preserve"> </w:t>
      </w:r>
      <w:r>
        <w:rPr>
          <w:sz w:val="18"/>
        </w:rPr>
        <w:t>see</w:t>
      </w:r>
      <w:r>
        <w:rPr>
          <w:spacing w:val="-3"/>
          <w:sz w:val="18"/>
        </w:rPr>
        <w:t xml:space="preserve"> </w:t>
      </w:r>
      <w:r>
        <w:rPr>
          <w:sz w:val="18"/>
        </w:rPr>
        <w:t>further</w:t>
      </w:r>
      <w:r>
        <w:rPr>
          <w:spacing w:val="-3"/>
          <w:sz w:val="18"/>
        </w:rPr>
        <w:t xml:space="preserve"> </w:t>
      </w:r>
      <w:r>
        <w:rPr>
          <w:sz w:val="18"/>
        </w:rPr>
        <w:t>at</w:t>
      </w:r>
      <w:r>
        <w:rPr>
          <w:spacing w:val="-3"/>
          <w:sz w:val="18"/>
        </w:rPr>
        <w:t xml:space="preserve"> </w:t>
      </w:r>
      <w:r>
        <w:rPr>
          <w:sz w:val="18"/>
        </w:rPr>
        <w:t>[4.3.30]</w:t>
      </w:r>
      <w:r>
        <w:rPr>
          <w:spacing w:val="-4"/>
          <w:sz w:val="18"/>
        </w:rPr>
        <w:t xml:space="preserve"> </w:t>
      </w:r>
      <w:r>
        <w:rPr>
          <w:sz w:val="18"/>
        </w:rPr>
        <w:t>of</w:t>
      </w:r>
      <w:r>
        <w:rPr>
          <w:spacing w:val="-5"/>
          <w:sz w:val="18"/>
        </w:rPr>
        <w:t xml:space="preserve"> </w:t>
      </w:r>
      <w:r>
        <w:rPr>
          <w:sz w:val="18"/>
        </w:rPr>
        <w:t>this</w:t>
      </w:r>
      <w:r>
        <w:rPr>
          <w:spacing w:val="-2"/>
          <w:sz w:val="18"/>
        </w:rPr>
        <w:t xml:space="preserve"> Report.</w:t>
      </w:r>
    </w:p>
    <w:p w14:paraId="7CB2615D" w14:textId="77777777" w:rsidR="008A4099" w:rsidRDefault="006A6EE2">
      <w:pPr>
        <w:spacing w:before="19"/>
        <w:ind w:left="160"/>
        <w:rPr>
          <w:sz w:val="18"/>
        </w:rPr>
      </w:pPr>
      <w:r>
        <w:rPr>
          <w:sz w:val="18"/>
          <w:vertAlign w:val="superscript"/>
        </w:rPr>
        <w:t>403</w:t>
      </w:r>
      <w:r>
        <w:rPr>
          <w:spacing w:val="-1"/>
          <w:sz w:val="18"/>
        </w:rPr>
        <w:t xml:space="preserve"> </w:t>
      </w:r>
      <w:r>
        <w:rPr>
          <w:sz w:val="18"/>
        </w:rPr>
        <w:t xml:space="preserve">See </w:t>
      </w:r>
      <w:r>
        <w:rPr>
          <w:i/>
          <w:sz w:val="18"/>
        </w:rPr>
        <w:t>Human</w:t>
      </w:r>
      <w:r>
        <w:rPr>
          <w:i/>
          <w:spacing w:val="-1"/>
          <w:sz w:val="18"/>
        </w:rPr>
        <w:t xml:space="preserve"> </w:t>
      </w:r>
      <w:r>
        <w:rPr>
          <w:i/>
          <w:sz w:val="18"/>
        </w:rPr>
        <w:t>Rights (Healthy</w:t>
      </w:r>
      <w:r>
        <w:rPr>
          <w:i/>
          <w:spacing w:val="-1"/>
          <w:sz w:val="18"/>
        </w:rPr>
        <w:t xml:space="preserve"> </w:t>
      </w:r>
      <w:r>
        <w:rPr>
          <w:i/>
          <w:sz w:val="18"/>
        </w:rPr>
        <w:t>Environment) Amendment</w:t>
      </w:r>
      <w:r>
        <w:rPr>
          <w:i/>
          <w:spacing w:val="-3"/>
          <w:sz w:val="18"/>
        </w:rPr>
        <w:t xml:space="preserve"> </w:t>
      </w:r>
      <w:r>
        <w:rPr>
          <w:i/>
          <w:sz w:val="18"/>
        </w:rPr>
        <w:t>Act 2023</w:t>
      </w:r>
      <w:r>
        <w:rPr>
          <w:i/>
          <w:spacing w:val="6"/>
          <w:sz w:val="18"/>
        </w:rPr>
        <w:t xml:space="preserve"> </w:t>
      </w:r>
      <w:r>
        <w:rPr>
          <w:spacing w:val="-2"/>
          <w:sz w:val="18"/>
        </w:rPr>
        <w:t>(ACT).</w:t>
      </w:r>
    </w:p>
    <w:p w14:paraId="7CB2615E" w14:textId="77777777" w:rsidR="008A4099" w:rsidRDefault="006A6EE2">
      <w:pPr>
        <w:spacing w:before="23"/>
        <w:ind w:left="160"/>
        <w:rPr>
          <w:sz w:val="18"/>
        </w:rPr>
      </w:pPr>
      <w:r>
        <w:rPr>
          <w:sz w:val="18"/>
          <w:vertAlign w:val="superscript"/>
        </w:rPr>
        <w:t>404</w:t>
      </w:r>
      <w:r>
        <w:rPr>
          <w:spacing w:val="2"/>
          <w:sz w:val="18"/>
        </w:rPr>
        <w:t xml:space="preserve"> </w:t>
      </w:r>
      <w:r>
        <w:rPr>
          <w:sz w:val="18"/>
        </w:rPr>
        <w:t>See</w:t>
      </w:r>
      <w:r>
        <w:rPr>
          <w:spacing w:val="1"/>
          <w:sz w:val="18"/>
        </w:rPr>
        <w:t xml:space="preserve"> </w:t>
      </w:r>
      <w:r>
        <w:rPr>
          <w:sz w:val="18"/>
        </w:rPr>
        <w:t>discussion</w:t>
      </w:r>
      <w:r>
        <w:rPr>
          <w:spacing w:val="4"/>
          <w:sz w:val="18"/>
        </w:rPr>
        <w:t xml:space="preserve"> </w:t>
      </w:r>
      <w:r>
        <w:rPr>
          <w:sz w:val="18"/>
        </w:rPr>
        <w:t>at</w:t>
      </w:r>
      <w:r>
        <w:rPr>
          <w:spacing w:val="2"/>
          <w:sz w:val="18"/>
        </w:rPr>
        <w:t xml:space="preserve"> </w:t>
      </w:r>
      <w:r>
        <w:rPr>
          <w:spacing w:val="-2"/>
          <w:sz w:val="18"/>
        </w:rPr>
        <w:t>[4.3.19]–[4.3.20].</w:t>
      </w:r>
    </w:p>
    <w:p w14:paraId="7CB2615F" w14:textId="77777777" w:rsidR="008A4099" w:rsidRDefault="006A6EE2">
      <w:pPr>
        <w:spacing w:before="24"/>
        <w:ind w:left="160"/>
        <w:rPr>
          <w:sz w:val="18"/>
        </w:rPr>
      </w:pPr>
      <w:r>
        <w:rPr>
          <w:sz w:val="18"/>
          <w:vertAlign w:val="superscript"/>
        </w:rPr>
        <w:t>405</w:t>
      </w:r>
      <w:r>
        <w:rPr>
          <w:spacing w:val="2"/>
          <w:sz w:val="18"/>
        </w:rPr>
        <w:t xml:space="preserve"> </w:t>
      </w:r>
      <w:r>
        <w:rPr>
          <w:sz w:val="18"/>
        </w:rPr>
        <w:t>See</w:t>
      </w:r>
      <w:r>
        <w:rPr>
          <w:spacing w:val="1"/>
          <w:sz w:val="18"/>
        </w:rPr>
        <w:t xml:space="preserve"> </w:t>
      </w:r>
      <w:r>
        <w:rPr>
          <w:sz w:val="18"/>
        </w:rPr>
        <w:t>discussion</w:t>
      </w:r>
      <w:r>
        <w:rPr>
          <w:spacing w:val="4"/>
          <w:sz w:val="18"/>
        </w:rPr>
        <w:t xml:space="preserve"> </w:t>
      </w:r>
      <w:r>
        <w:rPr>
          <w:sz w:val="18"/>
        </w:rPr>
        <w:t>at</w:t>
      </w:r>
      <w:r>
        <w:rPr>
          <w:spacing w:val="2"/>
          <w:sz w:val="18"/>
        </w:rPr>
        <w:t xml:space="preserve"> </w:t>
      </w:r>
      <w:r>
        <w:rPr>
          <w:spacing w:val="-2"/>
          <w:sz w:val="18"/>
        </w:rPr>
        <w:t>[4.3.8]–[4.3.10].</w:t>
      </w:r>
    </w:p>
    <w:p w14:paraId="7CB26160" w14:textId="77777777" w:rsidR="008A4099" w:rsidRDefault="006A6EE2">
      <w:pPr>
        <w:spacing w:before="23" w:line="242" w:lineRule="auto"/>
        <w:ind w:left="160" w:right="674"/>
        <w:jc w:val="both"/>
        <w:rPr>
          <w:sz w:val="18"/>
        </w:rPr>
      </w:pPr>
      <w:r>
        <w:rPr>
          <w:sz w:val="18"/>
          <w:vertAlign w:val="superscript"/>
        </w:rPr>
        <w:t>406</w:t>
      </w:r>
      <w:r>
        <w:rPr>
          <w:sz w:val="18"/>
        </w:rPr>
        <w:t xml:space="preserve"> The 2015 Victorian Review noted that several rights already protected by the Charter had elements of economic, social, and</w:t>
      </w:r>
      <w:r>
        <w:rPr>
          <w:spacing w:val="-7"/>
          <w:sz w:val="18"/>
        </w:rPr>
        <w:t xml:space="preserve"> </w:t>
      </w:r>
      <w:r>
        <w:rPr>
          <w:sz w:val="18"/>
        </w:rPr>
        <w:t>cultural</w:t>
      </w:r>
      <w:r>
        <w:rPr>
          <w:spacing w:val="-9"/>
          <w:sz w:val="18"/>
        </w:rPr>
        <w:t xml:space="preserve"> </w:t>
      </w:r>
      <w:r>
        <w:rPr>
          <w:sz w:val="18"/>
        </w:rPr>
        <w:t>rights,</w:t>
      </w:r>
      <w:r>
        <w:rPr>
          <w:spacing w:val="-7"/>
          <w:sz w:val="18"/>
        </w:rPr>
        <w:t xml:space="preserve"> </w:t>
      </w:r>
      <w:r>
        <w:rPr>
          <w:sz w:val="18"/>
        </w:rPr>
        <w:t>such</w:t>
      </w:r>
      <w:r>
        <w:rPr>
          <w:spacing w:val="-7"/>
          <w:sz w:val="18"/>
        </w:rPr>
        <w:t xml:space="preserve"> </w:t>
      </w:r>
      <w:r>
        <w:rPr>
          <w:sz w:val="18"/>
        </w:rPr>
        <w:t>as</w:t>
      </w:r>
      <w:r>
        <w:rPr>
          <w:spacing w:val="-8"/>
          <w:sz w:val="18"/>
        </w:rPr>
        <w:t xml:space="preserve"> </w:t>
      </w:r>
      <w:r>
        <w:rPr>
          <w:sz w:val="18"/>
        </w:rPr>
        <w:t>cultural</w:t>
      </w:r>
      <w:r>
        <w:rPr>
          <w:spacing w:val="-7"/>
          <w:sz w:val="18"/>
        </w:rPr>
        <w:t xml:space="preserve"> </w:t>
      </w:r>
      <w:r>
        <w:rPr>
          <w:sz w:val="18"/>
        </w:rPr>
        <w:t>rights</w:t>
      </w:r>
      <w:r>
        <w:rPr>
          <w:spacing w:val="-8"/>
          <w:sz w:val="18"/>
        </w:rPr>
        <w:t xml:space="preserve"> </w:t>
      </w:r>
      <w:r>
        <w:rPr>
          <w:sz w:val="18"/>
        </w:rPr>
        <w:t>(protected</w:t>
      </w:r>
      <w:r>
        <w:rPr>
          <w:spacing w:val="-8"/>
          <w:sz w:val="18"/>
        </w:rPr>
        <w:t xml:space="preserve"> </w:t>
      </w:r>
      <w:r>
        <w:rPr>
          <w:sz w:val="18"/>
        </w:rPr>
        <w:t>by</w:t>
      </w:r>
      <w:r>
        <w:rPr>
          <w:spacing w:val="-7"/>
          <w:sz w:val="18"/>
        </w:rPr>
        <w:t xml:space="preserve"> </w:t>
      </w:r>
      <w:r>
        <w:rPr>
          <w:sz w:val="18"/>
        </w:rPr>
        <w:t>s</w:t>
      </w:r>
      <w:r>
        <w:rPr>
          <w:spacing w:val="-3"/>
          <w:sz w:val="18"/>
        </w:rPr>
        <w:t xml:space="preserve"> </w:t>
      </w:r>
      <w:r>
        <w:rPr>
          <w:sz w:val="18"/>
        </w:rPr>
        <w:t>19),</w:t>
      </w:r>
      <w:r>
        <w:rPr>
          <w:spacing w:val="-7"/>
          <w:sz w:val="18"/>
        </w:rPr>
        <w:t xml:space="preserve"> </w:t>
      </w:r>
      <w:r>
        <w:rPr>
          <w:sz w:val="18"/>
        </w:rPr>
        <w:t>property</w:t>
      </w:r>
      <w:r>
        <w:rPr>
          <w:spacing w:val="-6"/>
          <w:sz w:val="18"/>
        </w:rPr>
        <w:t xml:space="preserve"> </w:t>
      </w:r>
      <w:r>
        <w:rPr>
          <w:sz w:val="18"/>
        </w:rPr>
        <w:t>rights,</w:t>
      </w:r>
      <w:r>
        <w:rPr>
          <w:spacing w:val="-7"/>
          <w:sz w:val="18"/>
        </w:rPr>
        <w:t xml:space="preserve"> </w:t>
      </w:r>
      <w:r>
        <w:rPr>
          <w:sz w:val="18"/>
        </w:rPr>
        <w:t>and</w:t>
      </w:r>
      <w:r>
        <w:rPr>
          <w:spacing w:val="-7"/>
          <w:sz w:val="18"/>
        </w:rPr>
        <w:t xml:space="preserve"> </w:t>
      </w:r>
      <w:r>
        <w:rPr>
          <w:sz w:val="18"/>
        </w:rPr>
        <w:t>the</w:t>
      </w:r>
      <w:r>
        <w:rPr>
          <w:spacing w:val="-10"/>
          <w:sz w:val="18"/>
        </w:rPr>
        <w:t xml:space="preserve"> </w:t>
      </w:r>
      <w:r>
        <w:rPr>
          <w:sz w:val="18"/>
        </w:rPr>
        <w:t>protection</w:t>
      </w:r>
      <w:r>
        <w:rPr>
          <w:spacing w:val="-8"/>
          <w:sz w:val="18"/>
        </w:rPr>
        <w:t xml:space="preserve"> </w:t>
      </w:r>
      <w:r>
        <w:rPr>
          <w:sz w:val="18"/>
        </w:rPr>
        <w:t>of</w:t>
      </w:r>
      <w:r>
        <w:rPr>
          <w:spacing w:val="-8"/>
          <w:sz w:val="18"/>
        </w:rPr>
        <w:t xml:space="preserve"> </w:t>
      </w:r>
      <w:r>
        <w:rPr>
          <w:sz w:val="18"/>
        </w:rPr>
        <w:t>families</w:t>
      </w:r>
      <w:r>
        <w:rPr>
          <w:spacing w:val="-8"/>
          <w:sz w:val="18"/>
        </w:rPr>
        <w:t xml:space="preserve"> </w:t>
      </w:r>
      <w:r>
        <w:rPr>
          <w:sz w:val="18"/>
        </w:rPr>
        <w:t>and</w:t>
      </w:r>
      <w:r>
        <w:rPr>
          <w:spacing w:val="-7"/>
          <w:sz w:val="18"/>
        </w:rPr>
        <w:t xml:space="preserve"> </w:t>
      </w:r>
      <w:r>
        <w:rPr>
          <w:sz w:val="18"/>
        </w:rPr>
        <w:t>children.</w:t>
      </w:r>
      <w:r>
        <w:rPr>
          <w:spacing w:val="-7"/>
          <w:sz w:val="18"/>
        </w:rPr>
        <w:t xml:space="preserve"> </w:t>
      </w:r>
      <w:r>
        <w:rPr>
          <w:sz w:val="18"/>
        </w:rPr>
        <w:t xml:space="preserve">Brett Young, </w:t>
      </w:r>
      <w:r>
        <w:rPr>
          <w:i/>
          <w:sz w:val="18"/>
        </w:rPr>
        <w:t xml:space="preserve">From Commitment to Culture </w:t>
      </w:r>
      <w:r>
        <w:rPr>
          <w:sz w:val="18"/>
        </w:rPr>
        <w:t>225.</w:t>
      </w:r>
    </w:p>
    <w:p w14:paraId="7CB26161" w14:textId="77777777" w:rsidR="008A4099" w:rsidRDefault="006A6EE2">
      <w:pPr>
        <w:spacing w:before="16"/>
        <w:ind w:left="160"/>
        <w:jc w:val="both"/>
        <w:rPr>
          <w:sz w:val="18"/>
        </w:rPr>
      </w:pPr>
      <w:r>
        <w:rPr>
          <w:w w:val="105"/>
          <w:sz w:val="18"/>
          <w:vertAlign w:val="superscript"/>
        </w:rPr>
        <w:t>407</w:t>
      </w:r>
      <w:r>
        <w:rPr>
          <w:spacing w:val="1"/>
          <w:w w:val="105"/>
          <w:sz w:val="18"/>
        </w:rPr>
        <w:t xml:space="preserve"> </w:t>
      </w:r>
      <w:r>
        <w:rPr>
          <w:spacing w:val="-2"/>
          <w:w w:val="105"/>
          <w:sz w:val="18"/>
        </w:rPr>
        <w:t>Ibid.</w:t>
      </w:r>
    </w:p>
    <w:p w14:paraId="7CB26162" w14:textId="77777777" w:rsidR="008A4099" w:rsidRDefault="006A6EE2">
      <w:pPr>
        <w:spacing w:before="24" w:line="242" w:lineRule="auto"/>
        <w:ind w:left="160" w:right="674"/>
        <w:jc w:val="both"/>
        <w:rPr>
          <w:sz w:val="18"/>
        </w:rPr>
      </w:pPr>
      <w:r>
        <w:rPr>
          <w:sz w:val="18"/>
          <w:vertAlign w:val="superscript"/>
        </w:rPr>
        <w:t>408</w:t>
      </w:r>
      <w:r>
        <w:rPr>
          <w:sz w:val="18"/>
        </w:rPr>
        <w:t xml:space="preserve"> See for example, VEOHRC, </w:t>
      </w:r>
      <w:r>
        <w:rPr>
          <w:i/>
          <w:sz w:val="18"/>
        </w:rPr>
        <w:t>2017 Report</w:t>
      </w:r>
      <w:r>
        <w:rPr>
          <w:i/>
          <w:spacing w:val="-1"/>
          <w:sz w:val="18"/>
        </w:rPr>
        <w:t xml:space="preserve"> </w:t>
      </w:r>
      <w:r>
        <w:rPr>
          <w:i/>
          <w:sz w:val="18"/>
        </w:rPr>
        <w:t>on the Operation of the</w:t>
      </w:r>
      <w:r>
        <w:rPr>
          <w:i/>
          <w:spacing w:val="-2"/>
          <w:sz w:val="18"/>
        </w:rPr>
        <w:t xml:space="preserve"> </w:t>
      </w:r>
      <w:r>
        <w:rPr>
          <w:i/>
          <w:sz w:val="18"/>
        </w:rPr>
        <w:t xml:space="preserve">Charter of Human Rights and Responsibilities </w:t>
      </w:r>
      <w:r>
        <w:rPr>
          <w:sz w:val="18"/>
        </w:rPr>
        <w:t xml:space="preserve">(Report, 2018) 84; </w:t>
      </w:r>
      <w:r>
        <w:rPr>
          <w:i/>
          <w:sz w:val="18"/>
        </w:rPr>
        <w:t xml:space="preserve">2018 Report on the Operation of the Charter of Human Rights and Responsibilities </w:t>
      </w:r>
      <w:r>
        <w:rPr>
          <w:sz w:val="18"/>
        </w:rPr>
        <w:t xml:space="preserve">(Report, 2019) 115. The VEOHRC’s </w:t>
      </w:r>
      <w:r>
        <w:rPr>
          <w:i/>
          <w:sz w:val="18"/>
        </w:rPr>
        <w:t xml:space="preserve">2019 Report on the Operation of the Charter </w:t>
      </w:r>
      <w:r>
        <w:rPr>
          <w:sz w:val="18"/>
        </w:rPr>
        <w:t>does not mention this recommendation.</w:t>
      </w:r>
    </w:p>
    <w:p w14:paraId="7CB26163" w14:textId="77777777" w:rsidR="008A4099" w:rsidRDefault="006A6EE2">
      <w:pPr>
        <w:spacing w:before="16" w:line="242" w:lineRule="auto"/>
        <w:ind w:left="160" w:right="675"/>
        <w:jc w:val="both"/>
        <w:rPr>
          <w:sz w:val="18"/>
        </w:rPr>
      </w:pPr>
      <w:r>
        <w:rPr>
          <w:sz w:val="18"/>
          <w:vertAlign w:val="superscript"/>
        </w:rPr>
        <w:t>409</w:t>
      </w:r>
      <w:r>
        <w:rPr>
          <w:spacing w:val="-8"/>
          <w:sz w:val="18"/>
        </w:rPr>
        <w:t xml:space="preserve"> </w:t>
      </w:r>
      <w:r>
        <w:rPr>
          <w:sz w:val="18"/>
        </w:rPr>
        <w:t>Including,</w:t>
      </w:r>
      <w:r>
        <w:rPr>
          <w:spacing w:val="-8"/>
          <w:sz w:val="18"/>
        </w:rPr>
        <w:t xml:space="preserve"> </w:t>
      </w:r>
      <w:r>
        <w:rPr>
          <w:sz w:val="18"/>
        </w:rPr>
        <w:t>but</w:t>
      </w:r>
      <w:r>
        <w:rPr>
          <w:spacing w:val="-10"/>
          <w:sz w:val="18"/>
        </w:rPr>
        <w:t xml:space="preserve"> </w:t>
      </w:r>
      <w:r>
        <w:rPr>
          <w:sz w:val="18"/>
        </w:rPr>
        <w:t>not</w:t>
      </w:r>
      <w:r>
        <w:rPr>
          <w:spacing w:val="-8"/>
          <w:sz w:val="18"/>
        </w:rPr>
        <w:t xml:space="preserve"> </w:t>
      </w:r>
      <w:r>
        <w:rPr>
          <w:sz w:val="18"/>
        </w:rPr>
        <w:t>limited</w:t>
      </w:r>
      <w:r>
        <w:rPr>
          <w:spacing w:val="-7"/>
          <w:sz w:val="18"/>
        </w:rPr>
        <w:t xml:space="preserve"> </w:t>
      </w:r>
      <w:r>
        <w:rPr>
          <w:sz w:val="18"/>
        </w:rPr>
        <w:t>to,</w:t>
      </w:r>
      <w:r>
        <w:rPr>
          <w:spacing w:val="-8"/>
          <w:sz w:val="18"/>
        </w:rPr>
        <w:t xml:space="preserve"> </w:t>
      </w:r>
      <w:r>
        <w:rPr>
          <w:sz w:val="18"/>
        </w:rPr>
        <w:t>rights</w:t>
      </w:r>
      <w:r>
        <w:rPr>
          <w:spacing w:val="-8"/>
          <w:sz w:val="18"/>
        </w:rPr>
        <w:t xml:space="preserve"> </w:t>
      </w:r>
      <w:r>
        <w:rPr>
          <w:sz w:val="18"/>
        </w:rPr>
        <w:t>in</w:t>
      </w:r>
      <w:r>
        <w:rPr>
          <w:spacing w:val="-7"/>
          <w:sz w:val="18"/>
        </w:rPr>
        <w:t xml:space="preserve"> </w:t>
      </w:r>
      <w:r>
        <w:rPr>
          <w:sz w:val="18"/>
        </w:rPr>
        <w:t>the</w:t>
      </w:r>
      <w:r>
        <w:rPr>
          <w:spacing w:val="-5"/>
          <w:sz w:val="18"/>
        </w:rPr>
        <w:t xml:space="preserve"> </w:t>
      </w:r>
      <w:r>
        <w:rPr>
          <w:i/>
          <w:sz w:val="18"/>
        </w:rPr>
        <w:t>International</w:t>
      </w:r>
      <w:r>
        <w:rPr>
          <w:i/>
          <w:spacing w:val="-8"/>
          <w:sz w:val="18"/>
        </w:rPr>
        <w:t xml:space="preserve"> </w:t>
      </w:r>
      <w:r>
        <w:rPr>
          <w:i/>
          <w:sz w:val="18"/>
        </w:rPr>
        <w:t>Covenant</w:t>
      </w:r>
      <w:r>
        <w:rPr>
          <w:i/>
          <w:spacing w:val="-8"/>
          <w:sz w:val="18"/>
        </w:rPr>
        <w:t xml:space="preserve"> </w:t>
      </w:r>
      <w:r>
        <w:rPr>
          <w:i/>
          <w:sz w:val="18"/>
        </w:rPr>
        <w:t>on</w:t>
      </w:r>
      <w:r>
        <w:rPr>
          <w:i/>
          <w:spacing w:val="-7"/>
          <w:sz w:val="18"/>
        </w:rPr>
        <w:t xml:space="preserve"> </w:t>
      </w:r>
      <w:r>
        <w:rPr>
          <w:i/>
          <w:sz w:val="18"/>
        </w:rPr>
        <w:t>Economic,</w:t>
      </w:r>
      <w:r>
        <w:rPr>
          <w:i/>
          <w:spacing w:val="-8"/>
          <w:sz w:val="18"/>
        </w:rPr>
        <w:t xml:space="preserve"> </w:t>
      </w:r>
      <w:r>
        <w:rPr>
          <w:i/>
          <w:sz w:val="18"/>
        </w:rPr>
        <w:t>Social</w:t>
      </w:r>
      <w:r>
        <w:rPr>
          <w:i/>
          <w:spacing w:val="-8"/>
          <w:sz w:val="18"/>
        </w:rPr>
        <w:t xml:space="preserve"> </w:t>
      </w:r>
      <w:r>
        <w:rPr>
          <w:i/>
          <w:sz w:val="18"/>
        </w:rPr>
        <w:t>and</w:t>
      </w:r>
      <w:r>
        <w:rPr>
          <w:i/>
          <w:spacing w:val="-7"/>
          <w:sz w:val="18"/>
        </w:rPr>
        <w:t xml:space="preserve"> </w:t>
      </w:r>
      <w:r>
        <w:rPr>
          <w:i/>
          <w:sz w:val="18"/>
        </w:rPr>
        <w:t>Cultural</w:t>
      </w:r>
      <w:r>
        <w:rPr>
          <w:i/>
          <w:spacing w:val="-8"/>
          <w:sz w:val="18"/>
        </w:rPr>
        <w:t xml:space="preserve"> </w:t>
      </w:r>
      <w:r>
        <w:rPr>
          <w:i/>
          <w:sz w:val="18"/>
        </w:rPr>
        <w:t>Rights</w:t>
      </w:r>
      <w:r>
        <w:rPr>
          <w:sz w:val="18"/>
        </w:rPr>
        <w:t>,</w:t>
      </w:r>
      <w:r>
        <w:rPr>
          <w:spacing w:val="-8"/>
          <w:sz w:val="18"/>
        </w:rPr>
        <w:t xml:space="preserve"> </w:t>
      </w:r>
      <w:r>
        <w:rPr>
          <w:sz w:val="18"/>
        </w:rPr>
        <w:t>the</w:t>
      </w:r>
      <w:r>
        <w:rPr>
          <w:spacing w:val="-8"/>
          <w:sz w:val="18"/>
        </w:rPr>
        <w:t xml:space="preserve"> </w:t>
      </w:r>
      <w:r>
        <w:rPr>
          <w:i/>
          <w:sz w:val="18"/>
        </w:rPr>
        <w:t>Convention on the Rights of the Child</w:t>
      </w:r>
      <w:r>
        <w:rPr>
          <w:sz w:val="18"/>
        </w:rPr>
        <w:t xml:space="preserve">, the </w:t>
      </w:r>
      <w:r>
        <w:rPr>
          <w:i/>
          <w:sz w:val="18"/>
        </w:rPr>
        <w:t>Convention on the Rights of Persons with Disabilities</w:t>
      </w:r>
      <w:r>
        <w:rPr>
          <w:sz w:val="18"/>
        </w:rPr>
        <w:t xml:space="preserve">, and the </w:t>
      </w:r>
      <w:r>
        <w:rPr>
          <w:i/>
          <w:sz w:val="18"/>
        </w:rPr>
        <w:t>Convention on the Elimination of All Forms of Discrimination against Women</w:t>
      </w:r>
      <w:r>
        <w:rPr>
          <w:sz w:val="18"/>
        </w:rPr>
        <w:t xml:space="preserve">: </w:t>
      </w:r>
      <w:r>
        <w:rPr>
          <w:i/>
          <w:sz w:val="18"/>
        </w:rPr>
        <w:t xml:space="preserve">Human Rights Act 2019 </w:t>
      </w:r>
      <w:r>
        <w:rPr>
          <w:sz w:val="18"/>
        </w:rPr>
        <w:t>(Qld) s 95(4)(a).</w:t>
      </w:r>
    </w:p>
    <w:p w14:paraId="7CB26164"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6165" w14:textId="77777777" w:rsidR="008A4099" w:rsidRDefault="008A4099">
      <w:pPr>
        <w:pStyle w:val="BodyText"/>
        <w:spacing w:before="194"/>
      </w:pPr>
    </w:p>
    <w:p w14:paraId="7CB26166" w14:textId="77777777" w:rsidR="008A4099" w:rsidRDefault="006A6EE2">
      <w:pPr>
        <w:pStyle w:val="BodyText"/>
        <w:ind w:left="160" w:right="680"/>
      </w:pPr>
      <w:r>
        <w:t>civil</w:t>
      </w:r>
      <w:r>
        <w:rPr>
          <w:spacing w:val="-1"/>
        </w:rPr>
        <w:t xml:space="preserve"> </w:t>
      </w:r>
      <w:r>
        <w:t>and</w:t>
      </w:r>
      <w:r>
        <w:rPr>
          <w:spacing w:val="-2"/>
        </w:rPr>
        <w:t xml:space="preserve"> </w:t>
      </w:r>
      <w:r>
        <w:t>political</w:t>
      </w:r>
      <w:r>
        <w:rPr>
          <w:spacing w:val="-1"/>
        </w:rPr>
        <w:t xml:space="preserve"> </w:t>
      </w:r>
      <w:r>
        <w:t>rights</w:t>
      </w:r>
      <w:r>
        <w:rPr>
          <w:spacing w:val="-2"/>
        </w:rPr>
        <w:t xml:space="preserve"> </w:t>
      </w:r>
      <w:r>
        <w:t>to</w:t>
      </w:r>
      <w:r>
        <w:rPr>
          <w:spacing w:val="-2"/>
        </w:rPr>
        <w:t xml:space="preserve"> </w:t>
      </w:r>
      <w:r>
        <w:t>include</w:t>
      </w:r>
      <w:r>
        <w:rPr>
          <w:spacing w:val="-2"/>
        </w:rPr>
        <w:t xml:space="preserve"> </w:t>
      </w:r>
      <w:r>
        <w:t>a</w:t>
      </w:r>
      <w:r>
        <w:rPr>
          <w:spacing w:val="-2"/>
        </w:rPr>
        <w:t xml:space="preserve"> </w:t>
      </w:r>
      <w:r>
        <w:t>number</w:t>
      </w:r>
      <w:r>
        <w:rPr>
          <w:spacing w:val="-1"/>
        </w:rPr>
        <w:t xml:space="preserve"> </w:t>
      </w:r>
      <w:r>
        <w:t>of</w:t>
      </w:r>
      <w:r>
        <w:rPr>
          <w:spacing w:val="-2"/>
        </w:rPr>
        <w:t xml:space="preserve"> </w:t>
      </w:r>
      <w:r>
        <w:t>economic,</w:t>
      </w:r>
      <w:r>
        <w:rPr>
          <w:spacing w:val="-2"/>
        </w:rPr>
        <w:t xml:space="preserve"> </w:t>
      </w:r>
      <w:r>
        <w:t>social,</w:t>
      </w:r>
      <w:r>
        <w:rPr>
          <w:spacing w:val="-2"/>
        </w:rPr>
        <w:t xml:space="preserve"> </w:t>
      </w:r>
      <w:r>
        <w:t>and</w:t>
      </w:r>
      <w:r>
        <w:rPr>
          <w:spacing w:val="-2"/>
        </w:rPr>
        <w:t xml:space="preserve"> </w:t>
      </w:r>
      <w:r>
        <w:t>cultural</w:t>
      </w:r>
      <w:r>
        <w:rPr>
          <w:spacing w:val="-1"/>
        </w:rPr>
        <w:t xml:space="preserve"> </w:t>
      </w:r>
      <w:r>
        <w:t>rights.</w:t>
      </w:r>
      <w:r>
        <w:rPr>
          <w:spacing w:val="-2"/>
        </w:rPr>
        <w:t xml:space="preserve"> </w:t>
      </w:r>
      <w:r>
        <w:t>This</w:t>
      </w:r>
      <w:r>
        <w:rPr>
          <w:spacing w:val="-2"/>
        </w:rPr>
        <w:t xml:space="preserve"> </w:t>
      </w:r>
      <w:r>
        <w:t>is</w:t>
      </w:r>
      <w:r>
        <w:rPr>
          <w:spacing w:val="-2"/>
        </w:rPr>
        <w:t xml:space="preserve"> </w:t>
      </w:r>
      <w:r>
        <w:t>addressed in Recommendation 7 (see [4.3.35]–[4.3.37]).</w:t>
      </w:r>
    </w:p>
    <w:p w14:paraId="7CB26167" w14:textId="77777777" w:rsidR="008A4099" w:rsidRDefault="006A6EE2">
      <w:pPr>
        <w:pStyle w:val="Heading4"/>
      </w:pPr>
      <w:bookmarkStart w:id="37" w:name="_TOC_250023"/>
      <w:r>
        <w:t>Right to</w:t>
      </w:r>
      <w:bookmarkEnd w:id="37"/>
      <w:r>
        <w:rPr>
          <w:spacing w:val="-2"/>
        </w:rPr>
        <w:t xml:space="preserve"> education</w:t>
      </w:r>
    </w:p>
    <w:p w14:paraId="7CB26168" w14:textId="77777777" w:rsidR="008A4099" w:rsidRDefault="008A4099">
      <w:pPr>
        <w:pStyle w:val="BodyText"/>
        <w:spacing w:before="18"/>
        <w:rPr>
          <w:b/>
          <w:i/>
          <w:sz w:val="23"/>
        </w:rPr>
      </w:pPr>
    </w:p>
    <w:p w14:paraId="7CB26169" w14:textId="77777777" w:rsidR="008A4099" w:rsidRDefault="006A6EE2">
      <w:pPr>
        <w:pStyle w:val="Heading3"/>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16A" w14:textId="77777777" w:rsidR="008A4099" w:rsidRDefault="006A6EE2">
      <w:pPr>
        <w:pStyle w:val="ListParagraph"/>
        <w:numPr>
          <w:ilvl w:val="2"/>
          <w:numId w:val="3"/>
        </w:numPr>
        <w:tabs>
          <w:tab w:val="left" w:pos="879"/>
        </w:tabs>
        <w:spacing w:before="261" w:line="237" w:lineRule="auto"/>
        <w:ind w:right="676" w:firstLine="0"/>
        <w:jc w:val="both"/>
        <w:rPr>
          <w:sz w:val="13"/>
        </w:rPr>
      </w:pPr>
      <w:r>
        <w:t>The</w:t>
      </w:r>
      <w:r>
        <w:rPr>
          <w:spacing w:val="-12"/>
        </w:rPr>
        <w:t xml:space="preserve"> </w:t>
      </w:r>
      <w:r>
        <w:t>2007</w:t>
      </w:r>
      <w:r>
        <w:rPr>
          <w:spacing w:val="-12"/>
        </w:rPr>
        <w:t xml:space="preserve"> </w:t>
      </w:r>
      <w:r>
        <w:t>TLRI</w:t>
      </w:r>
      <w:r>
        <w:rPr>
          <w:spacing w:val="-13"/>
        </w:rPr>
        <w:t xml:space="preserve"> </w:t>
      </w:r>
      <w:r>
        <w:t>Final</w:t>
      </w:r>
      <w:r>
        <w:rPr>
          <w:spacing w:val="-13"/>
        </w:rPr>
        <w:t xml:space="preserve"> </w:t>
      </w:r>
      <w:r>
        <w:t>Report</w:t>
      </w:r>
      <w:r>
        <w:rPr>
          <w:spacing w:val="-11"/>
        </w:rPr>
        <w:t xml:space="preserve"> </w:t>
      </w:r>
      <w:r>
        <w:t>recommended</w:t>
      </w:r>
      <w:r>
        <w:rPr>
          <w:spacing w:val="-14"/>
        </w:rPr>
        <w:t xml:space="preserve"> </w:t>
      </w:r>
      <w:r>
        <w:t>that</w:t>
      </w:r>
      <w:r>
        <w:rPr>
          <w:spacing w:val="-11"/>
        </w:rPr>
        <w:t xml:space="preserve"> </w:t>
      </w:r>
      <w:r>
        <w:t>a</w:t>
      </w:r>
      <w:r>
        <w:rPr>
          <w:spacing w:val="-14"/>
        </w:rPr>
        <w:t xml:space="preserve"> </w:t>
      </w:r>
      <w:r>
        <w:t>right</w:t>
      </w:r>
      <w:r>
        <w:rPr>
          <w:spacing w:val="-13"/>
        </w:rPr>
        <w:t xml:space="preserve"> </w:t>
      </w:r>
      <w:r>
        <w:t>to</w:t>
      </w:r>
      <w:r>
        <w:rPr>
          <w:spacing w:val="-12"/>
        </w:rPr>
        <w:t xml:space="preserve"> </w:t>
      </w:r>
      <w:r>
        <w:t>education</w:t>
      </w:r>
      <w:r>
        <w:rPr>
          <w:spacing w:val="-14"/>
        </w:rPr>
        <w:t xml:space="preserve"> </w:t>
      </w:r>
      <w:r>
        <w:t>be</w:t>
      </w:r>
      <w:r>
        <w:rPr>
          <w:spacing w:val="-14"/>
        </w:rPr>
        <w:t xml:space="preserve"> </w:t>
      </w:r>
      <w:r>
        <w:t>included</w:t>
      </w:r>
      <w:r>
        <w:rPr>
          <w:spacing w:val="-14"/>
        </w:rPr>
        <w:t xml:space="preserve"> </w:t>
      </w:r>
      <w:r>
        <w:t>in</w:t>
      </w:r>
      <w:r>
        <w:rPr>
          <w:spacing w:val="-13"/>
        </w:rPr>
        <w:t xml:space="preserve"> </w:t>
      </w:r>
      <w:r>
        <w:t>a</w:t>
      </w:r>
      <w:r>
        <w:rPr>
          <w:spacing w:val="-10"/>
        </w:rPr>
        <w:t xml:space="preserve"> </w:t>
      </w:r>
      <w:r>
        <w:t>Tasmanian human rights enactment.</w:t>
      </w:r>
      <w:r>
        <w:rPr>
          <w:position w:val="7"/>
          <w:sz w:val="13"/>
        </w:rPr>
        <w:t>410</w:t>
      </w:r>
    </w:p>
    <w:p w14:paraId="7CB2616B" w14:textId="77777777" w:rsidR="008A4099" w:rsidRDefault="006A6EE2">
      <w:pPr>
        <w:pStyle w:val="ListParagraph"/>
        <w:numPr>
          <w:ilvl w:val="2"/>
          <w:numId w:val="3"/>
        </w:numPr>
        <w:tabs>
          <w:tab w:val="left" w:pos="879"/>
        </w:tabs>
        <w:spacing w:before="218"/>
        <w:ind w:right="673" w:firstLine="0"/>
        <w:jc w:val="both"/>
        <w:rPr>
          <w:sz w:val="13"/>
        </w:rPr>
      </w:pPr>
      <w:r>
        <w:t>While</w:t>
      </w:r>
      <w:r>
        <w:rPr>
          <w:spacing w:val="-9"/>
        </w:rPr>
        <w:t xml:space="preserve"> </w:t>
      </w:r>
      <w:r>
        <w:t>not</w:t>
      </w:r>
      <w:r>
        <w:rPr>
          <w:spacing w:val="-10"/>
        </w:rPr>
        <w:t xml:space="preserve"> </w:t>
      </w:r>
      <w:r>
        <w:t>included</w:t>
      </w:r>
      <w:r>
        <w:rPr>
          <w:spacing w:val="-9"/>
        </w:rPr>
        <w:t xml:space="preserve"> </w:t>
      </w:r>
      <w:r>
        <w:t>in</w:t>
      </w:r>
      <w:r>
        <w:rPr>
          <w:spacing w:val="-9"/>
        </w:rPr>
        <w:t xml:space="preserve"> </w:t>
      </w:r>
      <w:r>
        <w:t>the</w:t>
      </w:r>
      <w:r>
        <w:rPr>
          <w:spacing w:val="-9"/>
        </w:rPr>
        <w:t xml:space="preserve"> </w:t>
      </w:r>
      <w:r>
        <w:t>initial</w:t>
      </w:r>
      <w:r>
        <w:rPr>
          <w:spacing w:val="-8"/>
        </w:rPr>
        <w:t xml:space="preserve"> </w:t>
      </w:r>
      <w:r>
        <w:t>ACT</w:t>
      </w:r>
      <w:r>
        <w:rPr>
          <w:spacing w:val="-8"/>
        </w:rPr>
        <w:t xml:space="preserve"> </w:t>
      </w:r>
      <w:r>
        <w:t>Human</w:t>
      </w:r>
      <w:r>
        <w:rPr>
          <w:spacing w:val="-9"/>
        </w:rPr>
        <w:t xml:space="preserve"> </w:t>
      </w:r>
      <w:r>
        <w:t>Rights</w:t>
      </w:r>
      <w:r>
        <w:rPr>
          <w:spacing w:val="-9"/>
        </w:rPr>
        <w:t xml:space="preserve"> </w:t>
      </w:r>
      <w:r>
        <w:t>Act,</w:t>
      </w:r>
      <w:r>
        <w:rPr>
          <w:spacing w:val="-9"/>
        </w:rPr>
        <w:t xml:space="preserve"> </w:t>
      </w:r>
      <w:r>
        <w:t>a</w:t>
      </w:r>
      <w:r>
        <w:rPr>
          <w:spacing w:val="-9"/>
        </w:rPr>
        <w:t xml:space="preserve"> </w:t>
      </w:r>
      <w:r>
        <w:t>2016</w:t>
      </w:r>
      <w:r>
        <w:rPr>
          <w:spacing w:val="-9"/>
        </w:rPr>
        <w:t xml:space="preserve"> </w:t>
      </w:r>
      <w:r>
        <w:t>amendment</w:t>
      </w:r>
      <w:r>
        <w:rPr>
          <w:spacing w:val="-3"/>
        </w:rPr>
        <w:t xml:space="preserve"> </w:t>
      </w:r>
      <w:r>
        <w:t>included</w:t>
      </w:r>
      <w:r>
        <w:rPr>
          <w:spacing w:val="-9"/>
        </w:rPr>
        <w:t xml:space="preserve"> </w:t>
      </w:r>
      <w:r>
        <w:t>the</w:t>
      </w:r>
      <w:r>
        <w:rPr>
          <w:spacing w:val="-9"/>
        </w:rPr>
        <w:t xml:space="preserve"> </w:t>
      </w:r>
      <w:r>
        <w:t>right to</w:t>
      </w:r>
      <w:r>
        <w:rPr>
          <w:spacing w:val="-14"/>
        </w:rPr>
        <w:t xml:space="preserve"> </w:t>
      </w:r>
      <w:r>
        <w:t>education</w:t>
      </w:r>
      <w:r>
        <w:rPr>
          <w:spacing w:val="-14"/>
        </w:rPr>
        <w:t xml:space="preserve"> </w:t>
      </w:r>
      <w:r>
        <w:t>as</w:t>
      </w:r>
      <w:r>
        <w:rPr>
          <w:spacing w:val="-14"/>
        </w:rPr>
        <w:t xml:space="preserve"> </w:t>
      </w:r>
      <w:r>
        <w:t>a</w:t>
      </w:r>
      <w:r>
        <w:rPr>
          <w:spacing w:val="-13"/>
        </w:rPr>
        <w:t xml:space="preserve"> </w:t>
      </w:r>
      <w:r>
        <w:t>right</w:t>
      </w:r>
      <w:r>
        <w:rPr>
          <w:spacing w:val="-14"/>
        </w:rPr>
        <w:t xml:space="preserve"> </w:t>
      </w:r>
      <w:r>
        <w:t>with</w:t>
      </w:r>
      <w:r>
        <w:rPr>
          <w:spacing w:val="-14"/>
        </w:rPr>
        <w:t xml:space="preserve"> </w:t>
      </w:r>
      <w:r>
        <w:t>which</w:t>
      </w:r>
      <w:r>
        <w:rPr>
          <w:spacing w:val="-14"/>
        </w:rPr>
        <w:t xml:space="preserve"> </w:t>
      </w:r>
      <w:r>
        <w:t>public</w:t>
      </w:r>
      <w:r>
        <w:rPr>
          <w:spacing w:val="-13"/>
        </w:rPr>
        <w:t xml:space="preserve"> </w:t>
      </w:r>
      <w:r>
        <w:t>authorities</w:t>
      </w:r>
      <w:r>
        <w:rPr>
          <w:spacing w:val="-14"/>
        </w:rPr>
        <w:t xml:space="preserve"> </w:t>
      </w:r>
      <w:r>
        <w:t>are</w:t>
      </w:r>
      <w:r>
        <w:rPr>
          <w:spacing w:val="-14"/>
        </w:rPr>
        <w:t xml:space="preserve"> </w:t>
      </w:r>
      <w:r>
        <w:t>obligated</w:t>
      </w:r>
      <w:r>
        <w:rPr>
          <w:spacing w:val="-14"/>
        </w:rPr>
        <w:t xml:space="preserve"> </w:t>
      </w:r>
      <w:r>
        <w:t>to</w:t>
      </w:r>
      <w:r>
        <w:rPr>
          <w:spacing w:val="-13"/>
        </w:rPr>
        <w:t xml:space="preserve"> </w:t>
      </w:r>
      <w:r>
        <w:t>comply</w:t>
      </w:r>
      <w:r>
        <w:rPr>
          <w:spacing w:val="-14"/>
        </w:rPr>
        <w:t xml:space="preserve"> </w:t>
      </w:r>
      <w:r>
        <w:t>under</w:t>
      </w:r>
      <w:r>
        <w:rPr>
          <w:spacing w:val="-14"/>
        </w:rPr>
        <w:t xml:space="preserve"> </w:t>
      </w:r>
      <w:r>
        <w:t>Part</w:t>
      </w:r>
      <w:r>
        <w:rPr>
          <w:spacing w:val="-14"/>
        </w:rPr>
        <w:t xml:space="preserve"> </w:t>
      </w:r>
      <w:r>
        <w:t>5A</w:t>
      </w:r>
      <w:r>
        <w:rPr>
          <w:spacing w:val="-13"/>
        </w:rPr>
        <w:t xml:space="preserve"> </w:t>
      </w:r>
      <w:r>
        <w:t>of</w:t>
      </w:r>
      <w:r>
        <w:rPr>
          <w:spacing w:val="-14"/>
        </w:rPr>
        <w:t xml:space="preserve"> </w:t>
      </w:r>
      <w:r>
        <w:t>the</w:t>
      </w:r>
      <w:r>
        <w:rPr>
          <w:spacing w:val="-14"/>
        </w:rPr>
        <w:t xml:space="preserve"> </w:t>
      </w:r>
      <w:r>
        <w:rPr>
          <w:i/>
        </w:rPr>
        <w:t xml:space="preserve">Human Rights Act 2004 </w:t>
      </w:r>
      <w:r>
        <w:t>(ACT).</w:t>
      </w:r>
      <w:r>
        <w:rPr>
          <w:position w:val="7"/>
          <w:sz w:val="13"/>
        </w:rPr>
        <w:t>411</w:t>
      </w:r>
    </w:p>
    <w:p w14:paraId="7CB2616C" w14:textId="77777777" w:rsidR="008A4099" w:rsidRDefault="006A6EE2">
      <w:pPr>
        <w:pStyle w:val="ListParagraph"/>
        <w:numPr>
          <w:ilvl w:val="2"/>
          <w:numId w:val="3"/>
        </w:numPr>
        <w:tabs>
          <w:tab w:val="left" w:pos="879"/>
        </w:tabs>
        <w:spacing w:before="219" w:line="237" w:lineRule="auto"/>
        <w:ind w:right="679" w:firstLine="0"/>
        <w:jc w:val="both"/>
        <w:rPr>
          <w:sz w:val="13"/>
        </w:rPr>
      </w:pPr>
      <w:r>
        <w:t xml:space="preserve">The </w:t>
      </w:r>
      <w:r>
        <w:rPr>
          <w:i/>
        </w:rPr>
        <w:t xml:space="preserve">Human Rights Act 2019 </w:t>
      </w:r>
      <w:r>
        <w:t>(Qld) also includes the right to education, providing that every child has the right to</w:t>
      </w:r>
      <w:r>
        <w:rPr>
          <w:spacing w:val="-2"/>
        </w:rPr>
        <w:t xml:space="preserve"> </w:t>
      </w:r>
      <w:r>
        <w:t>appropriate</w:t>
      </w:r>
      <w:r>
        <w:rPr>
          <w:spacing w:val="-2"/>
        </w:rPr>
        <w:t xml:space="preserve"> </w:t>
      </w:r>
      <w:r>
        <w:t>primary</w:t>
      </w:r>
      <w:r>
        <w:rPr>
          <w:spacing w:val="-2"/>
        </w:rPr>
        <w:t xml:space="preserve"> </w:t>
      </w:r>
      <w:r>
        <w:t>and secondary education,</w:t>
      </w:r>
      <w:r>
        <w:rPr>
          <w:spacing w:val="-2"/>
        </w:rPr>
        <w:t xml:space="preserve"> </w:t>
      </w:r>
      <w:r>
        <w:t>and that every person has the right to access further vocational education and training.</w:t>
      </w:r>
      <w:r>
        <w:rPr>
          <w:position w:val="7"/>
          <w:sz w:val="13"/>
        </w:rPr>
        <w:t>412</w:t>
      </w:r>
    </w:p>
    <w:p w14:paraId="7CB2616D" w14:textId="77777777" w:rsidR="008A4099" w:rsidRDefault="006A6EE2">
      <w:pPr>
        <w:pStyle w:val="Heading3"/>
        <w:spacing w:before="242"/>
      </w:pPr>
      <w:r>
        <w:t>TLRI’s</w:t>
      </w:r>
      <w:r>
        <w:rPr>
          <w:spacing w:val="-5"/>
        </w:rPr>
        <w:t xml:space="preserve"> </w:t>
      </w:r>
      <w:r>
        <w:t>current</w:t>
      </w:r>
      <w:r>
        <w:rPr>
          <w:spacing w:val="-3"/>
        </w:rPr>
        <w:t xml:space="preserve"> </w:t>
      </w:r>
      <w:r>
        <w:rPr>
          <w:spacing w:val="-4"/>
        </w:rPr>
        <w:t>views</w:t>
      </w:r>
    </w:p>
    <w:p w14:paraId="7CB2616E" w14:textId="77777777" w:rsidR="008A4099" w:rsidRDefault="006A6EE2">
      <w:pPr>
        <w:pStyle w:val="ListParagraph"/>
        <w:numPr>
          <w:ilvl w:val="2"/>
          <w:numId w:val="3"/>
        </w:numPr>
        <w:tabs>
          <w:tab w:val="left" w:pos="879"/>
        </w:tabs>
        <w:spacing w:before="259"/>
        <w:ind w:right="677" w:firstLine="0"/>
        <w:jc w:val="both"/>
      </w:pPr>
      <w:r>
        <w:rPr>
          <w:sz w:val="21"/>
        </w:rPr>
        <w:t xml:space="preserve">The TLRI </w:t>
      </w:r>
      <w:r>
        <w:t>maintains its earlier recommendation that a right to education be included as an independent right in a Tasmanian human rights enactment, requiring public authorities delivering education</w:t>
      </w:r>
      <w:r>
        <w:rPr>
          <w:spacing w:val="40"/>
        </w:rPr>
        <w:t xml:space="preserve"> </w:t>
      </w:r>
      <w:r>
        <w:t>services</w:t>
      </w:r>
      <w:r>
        <w:rPr>
          <w:spacing w:val="40"/>
        </w:rPr>
        <w:t xml:space="preserve"> </w:t>
      </w:r>
      <w:r>
        <w:t>to</w:t>
      </w:r>
      <w:r>
        <w:rPr>
          <w:spacing w:val="40"/>
        </w:rPr>
        <w:t xml:space="preserve"> </w:t>
      </w:r>
      <w:r>
        <w:t>act</w:t>
      </w:r>
      <w:r>
        <w:rPr>
          <w:spacing w:val="40"/>
        </w:rPr>
        <w:t xml:space="preserve"> </w:t>
      </w:r>
      <w:r>
        <w:t>consistently</w:t>
      </w:r>
      <w:r>
        <w:rPr>
          <w:spacing w:val="40"/>
        </w:rPr>
        <w:t xml:space="preserve"> </w:t>
      </w:r>
      <w:r>
        <w:t>with</w:t>
      </w:r>
      <w:r>
        <w:rPr>
          <w:spacing w:val="40"/>
        </w:rPr>
        <w:t xml:space="preserve"> </w:t>
      </w:r>
      <w:r>
        <w:t>that</w:t>
      </w:r>
      <w:r>
        <w:rPr>
          <w:spacing w:val="40"/>
        </w:rPr>
        <w:t xml:space="preserve"> </w:t>
      </w:r>
      <w:r>
        <w:t>right.</w:t>
      </w:r>
      <w:r>
        <w:rPr>
          <w:position w:val="7"/>
          <w:sz w:val="13"/>
        </w:rPr>
        <w:t>413</w:t>
      </w:r>
      <w:r>
        <w:rPr>
          <w:spacing w:val="80"/>
          <w:position w:val="7"/>
          <w:sz w:val="13"/>
        </w:rPr>
        <w:t xml:space="preserve"> </w:t>
      </w:r>
      <w:r>
        <w:t>This</w:t>
      </w:r>
      <w:r>
        <w:rPr>
          <w:spacing w:val="40"/>
        </w:rPr>
        <w:t xml:space="preserve"> </w:t>
      </w:r>
      <w:r>
        <w:t>is</w:t>
      </w:r>
      <w:r>
        <w:rPr>
          <w:spacing w:val="40"/>
        </w:rPr>
        <w:t xml:space="preserve"> </w:t>
      </w:r>
      <w:r>
        <w:t>set</w:t>
      </w:r>
      <w:r>
        <w:rPr>
          <w:spacing w:val="40"/>
        </w:rPr>
        <w:t xml:space="preserve"> </w:t>
      </w:r>
      <w:r>
        <w:t>out</w:t>
      </w:r>
      <w:r>
        <w:rPr>
          <w:spacing w:val="40"/>
        </w:rPr>
        <w:t xml:space="preserve"> </w:t>
      </w:r>
      <w:r>
        <w:t>in</w:t>
      </w:r>
      <w:r>
        <w:rPr>
          <w:spacing w:val="40"/>
        </w:rPr>
        <w:t xml:space="preserve"> </w:t>
      </w:r>
      <w:r>
        <w:t>Recommendation</w:t>
      </w:r>
      <w:r>
        <w:rPr>
          <w:spacing w:val="40"/>
        </w:rPr>
        <w:t xml:space="preserve"> </w:t>
      </w:r>
      <w:r>
        <w:t>7 (see [4.3.35]–[4.3.37]).</w:t>
      </w:r>
    </w:p>
    <w:p w14:paraId="7CB2616F" w14:textId="77777777" w:rsidR="008A4099" w:rsidRDefault="006A6EE2">
      <w:pPr>
        <w:pStyle w:val="Heading4"/>
        <w:spacing w:before="234"/>
      </w:pPr>
      <w:bookmarkStart w:id="38" w:name="_TOC_250022"/>
      <w:r>
        <w:t>Rights</w:t>
      </w:r>
      <w:r>
        <w:rPr>
          <w:spacing w:val="-4"/>
        </w:rPr>
        <w:t xml:space="preserve"> </w:t>
      </w:r>
      <w:r>
        <w:t>of</w:t>
      </w:r>
      <w:r>
        <w:rPr>
          <w:spacing w:val="-3"/>
        </w:rPr>
        <w:t xml:space="preserve"> </w:t>
      </w:r>
      <w:r>
        <w:t>Tasmania’s</w:t>
      </w:r>
      <w:r>
        <w:rPr>
          <w:spacing w:val="-4"/>
        </w:rPr>
        <w:t xml:space="preserve"> </w:t>
      </w:r>
      <w:r>
        <w:t>First</w:t>
      </w:r>
      <w:r>
        <w:rPr>
          <w:spacing w:val="-3"/>
        </w:rPr>
        <w:t xml:space="preserve"> </w:t>
      </w:r>
      <w:r>
        <w:t>Nations</w:t>
      </w:r>
      <w:r>
        <w:rPr>
          <w:spacing w:val="-3"/>
        </w:rPr>
        <w:t xml:space="preserve"> </w:t>
      </w:r>
      <w:bookmarkEnd w:id="38"/>
      <w:r>
        <w:rPr>
          <w:spacing w:val="-2"/>
        </w:rPr>
        <w:t>people</w:t>
      </w:r>
    </w:p>
    <w:p w14:paraId="7CB26170" w14:textId="77777777" w:rsidR="008A4099" w:rsidRDefault="008A4099">
      <w:pPr>
        <w:pStyle w:val="BodyText"/>
        <w:spacing w:before="16"/>
        <w:rPr>
          <w:b/>
          <w:i/>
          <w:sz w:val="23"/>
        </w:rPr>
      </w:pPr>
    </w:p>
    <w:p w14:paraId="7CB26171" w14:textId="77777777" w:rsidR="008A4099" w:rsidRDefault="006A6EE2">
      <w:pPr>
        <w:pStyle w:val="Heading3"/>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172" w14:textId="77777777" w:rsidR="008A4099" w:rsidRDefault="006A6EE2">
      <w:pPr>
        <w:pStyle w:val="ListParagraph"/>
        <w:numPr>
          <w:ilvl w:val="2"/>
          <w:numId w:val="3"/>
        </w:numPr>
        <w:tabs>
          <w:tab w:val="left" w:pos="879"/>
        </w:tabs>
        <w:spacing w:before="262"/>
        <w:ind w:right="676" w:firstLine="0"/>
        <w:jc w:val="both"/>
      </w:pPr>
      <w:r>
        <w:t>The 2007 TLRI Final Report recommended that a Tasmanian human rights enactment should protect the right of Tasmania’s First Nations people to maintain their distinctive identity, culture, kinship ties, and spiritual, material, and economic relationship with the land. It also recommended the separate recognition of the rights of ethnic, religious, and linguistic minorities to enjoy their own culture.</w:t>
      </w:r>
      <w:r>
        <w:rPr>
          <w:position w:val="7"/>
          <w:sz w:val="13"/>
        </w:rPr>
        <w:t>414</w:t>
      </w:r>
      <w:r>
        <w:rPr>
          <w:spacing w:val="38"/>
          <w:position w:val="7"/>
          <w:sz w:val="13"/>
        </w:rPr>
        <w:t xml:space="preserve"> </w:t>
      </w:r>
      <w:r>
        <w:t xml:space="preserve">The TLRI remains of the view that the rights outlined in the 2007 Final Report should be </w:t>
      </w:r>
      <w:r>
        <w:rPr>
          <w:spacing w:val="-2"/>
        </w:rPr>
        <w:t>protected.</w:t>
      </w:r>
    </w:p>
    <w:p w14:paraId="7CB26173" w14:textId="77777777" w:rsidR="008A4099" w:rsidRDefault="006A6EE2">
      <w:pPr>
        <w:pStyle w:val="ListParagraph"/>
        <w:numPr>
          <w:ilvl w:val="2"/>
          <w:numId w:val="3"/>
        </w:numPr>
        <w:tabs>
          <w:tab w:val="left" w:pos="879"/>
        </w:tabs>
        <w:spacing w:before="216"/>
        <w:ind w:right="671" w:firstLine="0"/>
        <w:jc w:val="both"/>
        <w:rPr>
          <w:sz w:val="13"/>
        </w:rPr>
      </w:pPr>
      <w:r>
        <w:t>This is consistent with the position in Victoria and the ACT. Victoria has now recognised the distinct</w:t>
      </w:r>
      <w:r>
        <w:rPr>
          <w:spacing w:val="-1"/>
        </w:rPr>
        <w:t xml:space="preserve"> </w:t>
      </w:r>
      <w:r>
        <w:t>cultural</w:t>
      </w:r>
      <w:r>
        <w:rPr>
          <w:spacing w:val="-1"/>
        </w:rPr>
        <w:t xml:space="preserve"> </w:t>
      </w:r>
      <w:r>
        <w:t>rights</w:t>
      </w:r>
      <w:r>
        <w:rPr>
          <w:spacing w:val="-2"/>
        </w:rPr>
        <w:t xml:space="preserve"> </w:t>
      </w:r>
      <w:r>
        <w:t>of</w:t>
      </w:r>
      <w:r>
        <w:rPr>
          <w:spacing w:val="-1"/>
        </w:rPr>
        <w:t xml:space="preserve"> </w:t>
      </w:r>
      <w:r>
        <w:t>Aboriginal</w:t>
      </w:r>
      <w:r>
        <w:rPr>
          <w:spacing w:val="-1"/>
        </w:rPr>
        <w:t xml:space="preserve"> </w:t>
      </w:r>
      <w:r>
        <w:t>and</w:t>
      </w:r>
      <w:r>
        <w:rPr>
          <w:spacing w:val="-2"/>
        </w:rPr>
        <w:t xml:space="preserve"> </w:t>
      </w:r>
      <w:r>
        <w:t>Torres</w:t>
      </w:r>
      <w:r>
        <w:rPr>
          <w:spacing w:val="-2"/>
        </w:rPr>
        <w:t xml:space="preserve"> </w:t>
      </w:r>
      <w:r>
        <w:t>Strait</w:t>
      </w:r>
      <w:r>
        <w:rPr>
          <w:spacing w:val="-1"/>
        </w:rPr>
        <w:t xml:space="preserve"> </w:t>
      </w:r>
      <w:r>
        <w:t>Islander</w:t>
      </w:r>
      <w:r>
        <w:rPr>
          <w:spacing w:val="-2"/>
        </w:rPr>
        <w:t xml:space="preserve"> </w:t>
      </w:r>
      <w:r>
        <w:t>peoples.</w:t>
      </w:r>
      <w:r>
        <w:rPr>
          <w:position w:val="7"/>
          <w:sz w:val="13"/>
        </w:rPr>
        <w:t>415</w:t>
      </w:r>
      <w:r>
        <w:rPr>
          <w:spacing w:val="20"/>
          <w:position w:val="7"/>
          <w:sz w:val="13"/>
        </w:rPr>
        <w:t xml:space="preserve"> </w:t>
      </w:r>
      <w:r>
        <w:t>The</w:t>
      </w:r>
      <w:r>
        <w:rPr>
          <w:spacing w:val="-2"/>
        </w:rPr>
        <w:t xml:space="preserve"> </w:t>
      </w:r>
      <w:r>
        <w:rPr>
          <w:i/>
        </w:rPr>
        <w:t>Human</w:t>
      </w:r>
      <w:r>
        <w:rPr>
          <w:i/>
          <w:spacing w:val="-2"/>
        </w:rPr>
        <w:t xml:space="preserve"> </w:t>
      </w:r>
      <w:r>
        <w:rPr>
          <w:i/>
        </w:rPr>
        <w:t>Rights</w:t>
      </w:r>
      <w:r>
        <w:rPr>
          <w:i/>
          <w:spacing w:val="-2"/>
        </w:rPr>
        <w:t xml:space="preserve"> </w:t>
      </w:r>
      <w:r>
        <w:rPr>
          <w:i/>
        </w:rPr>
        <w:t xml:space="preserve">Act 2004 </w:t>
      </w:r>
      <w:r>
        <w:t>(ACT)</w:t>
      </w:r>
      <w:r>
        <w:rPr>
          <w:spacing w:val="-14"/>
        </w:rPr>
        <w:t xml:space="preserve"> </w:t>
      </w:r>
      <w:r>
        <w:t>initially</w:t>
      </w:r>
      <w:r>
        <w:rPr>
          <w:spacing w:val="-14"/>
        </w:rPr>
        <w:t xml:space="preserve"> </w:t>
      </w:r>
      <w:r>
        <w:t>protected</w:t>
      </w:r>
      <w:r>
        <w:rPr>
          <w:spacing w:val="-14"/>
        </w:rPr>
        <w:t xml:space="preserve"> </w:t>
      </w:r>
      <w:r>
        <w:t>cultural</w:t>
      </w:r>
      <w:r>
        <w:rPr>
          <w:spacing w:val="-13"/>
        </w:rPr>
        <w:t xml:space="preserve"> </w:t>
      </w:r>
      <w:r>
        <w:t>rights</w:t>
      </w:r>
      <w:r>
        <w:rPr>
          <w:spacing w:val="-14"/>
        </w:rPr>
        <w:t xml:space="preserve"> </w:t>
      </w:r>
      <w:r>
        <w:t>broadly</w:t>
      </w:r>
      <w:r>
        <w:rPr>
          <w:spacing w:val="-14"/>
        </w:rPr>
        <w:t xml:space="preserve"> </w:t>
      </w:r>
      <w:r>
        <w:t>but</w:t>
      </w:r>
      <w:r>
        <w:rPr>
          <w:spacing w:val="-14"/>
        </w:rPr>
        <w:t xml:space="preserve"> </w:t>
      </w:r>
      <w:r>
        <w:t>was</w:t>
      </w:r>
      <w:r>
        <w:rPr>
          <w:spacing w:val="-13"/>
        </w:rPr>
        <w:t xml:space="preserve"> </w:t>
      </w:r>
      <w:r>
        <w:t>amended</w:t>
      </w:r>
      <w:r>
        <w:rPr>
          <w:spacing w:val="-14"/>
        </w:rPr>
        <w:t xml:space="preserve"> </w:t>
      </w:r>
      <w:r>
        <w:t>in</w:t>
      </w:r>
      <w:r>
        <w:rPr>
          <w:spacing w:val="-14"/>
        </w:rPr>
        <w:t xml:space="preserve"> </w:t>
      </w:r>
      <w:r>
        <w:t>2016</w:t>
      </w:r>
      <w:r>
        <w:rPr>
          <w:spacing w:val="-14"/>
        </w:rPr>
        <w:t xml:space="preserve"> </w:t>
      </w:r>
      <w:r>
        <w:t>to</w:t>
      </w:r>
      <w:r>
        <w:rPr>
          <w:spacing w:val="-13"/>
        </w:rPr>
        <w:t xml:space="preserve"> </w:t>
      </w:r>
      <w:r>
        <w:t>recognise</w:t>
      </w:r>
      <w:r>
        <w:rPr>
          <w:spacing w:val="-14"/>
        </w:rPr>
        <w:t xml:space="preserve"> </w:t>
      </w:r>
      <w:r>
        <w:t>the</w:t>
      </w:r>
      <w:r>
        <w:rPr>
          <w:spacing w:val="-14"/>
        </w:rPr>
        <w:t xml:space="preserve"> </w:t>
      </w:r>
      <w:r>
        <w:t>distinct</w:t>
      </w:r>
      <w:r>
        <w:rPr>
          <w:spacing w:val="-14"/>
        </w:rPr>
        <w:t xml:space="preserve"> </w:t>
      </w:r>
      <w:r>
        <w:t>rights of Aboriginal and Torres Strait Islander people.</w:t>
      </w:r>
      <w:r>
        <w:rPr>
          <w:position w:val="7"/>
          <w:sz w:val="13"/>
        </w:rPr>
        <w:t>416</w:t>
      </w:r>
    </w:p>
    <w:p w14:paraId="7CB26174" w14:textId="77777777" w:rsidR="008A4099" w:rsidRDefault="006A6EE2">
      <w:pPr>
        <w:pStyle w:val="ListParagraph"/>
        <w:numPr>
          <w:ilvl w:val="2"/>
          <w:numId w:val="3"/>
        </w:numPr>
        <w:tabs>
          <w:tab w:val="left" w:pos="879"/>
        </w:tabs>
        <w:spacing w:before="217" w:line="237" w:lineRule="auto"/>
        <w:ind w:right="679" w:firstLine="0"/>
        <w:jc w:val="both"/>
      </w:pPr>
      <w:r>
        <w:rPr>
          <w:i/>
        </w:rPr>
        <w:t>Human</w:t>
      </w:r>
      <w:r>
        <w:rPr>
          <w:i/>
          <w:spacing w:val="-7"/>
        </w:rPr>
        <w:t xml:space="preserve"> </w:t>
      </w:r>
      <w:r>
        <w:rPr>
          <w:i/>
        </w:rPr>
        <w:t>Rights</w:t>
      </w:r>
      <w:r>
        <w:rPr>
          <w:i/>
          <w:spacing w:val="-6"/>
        </w:rPr>
        <w:t xml:space="preserve"> </w:t>
      </w:r>
      <w:r>
        <w:rPr>
          <w:i/>
        </w:rPr>
        <w:t>Act</w:t>
      </w:r>
      <w:r>
        <w:rPr>
          <w:i/>
          <w:spacing w:val="-6"/>
        </w:rPr>
        <w:t xml:space="preserve"> </w:t>
      </w:r>
      <w:r>
        <w:rPr>
          <w:i/>
        </w:rPr>
        <w:t>2019</w:t>
      </w:r>
      <w:r>
        <w:rPr>
          <w:i/>
          <w:spacing w:val="-7"/>
        </w:rPr>
        <w:t xml:space="preserve"> </w:t>
      </w:r>
      <w:r>
        <w:t>(Qld)</w:t>
      </w:r>
      <w:r>
        <w:rPr>
          <w:position w:val="7"/>
          <w:sz w:val="13"/>
        </w:rPr>
        <w:t>417</w:t>
      </w:r>
      <w:r>
        <w:rPr>
          <w:spacing w:val="15"/>
          <w:position w:val="7"/>
          <w:sz w:val="13"/>
        </w:rPr>
        <w:t xml:space="preserve"> </w:t>
      </w:r>
      <w:r>
        <w:t>also</w:t>
      </w:r>
      <w:r>
        <w:rPr>
          <w:spacing w:val="-6"/>
        </w:rPr>
        <w:t xml:space="preserve"> </w:t>
      </w:r>
      <w:r>
        <w:t>includes</w:t>
      </w:r>
      <w:r>
        <w:rPr>
          <w:spacing w:val="-9"/>
        </w:rPr>
        <w:t xml:space="preserve"> </w:t>
      </w:r>
      <w:r>
        <w:t>a</w:t>
      </w:r>
      <w:r>
        <w:rPr>
          <w:spacing w:val="-7"/>
        </w:rPr>
        <w:t xml:space="preserve"> </w:t>
      </w:r>
      <w:r>
        <w:t>specific</w:t>
      </w:r>
      <w:r>
        <w:rPr>
          <w:spacing w:val="-9"/>
        </w:rPr>
        <w:t xml:space="preserve"> </w:t>
      </w:r>
      <w:r>
        <w:t>provision</w:t>
      </w:r>
      <w:r>
        <w:rPr>
          <w:spacing w:val="-7"/>
        </w:rPr>
        <w:t xml:space="preserve"> </w:t>
      </w:r>
      <w:r>
        <w:t>protecting</w:t>
      </w:r>
      <w:r>
        <w:rPr>
          <w:spacing w:val="-7"/>
        </w:rPr>
        <w:t xml:space="preserve"> </w:t>
      </w:r>
      <w:r>
        <w:t>the</w:t>
      </w:r>
      <w:r>
        <w:rPr>
          <w:spacing w:val="-7"/>
        </w:rPr>
        <w:t xml:space="preserve"> </w:t>
      </w:r>
      <w:r>
        <w:t>cultural</w:t>
      </w:r>
      <w:r>
        <w:rPr>
          <w:spacing w:val="-8"/>
        </w:rPr>
        <w:t xml:space="preserve"> </w:t>
      </w:r>
      <w:r>
        <w:t>rights of Aboriginal and Torres Strait Islander people.</w:t>
      </w:r>
      <w:r>
        <w:rPr>
          <w:spacing w:val="40"/>
        </w:rPr>
        <w:t xml:space="preserve"> </w:t>
      </w:r>
      <w:r>
        <w:t xml:space="preserve">Those cultural rights were discussed in detail in the development of the </w:t>
      </w:r>
      <w:r>
        <w:rPr>
          <w:i/>
        </w:rPr>
        <w:t xml:space="preserve">Meriba Omasker Kaziw Kazipa (Torres Strait Islander Traditional Child Rearing </w:t>
      </w:r>
      <w:r>
        <w:rPr>
          <w:i/>
          <w:spacing w:val="-2"/>
        </w:rPr>
        <w:t xml:space="preserve">Practice) Act 2020 </w:t>
      </w:r>
      <w:r>
        <w:rPr>
          <w:spacing w:val="-2"/>
        </w:rPr>
        <w:t>(Qld), which gives</w:t>
      </w:r>
      <w:r>
        <w:rPr>
          <w:spacing w:val="-3"/>
        </w:rPr>
        <w:t xml:space="preserve"> </w:t>
      </w:r>
      <w:r>
        <w:rPr>
          <w:spacing w:val="-2"/>
        </w:rPr>
        <w:t xml:space="preserve">important legislative recognition to traditional adoption practices. </w:t>
      </w:r>
      <w:r>
        <w:t>The</w:t>
      </w:r>
      <w:r>
        <w:rPr>
          <w:spacing w:val="-7"/>
        </w:rPr>
        <w:t xml:space="preserve"> </w:t>
      </w:r>
      <w:r>
        <w:t>statement</w:t>
      </w:r>
      <w:r>
        <w:rPr>
          <w:spacing w:val="-8"/>
        </w:rPr>
        <w:t xml:space="preserve"> </w:t>
      </w:r>
      <w:r>
        <w:t>of</w:t>
      </w:r>
      <w:r>
        <w:rPr>
          <w:spacing w:val="-6"/>
        </w:rPr>
        <w:t xml:space="preserve"> </w:t>
      </w:r>
      <w:r>
        <w:t>compatibility</w:t>
      </w:r>
      <w:r>
        <w:rPr>
          <w:spacing w:val="-7"/>
        </w:rPr>
        <w:t xml:space="preserve"> </w:t>
      </w:r>
      <w:r>
        <w:t>for</w:t>
      </w:r>
      <w:r>
        <w:rPr>
          <w:spacing w:val="-9"/>
        </w:rPr>
        <w:t xml:space="preserve"> </w:t>
      </w:r>
      <w:r>
        <w:t>this</w:t>
      </w:r>
      <w:r>
        <w:rPr>
          <w:spacing w:val="-6"/>
        </w:rPr>
        <w:t xml:space="preserve"> </w:t>
      </w:r>
      <w:r>
        <w:t>Act</w:t>
      </w:r>
      <w:r>
        <w:rPr>
          <w:spacing w:val="-8"/>
        </w:rPr>
        <w:t xml:space="preserve"> </w:t>
      </w:r>
      <w:r>
        <w:t>discussed</w:t>
      </w:r>
      <w:r>
        <w:rPr>
          <w:spacing w:val="-10"/>
        </w:rPr>
        <w:t xml:space="preserve"> </w:t>
      </w:r>
      <w:r>
        <w:t>the</w:t>
      </w:r>
      <w:r>
        <w:rPr>
          <w:spacing w:val="-7"/>
        </w:rPr>
        <w:t xml:space="preserve"> </w:t>
      </w:r>
      <w:r>
        <w:t>cultural</w:t>
      </w:r>
      <w:r>
        <w:rPr>
          <w:spacing w:val="-8"/>
        </w:rPr>
        <w:t xml:space="preserve"> </w:t>
      </w:r>
      <w:r>
        <w:t>practice</w:t>
      </w:r>
      <w:r>
        <w:rPr>
          <w:spacing w:val="-9"/>
        </w:rPr>
        <w:t xml:space="preserve"> </w:t>
      </w:r>
      <w:r>
        <w:t>it</w:t>
      </w:r>
      <w:r>
        <w:rPr>
          <w:spacing w:val="-6"/>
        </w:rPr>
        <w:t xml:space="preserve"> </w:t>
      </w:r>
      <w:r>
        <w:t>formalised</w:t>
      </w:r>
      <w:r>
        <w:rPr>
          <w:spacing w:val="-7"/>
        </w:rPr>
        <w:t xml:space="preserve"> </w:t>
      </w:r>
      <w:r>
        <w:t>and</w:t>
      </w:r>
      <w:r>
        <w:rPr>
          <w:spacing w:val="-7"/>
        </w:rPr>
        <w:t xml:space="preserve"> </w:t>
      </w:r>
      <w:r>
        <w:t>the</w:t>
      </w:r>
      <w:r>
        <w:rPr>
          <w:spacing w:val="-7"/>
        </w:rPr>
        <w:t xml:space="preserve"> </w:t>
      </w:r>
      <w:r>
        <w:t>risk</w:t>
      </w:r>
      <w:r>
        <w:rPr>
          <w:spacing w:val="-9"/>
        </w:rPr>
        <w:t xml:space="preserve"> </w:t>
      </w:r>
      <w:r>
        <w:t>that</w:t>
      </w:r>
    </w:p>
    <w:p w14:paraId="7CB26175" w14:textId="77777777" w:rsidR="008A4099" w:rsidRDefault="006A6EE2">
      <w:pPr>
        <w:pStyle w:val="BodyText"/>
        <w:spacing w:before="38"/>
        <w:rPr>
          <w:sz w:val="20"/>
        </w:rPr>
      </w:pPr>
      <w:r>
        <w:rPr>
          <w:noProof/>
        </w:rPr>
        <mc:AlternateContent>
          <mc:Choice Requires="wps">
            <w:drawing>
              <wp:anchor distT="0" distB="0" distL="0" distR="0" simplePos="0" relativeHeight="487624192" behindDoc="1" locked="0" layoutInCell="1" allowOverlap="1" wp14:anchorId="7CB26667" wp14:editId="7CB26668">
                <wp:simplePos x="0" y="0"/>
                <wp:positionH relativeFrom="page">
                  <wp:posOffset>914704</wp:posOffset>
                </wp:positionH>
                <wp:positionV relativeFrom="paragraph">
                  <wp:posOffset>185485</wp:posOffset>
                </wp:positionV>
                <wp:extent cx="1829435" cy="762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935E53" id="Graphic 119" o:spid="_x0000_s1026" style="position:absolute;margin-left:1in;margin-top:14.6pt;width:144.05pt;height:.6pt;z-index:-156922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" path="m1829054,l,,,7620r1829054,l1829054,xe" fillcolor="black" stroked="f">
                <v:path arrowok="t"/>
                <w10:wrap type="topAndBottom" anchorx="page"/>
              </v:shape>
            </w:pict>
          </mc:Fallback>
        </mc:AlternateContent>
      </w:r>
    </w:p>
    <w:p w14:paraId="7CB26176" w14:textId="77777777" w:rsidR="008A4099" w:rsidRDefault="006A6EE2">
      <w:pPr>
        <w:spacing w:before="112"/>
        <w:ind w:left="160"/>
        <w:rPr>
          <w:sz w:val="18"/>
        </w:rPr>
      </w:pPr>
      <w:r>
        <w:rPr>
          <w:sz w:val="18"/>
          <w:vertAlign w:val="superscript"/>
        </w:rPr>
        <w:t>410</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Recommendations</w:t>
      </w:r>
      <w:r>
        <w:rPr>
          <w:spacing w:val="-3"/>
          <w:sz w:val="18"/>
        </w:rPr>
        <w:t xml:space="preserve"> </w:t>
      </w:r>
      <w:r>
        <w:rPr>
          <w:sz w:val="18"/>
        </w:rPr>
        <w:t>15,</w:t>
      </w:r>
      <w:r>
        <w:rPr>
          <w:spacing w:val="-1"/>
          <w:sz w:val="18"/>
        </w:rPr>
        <w:t xml:space="preserve"> </w:t>
      </w:r>
      <w:r>
        <w:rPr>
          <w:sz w:val="18"/>
        </w:rPr>
        <w:t>16</w:t>
      </w:r>
      <w:r>
        <w:rPr>
          <w:spacing w:val="1"/>
          <w:sz w:val="18"/>
        </w:rPr>
        <w:t xml:space="preserve"> </w:t>
      </w:r>
      <w:r>
        <w:rPr>
          <w:sz w:val="18"/>
        </w:rPr>
        <w:t>and</w:t>
      </w:r>
      <w:r>
        <w:rPr>
          <w:spacing w:val="-1"/>
          <w:sz w:val="18"/>
        </w:rPr>
        <w:t xml:space="preserve"> </w:t>
      </w:r>
      <w:r>
        <w:rPr>
          <w:spacing w:val="-5"/>
          <w:sz w:val="18"/>
        </w:rPr>
        <w:t>17.</w:t>
      </w:r>
    </w:p>
    <w:p w14:paraId="7CB26177" w14:textId="77777777" w:rsidR="008A4099" w:rsidRDefault="006A6EE2">
      <w:pPr>
        <w:spacing w:before="24"/>
        <w:ind w:left="160"/>
        <w:rPr>
          <w:sz w:val="18"/>
        </w:rPr>
      </w:pPr>
      <w:r>
        <w:rPr>
          <w:sz w:val="18"/>
          <w:vertAlign w:val="superscript"/>
        </w:rPr>
        <w:t>411</w:t>
      </w:r>
      <w:r>
        <w:rPr>
          <w:sz w:val="18"/>
        </w:rPr>
        <w:t xml:space="preserve"> </w:t>
      </w:r>
      <w:r>
        <w:rPr>
          <w:i/>
          <w:sz w:val="18"/>
        </w:rPr>
        <w:t>Human Rights</w:t>
      </w:r>
      <w:r>
        <w:rPr>
          <w:i/>
          <w:spacing w:val="1"/>
          <w:sz w:val="18"/>
        </w:rPr>
        <w:t xml:space="preserve"> </w:t>
      </w:r>
      <w:r>
        <w:rPr>
          <w:i/>
          <w:sz w:val="18"/>
        </w:rPr>
        <w:t>Amendment</w:t>
      </w:r>
      <w:r>
        <w:rPr>
          <w:i/>
          <w:spacing w:val="-1"/>
          <w:sz w:val="18"/>
        </w:rPr>
        <w:t xml:space="preserve"> </w:t>
      </w:r>
      <w:r>
        <w:rPr>
          <w:i/>
          <w:sz w:val="18"/>
        </w:rPr>
        <w:t>Act</w:t>
      </w:r>
      <w:r>
        <w:rPr>
          <w:i/>
          <w:spacing w:val="1"/>
          <w:sz w:val="18"/>
        </w:rPr>
        <w:t xml:space="preserve"> </w:t>
      </w:r>
      <w:r>
        <w:rPr>
          <w:i/>
          <w:sz w:val="18"/>
        </w:rPr>
        <w:t>2016</w:t>
      </w:r>
      <w:r>
        <w:rPr>
          <w:i/>
          <w:spacing w:val="2"/>
          <w:sz w:val="18"/>
        </w:rPr>
        <w:t xml:space="preserve"> </w:t>
      </w:r>
      <w:r>
        <w:rPr>
          <w:sz w:val="18"/>
        </w:rPr>
        <w:t>(ACT)</w:t>
      </w:r>
      <w:r>
        <w:rPr>
          <w:spacing w:val="1"/>
          <w:sz w:val="18"/>
        </w:rPr>
        <w:t xml:space="preserve"> </w:t>
      </w:r>
      <w:r>
        <w:rPr>
          <w:sz w:val="18"/>
        </w:rPr>
        <w:t>s</w:t>
      </w:r>
      <w:r>
        <w:rPr>
          <w:spacing w:val="-2"/>
          <w:sz w:val="18"/>
        </w:rPr>
        <w:t xml:space="preserve"> </w:t>
      </w:r>
      <w:r>
        <w:rPr>
          <w:spacing w:val="-5"/>
          <w:sz w:val="18"/>
        </w:rPr>
        <w:t>8.</w:t>
      </w:r>
    </w:p>
    <w:p w14:paraId="7CB26178" w14:textId="77777777" w:rsidR="008A4099" w:rsidRDefault="006A6EE2">
      <w:pPr>
        <w:spacing w:before="23"/>
        <w:ind w:left="160"/>
        <w:rPr>
          <w:sz w:val="18"/>
        </w:rPr>
      </w:pPr>
      <w:r>
        <w:rPr>
          <w:sz w:val="18"/>
          <w:vertAlign w:val="superscript"/>
        </w:rPr>
        <w:t>412</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5"/>
          <w:sz w:val="18"/>
        </w:rPr>
        <w:t>36.</w:t>
      </w:r>
    </w:p>
    <w:p w14:paraId="7CB26179" w14:textId="77777777" w:rsidR="008A4099" w:rsidRDefault="006A6EE2">
      <w:pPr>
        <w:spacing w:before="24"/>
        <w:ind w:left="160"/>
        <w:rPr>
          <w:sz w:val="18"/>
        </w:rPr>
      </w:pPr>
      <w:r>
        <w:rPr>
          <w:sz w:val="18"/>
          <w:vertAlign w:val="superscript"/>
        </w:rPr>
        <w:t>413</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Recommendations</w:t>
      </w:r>
      <w:r>
        <w:rPr>
          <w:spacing w:val="-3"/>
          <w:sz w:val="18"/>
        </w:rPr>
        <w:t xml:space="preserve"> </w:t>
      </w:r>
      <w:r>
        <w:rPr>
          <w:sz w:val="18"/>
        </w:rPr>
        <w:t>15,</w:t>
      </w:r>
      <w:r>
        <w:rPr>
          <w:spacing w:val="-1"/>
          <w:sz w:val="18"/>
        </w:rPr>
        <w:t xml:space="preserve"> </w:t>
      </w:r>
      <w:r>
        <w:rPr>
          <w:sz w:val="18"/>
        </w:rPr>
        <w:t>16</w:t>
      </w:r>
      <w:r>
        <w:rPr>
          <w:spacing w:val="1"/>
          <w:sz w:val="18"/>
        </w:rPr>
        <w:t xml:space="preserve"> </w:t>
      </w:r>
      <w:r>
        <w:rPr>
          <w:sz w:val="18"/>
        </w:rPr>
        <w:t>and</w:t>
      </w:r>
      <w:r>
        <w:rPr>
          <w:spacing w:val="-1"/>
          <w:sz w:val="18"/>
        </w:rPr>
        <w:t xml:space="preserve"> </w:t>
      </w:r>
      <w:r>
        <w:rPr>
          <w:spacing w:val="-5"/>
          <w:sz w:val="18"/>
        </w:rPr>
        <w:t>17.</w:t>
      </w:r>
    </w:p>
    <w:p w14:paraId="7CB2617A" w14:textId="77777777" w:rsidR="008A4099" w:rsidRDefault="006A6EE2">
      <w:pPr>
        <w:spacing w:before="21"/>
        <w:ind w:left="160"/>
        <w:rPr>
          <w:sz w:val="18"/>
        </w:rPr>
      </w:pPr>
      <w:r>
        <w:rPr>
          <w:w w:val="105"/>
          <w:sz w:val="18"/>
          <w:vertAlign w:val="superscript"/>
        </w:rPr>
        <w:t>414</w:t>
      </w:r>
      <w:r>
        <w:rPr>
          <w:spacing w:val="1"/>
          <w:w w:val="105"/>
          <w:sz w:val="18"/>
        </w:rPr>
        <w:t xml:space="preserve"> </w:t>
      </w:r>
      <w:r>
        <w:rPr>
          <w:spacing w:val="-2"/>
          <w:w w:val="105"/>
          <w:sz w:val="18"/>
        </w:rPr>
        <w:t>Ibid.</w:t>
      </w:r>
    </w:p>
    <w:p w14:paraId="7CB2617B" w14:textId="77777777" w:rsidR="008A4099" w:rsidRDefault="006A6EE2">
      <w:pPr>
        <w:spacing w:before="23"/>
        <w:ind w:left="160"/>
        <w:rPr>
          <w:sz w:val="18"/>
        </w:rPr>
      </w:pPr>
      <w:r>
        <w:rPr>
          <w:sz w:val="18"/>
          <w:vertAlign w:val="superscript"/>
        </w:rPr>
        <w:t>415</w:t>
      </w:r>
      <w:r>
        <w:rPr>
          <w:spacing w:val="1"/>
          <w:sz w:val="18"/>
        </w:rPr>
        <w:t xml:space="preserve"> </w:t>
      </w:r>
      <w:r>
        <w:rPr>
          <w:sz w:val="18"/>
        </w:rPr>
        <w:t>Vic</w:t>
      </w:r>
      <w:r>
        <w:rPr>
          <w:spacing w:val="1"/>
          <w:sz w:val="18"/>
        </w:rPr>
        <w:t xml:space="preserve"> </w:t>
      </w:r>
      <w:r>
        <w:rPr>
          <w:sz w:val="18"/>
        </w:rPr>
        <w:t>Human</w:t>
      </w:r>
      <w:r>
        <w:rPr>
          <w:spacing w:val="2"/>
          <w:sz w:val="18"/>
        </w:rPr>
        <w:t xml:space="preserve"> </w:t>
      </w:r>
      <w:r>
        <w:rPr>
          <w:sz w:val="18"/>
        </w:rPr>
        <w:t>Rights</w:t>
      </w:r>
      <w:r>
        <w:rPr>
          <w:spacing w:val="3"/>
          <w:sz w:val="18"/>
        </w:rPr>
        <w:t xml:space="preserve"> </w:t>
      </w:r>
      <w:r>
        <w:rPr>
          <w:sz w:val="18"/>
        </w:rPr>
        <w:t>Charter</w:t>
      </w:r>
      <w:r>
        <w:rPr>
          <w:spacing w:val="2"/>
          <w:sz w:val="18"/>
        </w:rPr>
        <w:t xml:space="preserve"> </w:t>
      </w:r>
      <w:r>
        <w:rPr>
          <w:sz w:val="18"/>
        </w:rPr>
        <w:t>s</w:t>
      </w:r>
      <w:r>
        <w:rPr>
          <w:spacing w:val="-1"/>
          <w:sz w:val="18"/>
        </w:rPr>
        <w:t xml:space="preserve"> </w:t>
      </w:r>
      <w:r>
        <w:rPr>
          <w:spacing w:val="-2"/>
          <w:sz w:val="18"/>
        </w:rPr>
        <w:t>19(2).</w:t>
      </w:r>
    </w:p>
    <w:p w14:paraId="7CB2617C" w14:textId="77777777" w:rsidR="008A4099" w:rsidRDefault="006A6EE2">
      <w:pPr>
        <w:spacing w:before="23"/>
        <w:ind w:left="160"/>
        <w:rPr>
          <w:sz w:val="18"/>
        </w:rPr>
      </w:pPr>
      <w:r>
        <w:rPr>
          <w:sz w:val="18"/>
          <w:vertAlign w:val="superscript"/>
        </w:rPr>
        <w:t>416</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2004</w:t>
      </w:r>
      <w:r>
        <w:rPr>
          <w:i/>
          <w:spacing w:val="4"/>
          <w:sz w:val="18"/>
        </w:rPr>
        <w:t xml:space="preserve"> </w:t>
      </w:r>
      <w:r>
        <w:rPr>
          <w:sz w:val="18"/>
        </w:rPr>
        <w:t>(ACT)</w:t>
      </w:r>
      <w:r>
        <w:rPr>
          <w:spacing w:val="1"/>
          <w:sz w:val="18"/>
        </w:rPr>
        <w:t xml:space="preserve"> </w:t>
      </w:r>
      <w:r>
        <w:rPr>
          <w:sz w:val="18"/>
        </w:rPr>
        <w:t>s</w:t>
      </w:r>
      <w:r>
        <w:rPr>
          <w:spacing w:val="-2"/>
          <w:sz w:val="18"/>
        </w:rPr>
        <w:t xml:space="preserve"> 27(2).</w:t>
      </w:r>
    </w:p>
    <w:p w14:paraId="7CB2617D" w14:textId="77777777" w:rsidR="008A4099" w:rsidRDefault="006A6EE2">
      <w:pPr>
        <w:spacing w:before="24"/>
        <w:ind w:left="160"/>
        <w:rPr>
          <w:sz w:val="18"/>
        </w:rPr>
      </w:pPr>
      <w:r>
        <w:rPr>
          <w:sz w:val="18"/>
          <w:vertAlign w:val="superscript"/>
        </w:rPr>
        <w:t>417</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5"/>
          <w:sz w:val="18"/>
        </w:rPr>
        <w:t>28.</w:t>
      </w:r>
    </w:p>
    <w:p w14:paraId="7CB2617E" w14:textId="77777777" w:rsidR="008A4099" w:rsidRDefault="008A4099">
      <w:pPr>
        <w:rPr>
          <w:sz w:val="18"/>
        </w:rPr>
        <w:sectPr w:rsidR="008A4099" w:rsidSect="00D43B2D">
          <w:pgSz w:w="11910" w:h="16840"/>
          <w:pgMar w:top="980" w:right="760" w:bottom="940" w:left="1280" w:header="718" w:footer="753" w:gutter="0"/>
          <w:cols w:space="720"/>
        </w:sectPr>
      </w:pPr>
    </w:p>
    <w:p w14:paraId="7CB2617F" w14:textId="77777777" w:rsidR="008A4099" w:rsidRDefault="008A4099">
      <w:pPr>
        <w:pStyle w:val="BodyText"/>
        <w:spacing w:before="194"/>
      </w:pPr>
    </w:p>
    <w:p w14:paraId="7CB26180" w14:textId="77777777" w:rsidR="008A4099" w:rsidRDefault="006A6EE2">
      <w:pPr>
        <w:pStyle w:val="BodyText"/>
        <w:spacing w:line="242" w:lineRule="auto"/>
        <w:ind w:left="160" w:right="679"/>
        <w:jc w:val="both"/>
        <w:rPr>
          <w:sz w:val="13"/>
        </w:rPr>
      </w:pPr>
      <w:r>
        <w:t>requiring</w:t>
      </w:r>
      <w:r>
        <w:rPr>
          <w:spacing w:val="-14"/>
        </w:rPr>
        <w:t xml:space="preserve"> </w:t>
      </w:r>
      <w:r>
        <w:t>disclosure</w:t>
      </w:r>
      <w:r>
        <w:rPr>
          <w:spacing w:val="-14"/>
        </w:rPr>
        <w:t xml:space="preserve"> </w:t>
      </w:r>
      <w:r>
        <w:t>of</w:t>
      </w:r>
      <w:r>
        <w:rPr>
          <w:spacing w:val="-14"/>
        </w:rPr>
        <w:t xml:space="preserve"> </w:t>
      </w:r>
      <w:r>
        <w:t>customary</w:t>
      </w:r>
      <w:r>
        <w:rPr>
          <w:spacing w:val="-13"/>
        </w:rPr>
        <w:t xml:space="preserve"> </w:t>
      </w:r>
      <w:r>
        <w:t>knowledge</w:t>
      </w:r>
      <w:r>
        <w:rPr>
          <w:spacing w:val="-14"/>
        </w:rPr>
        <w:t xml:space="preserve"> </w:t>
      </w:r>
      <w:r>
        <w:t>would</w:t>
      </w:r>
      <w:r>
        <w:rPr>
          <w:spacing w:val="-14"/>
        </w:rPr>
        <w:t xml:space="preserve"> </w:t>
      </w:r>
      <w:r>
        <w:t>limit</w:t>
      </w:r>
      <w:r>
        <w:rPr>
          <w:spacing w:val="-14"/>
        </w:rPr>
        <w:t xml:space="preserve"> </w:t>
      </w:r>
      <w:r>
        <w:t>the</w:t>
      </w:r>
      <w:r>
        <w:rPr>
          <w:spacing w:val="-13"/>
        </w:rPr>
        <w:t xml:space="preserve"> </w:t>
      </w:r>
      <w:r>
        <w:t>rights</w:t>
      </w:r>
      <w:r>
        <w:rPr>
          <w:spacing w:val="-14"/>
        </w:rPr>
        <w:t xml:space="preserve"> </w:t>
      </w:r>
      <w:r>
        <w:t>of</w:t>
      </w:r>
      <w:r>
        <w:rPr>
          <w:spacing w:val="-14"/>
        </w:rPr>
        <w:t xml:space="preserve"> </w:t>
      </w:r>
      <w:r>
        <w:t>Torres</w:t>
      </w:r>
      <w:r>
        <w:rPr>
          <w:spacing w:val="-14"/>
        </w:rPr>
        <w:t xml:space="preserve"> </w:t>
      </w:r>
      <w:r>
        <w:t>Strait</w:t>
      </w:r>
      <w:r>
        <w:rPr>
          <w:spacing w:val="-13"/>
        </w:rPr>
        <w:t xml:space="preserve"> </w:t>
      </w:r>
      <w:r>
        <w:t>Islanders</w:t>
      </w:r>
      <w:r>
        <w:rPr>
          <w:spacing w:val="-14"/>
        </w:rPr>
        <w:t xml:space="preserve"> </w:t>
      </w:r>
      <w:r>
        <w:t>to</w:t>
      </w:r>
      <w:r>
        <w:rPr>
          <w:spacing w:val="-14"/>
        </w:rPr>
        <w:t xml:space="preserve"> </w:t>
      </w:r>
      <w:r>
        <w:t>preserve their</w:t>
      </w:r>
      <w:r>
        <w:rPr>
          <w:spacing w:val="-4"/>
        </w:rPr>
        <w:t xml:space="preserve"> </w:t>
      </w:r>
      <w:r>
        <w:t>culture.</w:t>
      </w:r>
      <w:r>
        <w:rPr>
          <w:spacing w:val="-4"/>
        </w:rPr>
        <w:t xml:space="preserve"> </w:t>
      </w:r>
      <w:r>
        <w:t>The</w:t>
      </w:r>
      <w:r>
        <w:rPr>
          <w:spacing w:val="-4"/>
        </w:rPr>
        <w:t xml:space="preserve"> </w:t>
      </w:r>
      <w:r>
        <w:t>statement</w:t>
      </w:r>
      <w:r>
        <w:rPr>
          <w:spacing w:val="-3"/>
        </w:rPr>
        <w:t xml:space="preserve"> </w:t>
      </w:r>
      <w:r>
        <w:t>concluded</w:t>
      </w:r>
      <w:r>
        <w:rPr>
          <w:spacing w:val="-4"/>
        </w:rPr>
        <w:t xml:space="preserve"> </w:t>
      </w:r>
      <w:r>
        <w:t>that</w:t>
      </w:r>
      <w:r>
        <w:rPr>
          <w:spacing w:val="-4"/>
        </w:rPr>
        <w:t xml:space="preserve"> </w:t>
      </w:r>
      <w:r>
        <w:t>the</w:t>
      </w:r>
      <w:r>
        <w:rPr>
          <w:spacing w:val="-4"/>
        </w:rPr>
        <w:t xml:space="preserve"> </w:t>
      </w:r>
      <w:r>
        <w:t>limits</w:t>
      </w:r>
      <w:r>
        <w:rPr>
          <w:spacing w:val="-4"/>
        </w:rPr>
        <w:t xml:space="preserve"> </w:t>
      </w:r>
      <w:r>
        <w:t>were</w:t>
      </w:r>
      <w:r>
        <w:rPr>
          <w:spacing w:val="-4"/>
        </w:rPr>
        <w:t xml:space="preserve"> </w:t>
      </w:r>
      <w:r>
        <w:t>reasonable</w:t>
      </w:r>
      <w:r>
        <w:rPr>
          <w:spacing w:val="-2"/>
        </w:rPr>
        <w:t xml:space="preserve"> </w:t>
      </w:r>
      <w:r>
        <w:t>and</w:t>
      </w:r>
      <w:r>
        <w:rPr>
          <w:spacing w:val="-5"/>
        </w:rPr>
        <w:t xml:space="preserve"> </w:t>
      </w:r>
      <w:r>
        <w:t>justified</w:t>
      </w:r>
      <w:r>
        <w:rPr>
          <w:spacing w:val="-4"/>
        </w:rPr>
        <w:t xml:space="preserve"> </w:t>
      </w:r>
      <w:r>
        <w:t>to</w:t>
      </w:r>
      <w:r>
        <w:rPr>
          <w:spacing w:val="-5"/>
        </w:rPr>
        <w:t xml:space="preserve"> </w:t>
      </w:r>
      <w:r>
        <w:t>protect</w:t>
      </w:r>
      <w:r>
        <w:rPr>
          <w:spacing w:val="-3"/>
        </w:rPr>
        <w:t xml:space="preserve"> </w:t>
      </w:r>
      <w:r>
        <w:t>the</w:t>
      </w:r>
      <w:r>
        <w:rPr>
          <w:spacing w:val="-4"/>
        </w:rPr>
        <w:t xml:space="preserve"> </w:t>
      </w:r>
      <w:r>
        <w:t>rights of Torres Strait Islander families and children engaged in customary adoption.</w:t>
      </w:r>
      <w:r>
        <w:rPr>
          <w:position w:val="7"/>
          <w:sz w:val="13"/>
        </w:rPr>
        <w:t>418</w:t>
      </w:r>
    </w:p>
    <w:p w14:paraId="7CB26181" w14:textId="77777777" w:rsidR="008A4099" w:rsidRDefault="006A6EE2">
      <w:pPr>
        <w:pStyle w:val="ListParagraph"/>
        <w:numPr>
          <w:ilvl w:val="2"/>
          <w:numId w:val="3"/>
        </w:numPr>
        <w:tabs>
          <w:tab w:val="left" w:pos="879"/>
        </w:tabs>
        <w:spacing w:before="214"/>
        <w:ind w:right="673" w:firstLine="0"/>
        <w:jc w:val="both"/>
      </w:pPr>
      <w:r>
        <w:t>In Queensland, cultural rights have also been relied upon by traditional custodians of land to protect their rights to perform ceremonies on land leased to Bravus (Adani) for its mining operations. Wangan</w:t>
      </w:r>
      <w:r>
        <w:rPr>
          <w:spacing w:val="-5"/>
        </w:rPr>
        <w:t xml:space="preserve"> </w:t>
      </w:r>
      <w:r>
        <w:t>and</w:t>
      </w:r>
      <w:r>
        <w:rPr>
          <w:spacing w:val="-7"/>
        </w:rPr>
        <w:t xml:space="preserve"> </w:t>
      </w:r>
      <w:r>
        <w:t>Jagalingou</w:t>
      </w:r>
      <w:r>
        <w:rPr>
          <w:spacing w:val="-7"/>
        </w:rPr>
        <w:t xml:space="preserve"> </w:t>
      </w:r>
      <w:r>
        <w:t>community</w:t>
      </w:r>
      <w:r>
        <w:rPr>
          <w:spacing w:val="-7"/>
        </w:rPr>
        <w:t xml:space="preserve"> </w:t>
      </w:r>
      <w:r>
        <w:t>leader,</w:t>
      </w:r>
      <w:r>
        <w:rPr>
          <w:spacing w:val="-5"/>
        </w:rPr>
        <w:t xml:space="preserve"> </w:t>
      </w:r>
      <w:r>
        <w:t>Adrian</w:t>
      </w:r>
      <w:r>
        <w:rPr>
          <w:spacing w:val="-4"/>
        </w:rPr>
        <w:t xml:space="preserve"> </w:t>
      </w:r>
      <w:r>
        <w:t>Burragubba,</w:t>
      </w:r>
      <w:r>
        <w:rPr>
          <w:spacing w:val="-7"/>
        </w:rPr>
        <w:t xml:space="preserve"> </w:t>
      </w:r>
      <w:r>
        <w:t>filed</w:t>
      </w:r>
      <w:r>
        <w:rPr>
          <w:spacing w:val="-7"/>
        </w:rPr>
        <w:t xml:space="preserve"> </w:t>
      </w:r>
      <w:r>
        <w:t>a</w:t>
      </w:r>
      <w:r>
        <w:rPr>
          <w:spacing w:val="-7"/>
        </w:rPr>
        <w:t xml:space="preserve"> </w:t>
      </w:r>
      <w:r>
        <w:t>complaint</w:t>
      </w:r>
      <w:r>
        <w:rPr>
          <w:spacing w:val="-6"/>
        </w:rPr>
        <w:t xml:space="preserve"> </w:t>
      </w:r>
      <w:r>
        <w:t>with</w:t>
      </w:r>
      <w:r>
        <w:rPr>
          <w:spacing w:val="-7"/>
        </w:rPr>
        <w:t xml:space="preserve"> </w:t>
      </w:r>
      <w:r>
        <w:t>the</w:t>
      </w:r>
      <w:r>
        <w:rPr>
          <w:spacing w:val="-4"/>
        </w:rPr>
        <w:t xml:space="preserve"> </w:t>
      </w:r>
      <w:r>
        <w:t>QHRC</w:t>
      </w:r>
      <w:r>
        <w:rPr>
          <w:spacing w:val="-6"/>
        </w:rPr>
        <w:t xml:space="preserve"> </w:t>
      </w:r>
      <w:r>
        <w:t>after police</w:t>
      </w:r>
      <w:r>
        <w:rPr>
          <w:spacing w:val="-14"/>
        </w:rPr>
        <w:t xml:space="preserve"> </w:t>
      </w:r>
      <w:r>
        <w:t>asked</w:t>
      </w:r>
      <w:r>
        <w:rPr>
          <w:spacing w:val="-14"/>
        </w:rPr>
        <w:t xml:space="preserve"> </w:t>
      </w:r>
      <w:r>
        <w:t>a</w:t>
      </w:r>
      <w:r>
        <w:rPr>
          <w:spacing w:val="-14"/>
        </w:rPr>
        <w:t xml:space="preserve"> </w:t>
      </w:r>
      <w:r>
        <w:t>group</w:t>
      </w:r>
      <w:r>
        <w:rPr>
          <w:spacing w:val="-13"/>
        </w:rPr>
        <w:t xml:space="preserve"> </w:t>
      </w:r>
      <w:r>
        <w:t>conducting</w:t>
      </w:r>
      <w:r>
        <w:rPr>
          <w:spacing w:val="-14"/>
        </w:rPr>
        <w:t xml:space="preserve"> </w:t>
      </w:r>
      <w:r>
        <w:t>ceremonies</w:t>
      </w:r>
      <w:r>
        <w:rPr>
          <w:spacing w:val="-14"/>
        </w:rPr>
        <w:t xml:space="preserve"> </w:t>
      </w:r>
      <w:r>
        <w:t>on</w:t>
      </w:r>
      <w:r>
        <w:rPr>
          <w:spacing w:val="-14"/>
        </w:rPr>
        <w:t xml:space="preserve"> </w:t>
      </w:r>
      <w:r>
        <w:t>the</w:t>
      </w:r>
      <w:r>
        <w:rPr>
          <w:spacing w:val="-13"/>
        </w:rPr>
        <w:t xml:space="preserve"> </w:t>
      </w:r>
      <w:r>
        <w:t>site</w:t>
      </w:r>
      <w:r>
        <w:rPr>
          <w:spacing w:val="-14"/>
        </w:rPr>
        <w:t xml:space="preserve"> </w:t>
      </w:r>
      <w:r>
        <w:t>to</w:t>
      </w:r>
      <w:r>
        <w:rPr>
          <w:spacing w:val="-14"/>
        </w:rPr>
        <w:t xml:space="preserve"> </w:t>
      </w:r>
      <w:r>
        <w:t>leave.</w:t>
      </w:r>
      <w:r>
        <w:rPr>
          <w:spacing w:val="-14"/>
        </w:rPr>
        <w:t xml:space="preserve"> </w:t>
      </w:r>
      <w:r>
        <w:t>Following</w:t>
      </w:r>
      <w:r>
        <w:rPr>
          <w:spacing w:val="-13"/>
        </w:rPr>
        <w:t xml:space="preserve"> </w:t>
      </w:r>
      <w:r>
        <w:t>conciliation,</w:t>
      </w:r>
      <w:r>
        <w:rPr>
          <w:spacing w:val="-14"/>
        </w:rPr>
        <w:t xml:space="preserve"> </w:t>
      </w:r>
      <w:r>
        <w:t>the</w:t>
      </w:r>
      <w:r>
        <w:rPr>
          <w:spacing w:val="-13"/>
        </w:rPr>
        <w:t xml:space="preserve"> </w:t>
      </w:r>
      <w:r>
        <w:t>Queensland Police Service issued a public apology to Mr Burragubba.</w:t>
      </w:r>
      <w:r>
        <w:rPr>
          <w:position w:val="7"/>
          <w:sz w:val="13"/>
        </w:rPr>
        <w:t>419</w:t>
      </w:r>
      <w:r>
        <w:rPr>
          <w:spacing w:val="40"/>
          <w:position w:val="7"/>
          <w:sz w:val="13"/>
        </w:rPr>
        <w:t xml:space="preserve"> </w:t>
      </w:r>
      <w:r>
        <w:t>Queensland Police subsequently recognised</w:t>
      </w:r>
      <w:r>
        <w:rPr>
          <w:spacing w:val="-8"/>
        </w:rPr>
        <w:t xml:space="preserve"> </w:t>
      </w:r>
      <w:r>
        <w:t>that</w:t>
      </w:r>
      <w:r>
        <w:rPr>
          <w:spacing w:val="-5"/>
        </w:rPr>
        <w:t xml:space="preserve"> </w:t>
      </w:r>
      <w:r>
        <w:t>the</w:t>
      </w:r>
      <w:r>
        <w:rPr>
          <w:spacing w:val="-6"/>
        </w:rPr>
        <w:t xml:space="preserve"> </w:t>
      </w:r>
      <w:r>
        <w:t>men</w:t>
      </w:r>
      <w:r>
        <w:rPr>
          <w:spacing w:val="-6"/>
        </w:rPr>
        <w:t xml:space="preserve"> </w:t>
      </w:r>
      <w:r>
        <w:t>were</w:t>
      </w:r>
      <w:r>
        <w:rPr>
          <w:spacing w:val="-6"/>
        </w:rPr>
        <w:t xml:space="preserve"> </w:t>
      </w:r>
      <w:r>
        <w:t>practising</w:t>
      </w:r>
      <w:r>
        <w:rPr>
          <w:spacing w:val="-9"/>
        </w:rPr>
        <w:t xml:space="preserve"> </w:t>
      </w:r>
      <w:r>
        <w:t>cultural</w:t>
      </w:r>
      <w:r>
        <w:rPr>
          <w:spacing w:val="-7"/>
        </w:rPr>
        <w:t xml:space="preserve"> </w:t>
      </w:r>
      <w:r>
        <w:t>rights</w:t>
      </w:r>
      <w:r>
        <w:rPr>
          <w:spacing w:val="-8"/>
        </w:rPr>
        <w:t xml:space="preserve"> </w:t>
      </w:r>
      <w:r>
        <w:t>and</w:t>
      </w:r>
      <w:r>
        <w:rPr>
          <w:spacing w:val="-6"/>
        </w:rPr>
        <w:t xml:space="preserve"> </w:t>
      </w:r>
      <w:r>
        <w:t>declined</w:t>
      </w:r>
      <w:r>
        <w:rPr>
          <w:spacing w:val="-8"/>
        </w:rPr>
        <w:t xml:space="preserve"> </w:t>
      </w:r>
      <w:r>
        <w:t>to</w:t>
      </w:r>
      <w:r>
        <w:rPr>
          <w:spacing w:val="-9"/>
        </w:rPr>
        <w:t xml:space="preserve"> </w:t>
      </w:r>
      <w:r>
        <w:t>remove</w:t>
      </w:r>
      <w:r>
        <w:rPr>
          <w:spacing w:val="-8"/>
        </w:rPr>
        <w:t xml:space="preserve"> </w:t>
      </w:r>
      <w:r>
        <w:t>them</w:t>
      </w:r>
      <w:r>
        <w:rPr>
          <w:spacing w:val="-5"/>
        </w:rPr>
        <w:t xml:space="preserve"> </w:t>
      </w:r>
      <w:r>
        <w:t>from</w:t>
      </w:r>
      <w:r>
        <w:rPr>
          <w:spacing w:val="-5"/>
        </w:rPr>
        <w:t xml:space="preserve"> </w:t>
      </w:r>
      <w:r>
        <w:t>the</w:t>
      </w:r>
      <w:r>
        <w:rPr>
          <w:spacing w:val="-6"/>
        </w:rPr>
        <w:t xml:space="preserve"> </w:t>
      </w:r>
      <w:r>
        <w:t>site</w:t>
      </w:r>
      <w:r>
        <w:rPr>
          <w:spacing w:val="-8"/>
        </w:rPr>
        <w:t xml:space="preserve"> </w:t>
      </w:r>
      <w:r>
        <w:t>while it was not necessary to do so.</w:t>
      </w:r>
      <w:r>
        <w:rPr>
          <w:position w:val="7"/>
          <w:sz w:val="13"/>
        </w:rPr>
        <w:t>420</w:t>
      </w:r>
      <w:r>
        <w:rPr>
          <w:spacing w:val="33"/>
          <w:position w:val="7"/>
          <w:sz w:val="13"/>
        </w:rPr>
        <w:t xml:space="preserve"> </w:t>
      </w:r>
      <w:r>
        <w:t>In relation to this, the Queensland Human Rights commissioner said that the outcome</w:t>
      </w:r>
    </w:p>
    <w:p w14:paraId="7CB26182" w14:textId="77777777" w:rsidR="008A4099" w:rsidRDefault="006A6EE2">
      <w:pPr>
        <w:pStyle w:val="BodyText"/>
        <w:spacing w:before="237" w:line="276" w:lineRule="auto"/>
        <w:ind w:left="868" w:right="1343"/>
        <w:jc w:val="both"/>
        <w:rPr>
          <w:sz w:val="13"/>
        </w:rPr>
      </w:pPr>
      <w:r>
        <w:t>indicates</w:t>
      </w:r>
      <w:r>
        <w:rPr>
          <w:spacing w:val="-4"/>
        </w:rPr>
        <w:t xml:space="preserve"> </w:t>
      </w:r>
      <w:r>
        <w:t>a</w:t>
      </w:r>
      <w:r>
        <w:rPr>
          <w:spacing w:val="-2"/>
        </w:rPr>
        <w:t xml:space="preserve"> </w:t>
      </w:r>
      <w:r>
        <w:t>strong</w:t>
      </w:r>
      <w:r>
        <w:rPr>
          <w:spacing w:val="-5"/>
        </w:rPr>
        <w:t xml:space="preserve"> </w:t>
      </w:r>
      <w:r>
        <w:t>commitment</w:t>
      </w:r>
      <w:r>
        <w:rPr>
          <w:spacing w:val="-4"/>
        </w:rPr>
        <w:t xml:space="preserve"> </w:t>
      </w:r>
      <w:r>
        <w:t>by</w:t>
      </w:r>
      <w:r>
        <w:rPr>
          <w:spacing w:val="-5"/>
        </w:rPr>
        <w:t xml:space="preserve"> </w:t>
      </w:r>
      <w:r>
        <w:t>the</w:t>
      </w:r>
      <w:r>
        <w:rPr>
          <w:spacing w:val="-2"/>
        </w:rPr>
        <w:t xml:space="preserve"> </w:t>
      </w:r>
      <w:r>
        <w:t>Queensland</w:t>
      </w:r>
      <w:r>
        <w:rPr>
          <w:spacing w:val="-2"/>
        </w:rPr>
        <w:t xml:space="preserve"> </w:t>
      </w:r>
      <w:r>
        <w:t>Police</w:t>
      </w:r>
      <w:r>
        <w:rPr>
          <w:spacing w:val="-2"/>
        </w:rPr>
        <w:t xml:space="preserve"> </w:t>
      </w:r>
      <w:r>
        <w:t>Service</w:t>
      </w:r>
      <w:r>
        <w:rPr>
          <w:spacing w:val="-4"/>
        </w:rPr>
        <w:t xml:space="preserve"> </w:t>
      </w:r>
      <w:r>
        <w:t>to</w:t>
      </w:r>
      <w:r>
        <w:rPr>
          <w:spacing w:val="-5"/>
        </w:rPr>
        <w:t xml:space="preserve"> </w:t>
      </w:r>
      <w:r>
        <w:t>uphold</w:t>
      </w:r>
      <w:r>
        <w:rPr>
          <w:spacing w:val="-5"/>
        </w:rPr>
        <w:t xml:space="preserve"> </w:t>
      </w:r>
      <w:r>
        <w:t>the</w:t>
      </w:r>
      <w:r>
        <w:rPr>
          <w:spacing w:val="-4"/>
        </w:rPr>
        <w:t xml:space="preserve"> </w:t>
      </w:r>
      <w:r>
        <w:t>cultural rights of Aboriginal peoples and Torres Strait Islander peoples and demonstrates the value of the [Human Rights] Act for Queensland’s First Nations peoples.</w:t>
      </w:r>
      <w:r>
        <w:rPr>
          <w:position w:val="7"/>
          <w:sz w:val="13"/>
        </w:rPr>
        <w:t>421</w:t>
      </w:r>
    </w:p>
    <w:p w14:paraId="7CB26183" w14:textId="77777777" w:rsidR="008A4099" w:rsidRDefault="006A6EE2">
      <w:pPr>
        <w:pStyle w:val="Heading3"/>
        <w:spacing w:before="239"/>
      </w:pPr>
      <w:r>
        <w:t>TLRI’s</w:t>
      </w:r>
      <w:r>
        <w:rPr>
          <w:spacing w:val="-5"/>
        </w:rPr>
        <w:t xml:space="preserve"> </w:t>
      </w:r>
      <w:r>
        <w:t>current</w:t>
      </w:r>
      <w:r>
        <w:rPr>
          <w:spacing w:val="-3"/>
        </w:rPr>
        <w:t xml:space="preserve"> </w:t>
      </w:r>
      <w:r>
        <w:rPr>
          <w:spacing w:val="-4"/>
        </w:rPr>
        <w:t>views</w:t>
      </w:r>
    </w:p>
    <w:p w14:paraId="7CB26184" w14:textId="77777777" w:rsidR="008A4099" w:rsidRDefault="006A6EE2">
      <w:pPr>
        <w:pStyle w:val="ListParagraph"/>
        <w:numPr>
          <w:ilvl w:val="2"/>
          <w:numId w:val="3"/>
        </w:numPr>
        <w:tabs>
          <w:tab w:val="left" w:pos="935"/>
        </w:tabs>
        <w:spacing w:before="259"/>
        <w:ind w:right="673" w:firstLine="0"/>
        <w:jc w:val="both"/>
        <w:rPr>
          <w:sz w:val="13"/>
        </w:rPr>
      </w:pPr>
      <w:r>
        <w:t xml:space="preserve">The approach in Queensland and Victoria accords with the TLRI’s 2007 recommendation to include distinct protection of the rights of First Nations people in a Tasmanian human rights </w:t>
      </w:r>
      <w:r>
        <w:rPr>
          <w:spacing w:val="-2"/>
        </w:rPr>
        <w:t>enactment.</w:t>
      </w:r>
      <w:r>
        <w:rPr>
          <w:spacing w:val="-2"/>
          <w:position w:val="7"/>
          <w:sz w:val="13"/>
        </w:rPr>
        <w:t>422</w:t>
      </w:r>
    </w:p>
    <w:p w14:paraId="7CB26185" w14:textId="77777777" w:rsidR="008A4099" w:rsidRDefault="006A6EE2">
      <w:pPr>
        <w:pStyle w:val="ListParagraph"/>
        <w:numPr>
          <w:ilvl w:val="2"/>
          <w:numId w:val="3"/>
        </w:numPr>
        <w:tabs>
          <w:tab w:val="left" w:pos="879"/>
        </w:tabs>
        <w:spacing w:before="217"/>
        <w:ind w:right="673" w:firstLine="0"/>
        <w:jc w:val="both"/>
      </w:pPr>
      <w:r>
        <w:t>In Tasmania, a clear expression of cultural rights might usefully have informed public debate in several areas, including proposals to reopen four-wheel drive tracks within the Aboriginal Cultural Heritage Landscape in the northwest of Tasmania and development within the Tasmanian Wilderness World</w:t>
      </w:r>
      <w:r>
        <w:rPr>
          <w:spacing w:val="-12"/>
        </w:rPr>
        <w:t xml:space="preserve"> </w:t>
      </w:r>
      <w:r>
        <w:t>Heritage</w:t>
      </w:r>
      <w:r>
        <w:rPr>
          <w:spacing w:val="-11"/>
        </w:rPr>
        <w:t xml:space="preserve"> </w:t>
      </w:r>
      <w:r>
        <w:t>Area.</w:t>
      </w:r>
      <w:r>
        <w:rPr>
          <w:spacing w:val="-14"/>
        </w:rPr>
        <w:t xml:space="preserve"> </w:t>
      </w:r>
      <w:r>
        <w:t>The</w:t>
      </w:r>
      <w:r>
        <w:rPr>
          <w:spacing w:val="-14"/>
        </w:rPr>
        <w:t xml:space="preserve"> </w:t>
      </w:r>
      <w:r>
        <w:t>implementation</w:t>
      </w:r>
      <w:r>
        <w:rPr>
          <w:spacing w:val="-12"/>
        </w:rPr>
        <w:t xml:space="preserve"> </w:t>
      </w:r>
      <w:r>
        <w:t>of</w:t>
      </w:r>
      <w:r>
        <w:rPr>
          <w:spacing w:val="-14"/>
        </w:rPr>
        <w:t xml:space="preserve"> </w:t>
      </w:r>
      <w:r>
        <w:t>the</w:t>
      </w:r>
      <w:r>
        <w:rPr>
          <w:spacing w:val="-14"/>
        </w:rPr>
        <w:t xml:space="preserve"> </w:t>
      </w:r>
      <w:r>
        <w:t>recommendations</w:t>
      </w:r>
      <w:r>
        <w:rPr>
          <w:spacing w:val="-13"/>
        </w:rPr>
        <w:t xml:space="preserve"> </w:t>
      </w:r>
      <w:r>
        <w:t>in</w:t>
      </w:r>
      <w:r>
        <w:rPr>
          <w:spacing w:val="-10"/>
        </w:rPr>
        <w:t xml:space="preserve"> </w:t>
      </w:r>
      <w:r>
        <w:t>the</w:t>
      </w:r>
      <w:r>
        <w:rPr>
          <w:spacing w:val="-11"/>
        </w:rPr>
        <w:t xml:space="preserve"> </w:t>
      </w:r>
      <w:r>
        <w:rPr>
          <w:i/>
        </w:rPr>
        <w:t>Pathway</w:t>
      </w:r>
      <w:r>
        <w:rPr>
          <w:i/>
          <w:spacing w:val="-12"/>
        </w:rPr>
        <w:t xml:space="preserve"> </w:t>
      </w:r>
      <w:r>
        <w:rPr>
          <w:i/>
        </w:rPr>
        <w:t>to</w:t>
      </w:r>
      <w:r>
        <w:rPr>
          <w:i/>
          <w:spacing w:val="-12"/>
        </w:rPr>
        <w:t xml:space="preserve"> </w:t>
      </w:r>
      <w:r>
        <w:rPr>
          <w:i/>
        </w:rPr>
        <w:t>Truth-Telling</w:t>
      </w:r>
      <w:r>
        <w:rPr>
          <w:i/>
          <w:spacing w:val="-12"/>
        </w:rPr>
        <w:t xml:space="preserve"> </w:t>
      </w:r>
      <w:r>
        <w:rPr>
          <w:i/>
        </w:rPr>
        <w:t xml:space="preserve">and Treaty </w:t>
      </w:r>
      <w:r>
        <w:t>report</w:t>
      </w:r>
      <w:r>
        <w:rPr>
          <w:position w:val="7"/>
          <w:sz w:val="13"/>
        </w:rPr>
        <w:t>423</w:t>
      </w:r>
      <w:r>
        <w:rPr>
          <w:spacing w:val="40"/>
          <w:position w:val="7"/>
          <w:sz w:val="13"/>
        </w:rPr>
        <w:t xml:space="preserve"> </w:t>
      </w:r>
      <w:r>
        <w:t>might also potentially benefit from a formalised commitment by the Tasmanian Government to uphold human rights, as evidenced by the enactment of Tasmanian human rights legislation. Future discussion regarding cultural hunting and fishing, management of sea country, cultural burning, and return of land and artefacts to Aboriginal ownership may also benefit from a legislated right to maintain cultural practices.</w:t>
      </w:r>
    </w:p>
    <w:p w14:paraId="7CB26186" w14:textId="77777777" w:rsidR="008A4099" w:rsidRDefault="006A6EE2">
      <w:pPr>
        <w:pStyle w:val="ListParagraph"/>
        <w:numPr>
          <w:ilvl w:val="2"/>
          <w:numId w:val="3"/>
        </w:numPr>
        <w:tabs>
          <w:tab w:val="left" w:pos="879"/>
        </w:tabs>
        <w:spacing w:before="216"/>
        <w:ind w:left="879" w:hanging="719"/>
        <w:jc w:val="both"/>
      </w:pPr>
      <w:r>
        <w:t>The</w:t>
      </w:r>
      <w:r>
        <w:rPr>
          <w:spacing w:val="-4"/>
        </w:rPr>
        <w:t xml:space="preserve"> </w:t>
      </w:r>
      <w:r>
        <w:t>recommendation</w:t>
      </w:r>
      <w:r>
        <w:rPr>
          <w:spacing w:val="-3"/>
        </w:rPr>
        <w:t xml:space="preserve"> </w:t>
      </w:r>
      <w:r>
        <w:t>in</w:t>
      </w:r>
      <w:r>
        <w:rPr>
          <w:spacing w:val="-6"/>
        </w:rPr>
        <w:t xml:space="preserve"> </w:t>
      </w:r>
      <w:r>
        <w:t>relation</w:t>
      </w:r>
      <w:r>
        <w:rPr>
          <w:spacing w:val="-3"/>
        </w:rPr>
        <w:t xml:space="preserve"> </w:t>
      </w:r>
      <w:r>
        <w:t>to</w:t>
      </w:r>
      <w:r>
        <w:rPr>
          <w:spacing w:val="-6"/>
        </w:rPr>
        <w:t xml:space="preserve"> </w:t>
      </w:r>
      <w:r>
        <w:t>this</w:t>
      </w:r>
      <w:r>
        <w:rPr>
          <w:spacing w:val="-5"/>
        </w:rPr>
        <w:t xml:space="preserve"> </w:t>
      </w:r>
      <w:r>
        <w:t>issue</w:t>
      </w:r>
      <w:r>
        <w:rPr>
          <w:spacing w:val="-3"/>
        </w:rPr>
        <w:t xml:space="preserve"> </w:t>
      </w:r>
      <w:r>
        <w:t>is</w:t>
      </w:r>
      <w:r>
        <w:rPr>
          <w:spacing w:val="-4"/>
        </w:rPr>
        <w:t xml:space="preserve"> </w:t>
      </w:r>
      <w:r>
        <w:t>set</w:t>
      </w:r>
      <w:r>
        <w:rPr>
          <w:spacing w:val="-2"/>
        </w:rPr>
        <w:t xml:space="preserve"> </w:t>
      </w:r>
      <w:r>
        <w:t>out</w:t>
      </w:r>
      <w:r>
        <w:rPr>
          <w:spacing w:val="-5"/>
        </w:rPr>
        <w:t xml:space="preserve"> </w:t>
      </w:r>
      <w:r>
        <w:t>in</w:t>
      </w:r>
      <w:r>
        <w:rPr>
          <w:spacing w:val="-3"/>
        </w:rPr>
        <w:t xml:space="preserve"> </w:t>
      </w:r>
      <w:r>
        <w:t>Recommendation</w:t>
      </w:r>
      <w:r>
        <w:rPr>
          <w:spacing w:val="-3"/>
        </w:rPr>
        <w:t xml:space="preserve"> </w:t>
      </w:r>
      <w:r>
        <w:rPr>
          <w:spacing w:val="-5"/>
        </w:rPr>
        <w:t>7.</w:t>
      </w:r>
    </w:p>
    <w:p w14:paraId="7CB26187" w14:textId="77777777" w:rsidR="008A4099" w:rsidRDefault="006A6EE2">
      <w:pPr>
        <w:pStyle w:val="Heading4"/>
        <w:spacing w:before="235"/>
      </w:pPr>
      <w:bookmarkStart w:id="39" w:name="_TOC_250021"/>
      <w:r>
        <w:t>Right</w:t>
      </w:r>
      <w:r>
        <w:rPr>
          <w:spacing w:val="-2"/>
        </w:rPr>
        <w:t xml:space="preserve"> </w:t>
      </w:r>
      <w:r>
        <w:t>to</w:t>
      </w:r>
      <w:r>
        <w:rPr>
          <w:spacing w:val="1"/>
        </w:rPr>
        <w:t xml:space="preserve"> </w:t>
      </w:r>
      <w:bookmarkEnd w:id="39"/>
      <w:r>
        <w:rPr>
          <w:spacing w:val="-4"/>
        </w:rPr>
        <w:t>work</w:t>
      </w:r>
    </w:p>
    <w:p w14:paraId="7CB26188" w14:textId="77777777" w:rsidR="008A4099" w:rsidRDefault="008A4099">
      <w:pPr>
        <w:pStyle w:val="BodyText"/>
        <w:spacing w:before="15"/>
        <w:rPr>
          <w:b/>
          <w:i/>
          <w:sz w:val="23"/>
        </w:rPr>
      </w:pPr>
    </w:p>
    <w:p w14:paraId="7CB26189" w14:textId="77777777" w:rsidR="008A4099" w:rsidRDefault="006A6EE2">
      <w:pPr>
        <w:pStyle w:val="Heading3"/>
        <w:spacing w:before="1"/>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18A" w14:textId="77777777" w:rsidR="008A4099" w:rsidRDefault="006A6EE2">
      <w:pPr>
        <w:pStyle w:val="ListParagraph"/>
        <w:numPr>
          <w:ilvl w:val="2"/>
          <w:numId w:val="3"/>
        </w:numPr>
        <w:tabs>
          <w:tab w:val="left" w:pos="879"/>
        </w:tabs>
        <w:spacing w:before="263" w:line="235" w:lineRule="auto"/>
        <w:ind w:right="676" w:firstLine="0"/>
        <w:jc w:val="both"/>
        <w:rPr>
          <w:i/>
        </w:rPr>
      </w:pPr>
      <w:r>
        <w:t>The</w:t>
      </w:r>
      <w:r>
        <w:rPr>
          <w:spacing w:val="-12"/>
        </w:rPr>
        <w:t xml:space="preserve"> </w:t>
      </w:r>
      <w:r>
        <w:t>2007</w:t>
      </w:r>
      <w:r>
        <w:rPr>
          <w:spacing w:val="-12"/>
        </w:rPr>
        <w:t xml:space="preserve"> </w:t>
      </w:r>
      <w:r>
        <w:t>TLRI</w:t>
      </w:r>
      <w:r>
        <w:rPr>
          <w:spacing w:val="-13"/>
        </w:rPr>
        <w:t xml:space="preserve"> </w:t>
      </w:r>
      <w:r>
        <w:t>Final</w:t>
      </w:r>
      <w:r>
        <w:rPr>
          <w:spacing w:val="-11"/>
        </w:rPr>
        <w:t xml:space="preserve"> </w:t>
      </w:r>
      <w:r>
        <w:t>Report</w:t>
      </w:r>
      <w:r>
        <w:rPr>
          <w:spacing w:val="-11"/>
        </w:rPr>
        <w:t xml:space="preserve"> </w:t>
      </w:r>
      <w:r>
        <w:t>recommended</w:t>
      </w:r>
      <w:r>
        <w:rPr>
          <w:spacing w:val="-14"/>
        </w:rPr>
        <w:t xml:space="preserve"> </w:t>
      </w:r>
      <w:r>
        <w:t>that</w:t>
      </w:r>
      <w:r>
        <w:rPr>
          <w:spacing w:val="-13"/>
        </w:rPr>
        <w:t xml:space="preserve"> </w:t>
      </w:r>
      <w:r>
        <w:t>a</w:t>
      </w:r>
      <w:r>
        <w:rPr>
          <w:spacing w:val="-12"/>
        </w:rPr>
        <w:t xml:space="preserve"> </w:t>
      </w:r>
      <w:r>
        <w:t>Tasmanian</w:t>
      </w:r>
      <w:r>
        <w:rPr>
          <w:spacing w:val="-14"/>
        </w:rPr>
        <w:t xml:space="preserve"> </w:t>
      </w:r>
      <w:r>
        <w:t>Charter</w:t>
      </w:r>
      <w:r>
        <w:rPr>
          <w:spacing w:val="-11"/>
        </w:rPr>
        <w:t xml:space="preserve"> </w:t>
      </w:r>
      <w:r>
        <w:t>of</w:t>
      </w:r>
      <w:r>
        <w:rPr>
          <w:spacing w:val="-11"/>
        </w:rPr>
        <w:t xml:space="preserve"> </w:t>
      </w:r>
      <w:r>
        <w:t>Rights</w:t>
      </w:r>
      <w:r>
        <w:rPr>
          <w:spacing w:val="-14"/>
        </w:rPr>
        <w:t xml:space="preserve"> </w:t>
      </w:r>
      <w:r>
        <w:t>protect</w:t>
      </w:r>
      <w:r>
        <w:rPr>
          <w:spacing w:val="-13"/>
        </w:rPr>
        <w:t xml:space="preserve"> </w:t>
      </w:r>
      <w:r>
        <w:t>the</w:t>
      </w:r>
      <w:r>
        <w:rPr>
          <w:spacing w:val="-14"/>
        </w:rPr>
        <w:t xml:space="preserve"> </w:t>
      </w:r>
      <w:r>
        <w:t>right to</w:t>
      </w:r>
      <w:r>
        <w:rPr>
          <w:spacing w:val="-5"/>
        </w:rPr>
        <w:t xml:space="preserve"> </w:t>
      </w:r>
      <w:r>
        <w:t>work</w:t>
      </w:r>
      <w:r>
        <w:rPr>
          <w:spacing w:val="-7"/>
        </w:rPr>
        <w:t xml:space="preserve"> </w:t>
      </w:r>
      <w:r>
        <w:t>and</w:t>
      </w:r>
      <w:r>
        <w:rPr>
          <w:spacing w:val="-4"/>
        </w:rPr>
        <w:t xml:space="preserve"> </w:t>
      </w:r>
      <w:r>
        <w:t>associated</w:t>
      </w:r>
      <w:r>
        <w:rPr>
          <w:spacing w:val="-7"/>
        </w:rPr>
        <w:t xml:space="preserve"> </w:t>
      </w:r>
      <w:r>
        <w:t>just</w:t>
      </w:r>
      <w:r>
        <w:rPr>
          <w:spacing w:val="-6"/>
        </w:rPr>
        <w:t xml:space="preserve"> </w:t>
      </w:r>
      <w:r>
        <w:t>conditions</w:t>
      </w:r>
      <w:r>
        <w:rPr>
          <w:spacing w:val="-4"/>
        </w:rPr>
        <w:t xml:space="preserve"> </w:t>
      </w:r>
      <w:r>
        <w:t>of</w:t>
      </w:r>
      <w:r>
        <w:rPr>
          <w:spacing w:val="-4"/>
        </w:rPr>
        <w:t xml:space="preserve"> </w:t>
      </w:r>
      <w:r>
        <w:t>work</w:t>
      </w:r>
      <w:r>
        <w:rPr>
          <w:spacing w:val="-7"/>
        </w:rPr>
        <w:t xml:space="preserve"> </w:t>
      </w:r>
      <w:r>
        <w:t>consistent</w:t>
      </w:r>
      <w:r>
        <w:rPr>
          <w:spacing w:val="-4"/>
        </w:rPr>
        <w:t xml:space="preserve"> </w:t>
      </w:r>
      <w:r>
        <w:t>with</w:t>
      </w:r>
      <w:r>
        <w:rPr>
          <w:spacing w:val="-5"/>
        </w:rPr>
        <w:t xml:space="preserve"> </w:t>
      </w:r>
      <w:r>
        <w:t>the</w:t>
      </w:r>
      <w:r>
        <w:rPr>
          <w:spacing w:val="-1"/>
        </w:rPr>
        <w:t xml:space="preserve"> </w:t>
      </w:r>
      <w:r>
        <w:rPr>
          <w:i/>
        </w:rPr>
        <w:t>International</w:t>
      </w:r>
      <w:r>
        <w:rPr>
          <w:i/>
          <w:spacing w:val="-4"/>
        </w:rPr>
        <w:t xml:space="preserve"> </w:t>
      </w:r>
      <w:r>
        <w:rPr>
          <w:i/>
        </w:rPr>
        <w:t>Covenant</w:t>
      </w:r>
      <w:r>
        <w:rPr>
          <w:i/>
          <w:spacing w:val="-4"/>
        </w:rPr>
        <w:t xml:space="preserve"> </w:t>
      </w:r>
      <w:r>
        <w:rPr>
          <w:i/>
        </w:rPr>
        <w:t>on</w:t>
      </w:r>
      <w:r>
        <w:rPr>
          <w:i/>
          <w:spacing w:val="-5"/>
        </w:rPr>
        <w:t xml:space="preserve"> </w:t>
      </w:r>
      <w:r>
        <w:rPr>
          <w:i/>
        </w:rPr>
        <w:t>Civil</w:t>
      </w:r>
      <w:r>
        <w:rPr>
          <w:i/>
          <w:spacing w:val="-4"/>
        </w:rPr>
        <w:t xml:space="preserve"> </w:t>
      </w:r>
      <w:r>
        <w:rPr>
          <w:i/>
        </w:rPr>
        <w:t>and</w:t>
      </w:r>
    </w:p>
    <w:p w14:paraId="7CB2618B" w14:textId="77777777" w:rsidR="008A4099" w:rsidRDefault="008A4099">
      <w:pPr>
        <w:pStyle w:val="BodyText"/>
        <w:rPr>
          <w:i/>
          <w:sz w:val="20"/>
        </w:rPr>
      </w:pPr>
    </w:p>
    <w:p w14:paraId="7CB2618C" w14:textId="77777777" w:rsidR="008A4099" w:rsidRDefault="006A6EE2">
      <w:pPr>
        <w:pStyle w:val="BodyText"/>
        <w:spacing w:before="26"/>
        <w:rPr>
          <w:i/>
          <w:sz w:val="20"/>
        </w:rPr>
      </w:pPr>
      <w:r>
        <w:rPr>
          <w:noProof/>
        </w:rPr>
        <mc:AlternateContent>
          <mc:Choice Requires="wps">
            <w:drawing>
              <wp:anchor distT="0" distB="0" distL="0" distR="0" simplePos="0" relativeHeight="487624704" behindDoc="1" locked="0" layoutInCell="1" allowOverlap="1" wp14:anchorId="7CB26669" wp14:editId="7CB2666A">
                <wp:simplePos x="0" y="0"/>
                <wp:positionH relativeFrom="page">
                  <wp:posOffset>914704</wp:posOffset>
                </wp:positionH>
                <wp:positionV relativeFrom="paragraph">
                  <wp:posOffset>178379</wp:posOffset>
                </wp:positionV>
                <wp:extent cx="1829435" cy="762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BB570C" id="Graphic 120" o:spid="_x0000_s1026" style="position:absolute;margin-left:1in;margin-top:14.05pt;width:144.05pt;height:.6pt;z-index:-156917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" path="m1829054,l,,,7620r1829054,l1829054,xe" fillcolor="black" stroked="f">
                <v:path arrowok="t"/>
                <w10:wrap type="topAndBottom" anchorx="page"/>
              </v:shape>
            </w:pict>
          </mc:Fallback>
        </mc:AlternateContent>
      </w:r>
    </w:p>
    <w:p w14:paraId="7CB2618D" w14:textId="77777777" w:rsidR="008A4099" w:rsidRDefault="006A6EE2">
      <w:pPr>
        <w:spacing w:before="112" w:line="244" w:lineRule="auto"/>
        <w:ind w:left="160"/>
        <w:rPr>
          <w:sz w:val="18"/>
        </w:rPr>
      </w:pPr>
      <w:r>
        <w:rPr>
          <w:sz w:val="18"/>
          <w:vertAlign w:val="superscript"/>
        </w:rPr>
        <w:t>418</w:t>
      </w:r>
      <w:r>
        <w:rPr>
          <w:sz w:val="18"/>
        </w:rPr>
        <w:t xml:space="preserve"> </w:t>
      </w:r>
      <w:r>
        <w:rPr>
          <w:i/>
          <w:sz w:val="18"/>
        </w:rPr>
        <w:t>Meriba</w:t>
      </w:r>
      <w:r>
        <w:rPr>
          <w:i/>
          <w:spacing w:val="-1"/>
          <w:sz w:val="18"/>
        </w:rPr>
        <w:t xml:space="preserve"> </w:t>
      </w:r>
      <w:r>
        <w:rPr>
          <w:i/>
          <w:sz w:val="18"/>
        </w:rPr>
        <w:t>Omasker Kaziw Kazipa</w:t>
      </w:r>
      <w:r>
        <w:rPr>
          <w:i/>
          <w:spacing w:val="-1"/>
          <w:sz w:val="18"/>
        </w:rPr>
        <w:t xml:space="preserve"> </w:t>
      </w:r>
      <w:r>
        <w:rPr>
          <w:i/>
          <w:sz w:val="18"/>
        </w:rPr>
        <w:t>(Torres Strait Islander Traditional</w:t>
      </w:r>
      <w:r>
        <w:rPr>
          <w:i/>
          <w:spacing w:val="-2"/>
          <w:sz w:val="18"/>
        </w:rPr>
        <w:t xml:space="preserve"> </w:t>
      </w:r>
      <w:r>
        <w:rPr>
          <w:i/>
          <w:sz w:val="18"/>
        </w:rPr>
        <w:t>Child Rearing</w:t>
      </w:r>
      <w:r>
        <w:rPr>
          <w:i/>
          <w:spacing w:val="-1"/>
          <w:sz w:val="18"/>
        </w:rPr>
        <w:t xml:space="preserve"> </w:t>
      </w:r>
      <w:r>
        <w:rPr>
          <w:i/>
          <w:sz w:val="18"/>
        </w:rPr>
        <w:t>Practice) Bill</w:t>
      </w:r>
      <w:r>
        <w:rPr>
          <w:i/>
          <w:spacing w:val="-1"/>
          <w:sz w:val="18"/>
        </w:rPr>
        <w:t xml:space="preserve"> </w:t>
      </w:r>
      <w:r>
        <w:rPr>
          <w:i/>
          <w:sz w:val="18"/>
        </w:rPr>
        <w:t xml:space="preserve">2020 </w:t>
      </w:r>
      <w:r>
        <w:rPr>
          <w:sz w:val="18"/>
        </w:rPr>
        <w:t>(Qld), Statement</w:t>
      </w:r>
      <w:r>
        <w:rPr>
          <w:spacing w:val="-2"/>
          <w:sz w:val="18"/>
        </w:rPr>
        <w:t xml:space="preserve"> </w:t>
      </w:r>
      <w:r>
        <w:rPr>
          <w:sz w:val="18"/>
        </w:rPr>
        <w:t>of Compatibility 15–16 &lt;https:/</w:t>
      </w:r>
      <w:hyperlink r:id="rId146">
        <w:r>
          <w:rPr>
            <w:sz w:val="18"/>
          </w:rPr>
          <w:t>/www.legislation.qld.gov.au/view/pdf/bill.first.hrc/bill-2019-021</w:t>
        </w:r>
      </w:hyperlink>
      <w:r>
        <w:rPr>
          <w:sz w:val="18"/>
        </w:rPr>
        <w:t>&gt;.</w:t>
      </w:r>
    </w:p>
    <w:p w14:paraId="7CB2618E" w14:textId="77777777" w:rsidR="008A4099" w:rsidRDefault="006A6EE2">
      <w:pPr>
        <w:spacing w:before="15"/>
        <w:ind w:left="160"/>
        <w:rPr>
          <w:sz w:val="18"/>
        </w:rPr>
      </w:pPr>
      <w:r>
        <w:rPr>
          <w:sz w:val="18"/>
          <w:vertAlign w:val="superscript"/>
        </w:rPr>
        <w:t>419</w:t>
      </w:r>
      <w:r>
        <w:rPr>
          <w:spacing w:val="-1"/>
          <w:sz w:val="18"/>
        </w:rPr>
        <w:t xml:space="preserve"> </w:t>
      </w:r>
      <w:r>
        <w:rPr>
          <w:sz w:val="18"/>
        </w:rPr>
        <w:t>See</w:t>
      </w:r>
      <w:r>
        <w:rPr>
          <w:spacing w:val="-1"/>
          <w:sz w:val="18"/>
        </w:rPr>
        <w:t xml:space="preserve"> </w:t>
      </w:r>
      <w:r>
        <w:rPr>
          <w:sz w:val="18"/>
        </w:rPr>
        <w:t>Queensland</w:t>
      </w:r>
      <w:r>
        <w:rPr>
          <w:spacing w:val="1"/>
          <w:sz w:val="18"/>
        </w:rPr>
        <w:t xml:space="preserve"> </w:t>
      </w:r>
      <w:r>
        <w:rPr>
          <w:sz w:val="18"/>
        </w:rPr>
        <w:t xml:space="preserve">Human Rights Commission, </w:t>
      </w:r>
      <w:r>
        <w:rPr>
          <w:i/>
          <w:sz w:val="18"/>
        </w:rPr>
        <w:t xml:space="preserve">Annual Report 2020-21 </w:t>
      </w:r>
      <w:r>
        <w:rPr>
          <w:sz w:val="18"/>
        </w:rPr>
        <w:t>(Report,</w:t>
      </w:r>
      <w:r>
        <w:rPr>
          <w:spacing w:val="-2"/>
          <w:sz w:val="18"/>
        </w:rPr>
        <w:t xml:space="preserve"> </w:t>
      </w:r>
      <w:r>
        <w:rPr>
          <w:sz w:val="18"/>
        </w:rPr>
        <w:t xml:space="preserve">2021) </w:t>
      </w:r>
      <w:r>
        <w:rPr>
          <w:spacing w:val="-5"/>
          <w:sz w:val="18"/>
        </w:rPr>
        <w:t>11</w:t>
      </w:r>
    </w:p>
    <w:p w14:paraId="7CB2618F" w14:textId="77777777" w:rsidR="008A4099" w:rsidRDefault="006A6EE2">
      <w:pPr>
        <w:spacing w:before="4"/>
        <w:ind w:left="160"/>
        <w:rPr>
          <w:sz w:val="18"/>
        </w:rPr>
      </w:pPr>
      <w:r>
        <w:rPr>
          <w:spacing w:val="-2"/>
          <w:sz w:val="18"/>
        </w:rPr>
        <w:t>&lt;https://</w:t>
      </w:r>
      <w:hyperlink r:id="rId147">
        <w:r>
          <w:rPr>
            <w:spacing w:val="-2"/>
            <w:sz w:val="18"/>
          </w:rPr>
          <w:t>www.qhrc.qld.gov.au/about-us/annual-reports&gt;</w:t>
        </w:r>
      </w:hyperlink>
      <w:r>
        <w:rPr>
          <w:spacing w:val="-2"/>
          <w:sz w:val="18"/>
        </w:rPr>
        <w:t>.</w:t>
      </w:r>
    </w:p>
    <w:p w14:paraId="7CB26190" w14:textId="77777777" w:rsidR="008A4099" w:rsidRDefault="006A6EE2">
      <w:pPr>
        <w:spacing w:before="19" w:line="242" w:lineRule="auto"/>
        <w:ind w:left="160" w:right="673"/>
        <w:jc w:val="both"/>
        <w:rPr>
          <w:sz w:val="18"/>
        </w:rPr>
      </w:pPr>
      <w:r>
        <w:rPr>
          <w:sz w:val="18"/>
          <w:vertAlign w:val="superscript"/>
        </w:rPr>
        <w:t>420</w:t>
      </w:r>
      <w:r>
        <w:rPr>
          <w:spacing w:val="-4"/>
          <w:sz w:val="18"/>
        </w:rPr>
        <w:t xml:space="preserve"> </w:t>
      </w:r>
      <w:r>
        <w:rPr>
          <w:sz w:val="18"/>
        </w:rPr>
        <w:t>Ben</w:t>
      </w:r>
      <w:r>
        <w:rPr>
          <w:spacing w:val="-3"/>
          <w:sz w:val="18"/>
        </w:rPr>
        <w:t xml:space="preserve"> </w:t>
      </w:r>
      <w:r>
        <w:rPr>
          <w:sz w:val="18"/>
        </w:rPr>
        <w:t>Smee,</w:t>
      </w:r>
      <w:r>
        <w:rPr>
          <w:spacing w:val="-4"/>
          <w:sz w:val="18"/>
        </w:rPr>
        <w:t xml:space="preserve"> </w:t>
      </w:r>
      <w:r>
        <w:rPr>
          <w:sz w:val="18"/>
        </w:rPr>
        <w:t>‘Queensland</w:t>
      </w:r>
      <w:r>
        <w:rPr>
          <w:spacing w:val="-6"/>
          <w:sz w:val="18"/>
        </w:rPr>
        <w:t xml:space="preserve"> </w:t>
      </w:r>
      <w:r>
        <w:rPr>
          <w:sz w:val="18"/>
        </w:rPr>
        <w:t>Police</w:t>
      </w:r>
      <w:r>
        <w:rPr>
          <w:spacing w:val="-3"/>
          <w:sz w:val="18"/>
        </w:rPr>
        <w:t xml:space="preserve"> </w:t>
      </w:r>
      <w:r>
        <w:rPr>
          <w:sz w:val="18"/>
        </w:rPr>
        <w:t>refuse</w:t>
      </w:r>
      <w:r>
        <w:rPr>
          <w:spacing w:val="-5"/>
          <w:sz w:val="18"/>
        </w:rPr>
        <w:t xml:space="preserve"> </w:t>
      </w:r>
      <w:r>
        <w:rPr>
          <w:sz w:val="18"/>
        </w:rPr>
        <w:t>to</w:t>
      </w:r>
      <w:r>
        <w:rPr>
          <w:spacing w:val="-3"/>
          <w:sz w:val="18"/>
        </w:rPr>
        <w:t xml:space="preserve"> </w:t>
      </w:r>
      <w:r>
        <w:rPr>
          <w:sz w:val="18"/>
        </w:rPr>
        <w:t>remove</w:t>
      </w:r>
      <w:r>
        <w:rPr>
          <w:spacing w:val="-5"/>
          <w:sz w:val="18"/>
        </w:rPr>
        <w:t xml:space="preserve"> </w:t>
      </w:r>
      <w:r>
        <w:rPr>
          <w:sz w:val="18"/>
        </w:rPr>
        <w:t>Traditional</w:t>
      </w:r>
      <w:r>
        <w:rPr>
          <w:spacing w:val="-4"/>
          <w:sz w:val="18"/>
        </w:rPr>
        <w:t xml:space="preserve"> </w:t>
      </w:r>
      <w:r>
        <w:rPr>
          <w:sz w:val="18"/>
        </w:rPr>
        <w:t>Owners</w:t>
      </w:r>
      <w:r>
        <w:rPr>
          <w:spacing w:val="-3"/>
          <w:sz w:val="18"/>
        </w:rPr>
        <w:t xml:space="preserve"> </w:t>
      </w:r>
      <w:r>
        <w:rPr>
          <w:sz w:val="18"/>
        </w:rPr>
        <w:t>occupying</w:t>
      </w:r>
      <w:r>
        <w:rPr>
          <w:spacing w:val="-3"/>
          <w:sz w:val="18"/>
        </w:rPr>
        <w:t xml:space="preserve"> </w:t>
      </w:r>
      <w:r>
        <w:rPr>
          <w:sz w:val="18"/>
        </w:rPr>
        <w:t>Adani’s</w:t>
      </w:r>
      <w:r>
        <w:rPr>
          <w:spacing w:val="-4"/>
          <w:sz w:val="18"/>
        </w:rPr>
        <w:t xml:space="preserve"> </w:t>
      </w:r>
      <w:r>
        <w:rPr>
          <w:sz w:val="18"/>
        </w:rPr>
        <w:t>Coalmine</w:t>
      </w:r>
      <w:r>
        <w:rPr>
          <w:spacing w:val="-5"/>
          <w:sz w:val="18"/>
        </w:rPr>
        <w:t xml:space="preserve"> </w:t>
      </w:r>
      <w:r>
        <w:rPr>
          <w:sz w:val="18"/>
        </w:rPr>
        <w:t>Site’</w:t>
      </w:r>
      <w:r>
        <w:rPr>
          <w:spacing w:val="-2"/>
          <w:sz w:val="18"/>
        </w:rPr>
        <w:t xml:space="preserve"> </w:t>
      </w:r>
      <w:r>
        <w:rPr>
          <w:i/>
          <w:sz w:val="18"/>
        </w:rPr>
        <w:t>Guardian</w:t>
      </w:r>
      <w:r>
        <w:rPr>
          <w:i/>
          <w:spacing w:val="-3"/>
          <w:sz w:val="18"/>
        </w:rPr>
        <w:t xml:space="preserve"> </w:t>
      </w:r>
      <w:r>
        <w:rPr>
          <w:sz w:val="18"/>
        </w:rPr>
        <w:t>(online, 3 October 2021) &lt;https://</w:t>
      </w:r>
      <w:hyperlink r:id="rId148">
        <w:r>
          <w:rPr>
            <w:sz w:val="18"/>
          </w:rPr>
          <w:t>www.theguardian.com/australia-news/2021/oct/03/queensland-police-refuse-to-remove-traditional-</w:t>
        </w:r>
      </w:hyperlink>
      <w:r>
        <w:rPr>
          <w:sz w:val="18"/>
        </w:rPr>
        <w:t xml:space="preserve"> </w:t>
      </w:r>
      <w:r>
        <w:rPr>
          <w:spacing w:val="-2"/>
          <w:sz w:val="18"/>
        </w:rPr>
        <w:t>owners-occupying-adanis-coalmine-site&gt;.</w:t>
      </w:r>
    </w:p>
    <w:p w14:paraId="7CB26191" w14:textId="77777777" w:rsidR="008A4099" w:rsidRDefault="006A6EE2">
      <w:pPr>
        <w:spacing w:before="16"/>
        <w:ind w:left="160"/>
        <w:jc w:val="both"/>
        <w:rPr>
          <w:sz w:val="18"/>
        </w:rPr>
      </w:pPr>
      <w:r>
        <w:rPr>
          <w:sz w:val="18"/>
          <w:vertAlign w:val="superscript"/>
        </w:rPr>
        <w:t>421</w:t>
      </w:r>
      <w:r>
        <w:rPr>
          <w:spacing w:val="-1"/>
          <w:sz w:val="18"/>
        </w:rPr>
        <w:t xml:space="preserve"> </w:t>
      </w:r>
      <w:r>
        <w:rPr>
          <w:sz w:val="18"/>
        </w:rPr>
        <w:t>See</w:t>
      </w:r>
      <w:r>
        <w:rPr>
          <w:spacing w:val="-1"/>
          <w:sz w:val="18"/>
        </w:rPr>
        <w:t xml:space="preserve"> </w:t>
      </w:r>
      <w:r>
        <w:rPr>
          <w:sz w:val="18"/>
        </w:rPr>
        <w:t>Queensland</w:t>
      </w:r>
      <w:r>
        <w:rPr>
          <w:spacing w:val="1"/>
          <w:sz w:val="18"/>
        </w:rPr>
        <w:t xml:space="preserve"> </w:t>
      </w:r>
      <w:r>
        <w:rPr>
          <w:sz w:val="18"/>
        </w:rPr>
        <w:t>Human Rights Commission,</w:t>
      </w:r>
      <w:r>
        <w:rPr>
          <w:spacing w:val="4"/>
          <w:sz w:val="18"/>
        </w:rPr>
        <w:t xml:space="preserve"> </w:t>
      </w:r>
      <w:r>
        <w:rPr>
          <w:i/>
          <w:sz w:val="18"/>
        </w:rPr>
        <w:t>Annual Report</w:t>
      </w:r>
      <w:r>
        <w:rPr>
          <w:i/>
          <w:spacing w:val="-1"/>
          <w:sz w:val="18"/>
        </w:rPr>
        <w:t xml:space="preserve"> </w:t>
      </w:r>
      <w:r>
        <w:rPr>
          <w:i/>
          <w:sz w:val="18"/>
        </w:rPr>
        <w:t>2020-21</w:t>
      </w:r>
      <w:r>
        <w:rPr>
          <w:i/>
          <w:spacing w:val="-1"/>
          <w:sz w:val="18"/>
        </w:rPr>
        <w:t xml:space="preserve"> </w:t>
      </w:r>
      <w:r>
        <w:rPr>
          <w:spacing w:val="-5"/>
          <w:sz w:val="18"/>
        </w:rPr>
        <w:t>12.</w:t>
      </w:r>
    </w:p>
    <w:p w14:paraId="7CB26192" w14:textId="77777777" w:rsidR="008A4099" w:rsidRDefault="006A6EE2">
      <w:pPr>
        <w:spacing w:before="23"/>
        <w:ind w:left="160"/>
        <w:jc w:val="both"/>
        <w:rPr>
          <w:sz w:val="18"/>
        </w:rPr>
      </w:pPr>
      <w:r>
        <w:rPr>
          <w:sz w:val="18"/>
          <w:vertAlign w:val="superscript"/>
        </w:rPr>
        <w:t>422</w:t>
      </w:r>
      <w:r>
        <w:rPr>
          <w:sz w:val="18"/>
        </w:rPr>
        <w:t xml:space="preserve"> TLRI</w:t>
      </w:r>
      <w:r>
        <w:rPr>
          <w:spacing w:val="1"/>
          <w:sz w:val="18"/>
        </w:rPr>
        <w:t xml:space="preserve"> </w:t>
      </w:r>
      <w:r>
        <w:rPr>
          <w:sz w:val="18"/>
        </w:rPr>
        <w:t>2007</w:t>
      </w:r>
      <w:r>
        <w:rPr>
          <w:spacing w:val="2"/>
          <w:sz w:val="18"/>
        </w:rPr>
        <w:t xml:space="preserve"> </w:t>
      </w:r>
      <w:r>
        <w:rPr>
          <w:sz w:val="18"/>
        </w:rPr>
        <w:t>Final Report,</w:t>
      </w:r>
      <w:r>
        <w:rPr>
          <w:spacing w:val="-1"/>
          <w:sz w:val="18"/>
        </w:rPr>
        <w:t xml:space="preserve"> </w:t>
      </w:r>
      <w:r>
        <w:rPr>
          <w:sz w:val="18"/>
        </w:rPr>
        <w:t>Recommendations</w:t>
      </w:r>
      <w:r>
        <w:rPr>
          <w:spacing w:val="-2"/>
          <w:sz w:val="18"/>
        </w:rPr>
        <w:t xml:space="preserve"> </w:t>
      </w:r>
      <w:r>
        <w:rPr>
          <w:sz w:val="18"/>
        </w:rPr>
        <w:t>16</w:t>
      </w:r>
      <w:r>
        <w:rPr>
          <w:spacing w:val="-1"/>
          <w:sz w:val="18"/>
        </w:rPr>
        <w:t xml:space="preserve"> </w:t>
      </w:r>
      <w:r>
        <w:rPr>
          <w:sz w:val="18"/>
        </w:rPr>
        <w:t xml:space="preserve">and </w:t>
      </w:r>
      <w:r>
        <w:rPr>
          <w:spacing w:val="-5"/>
          <w:sz w:val="18"/>
        </w:rPr>
        <w:t>17.</w:t>
      </w:r>
    </w:p>
    <w:p w14:paraId="7CB26193" w14:textId="77777777" w:rsidR="008A4099" w:rsidRDefault="006A6EE2">
      <w:pPr>
        <w:spacing w:before="24" w:line="242" w:lineRule="auto"/>
        <w:ind w:left="160" w:right="675"/>
        <w:jc w:val="both"/>
        <w:rPr>
          <w:sz w:val="18"/>
        </w:rPr>
      </w:pPr>
      <w:r>
        <w:rPr>
          <w:sz w:val="18"/>
          <w:vertAlign w:val="superscript"/>
        </w:rPr>
        <w:t>423</w:t>
      </w:r>
      <w:r>
        <w:rPr>
          <w:sz w:val="18"/>
        </w:rPr>
        <w:t xml:space="preserve"> The </w:t>
      </w:r>
      <w:r>
        <w:rPr>
          <w:i/>
          <w:sz w:val="18"/>
        </w:rPr>
        <w:t>Pathway to Truth-Telling and Treaty</w:t>
      </w:r>
      <w:r>
        <w:rPr>
          <w:i/>
          <w:spacing w:val="18"/>
          <w:sz w:val="18"/>
        </w:rPr>
        <w:t xml:space="preserve"> </w:t>
      </w:r>
      <w:r>
        <w:rPr>
          <w:sz w:val="18"/>
        </w:rPr>
        <w:t>report, prepared by Professor Kate Warner, Professor Tim McCormack, and</w:t>
      </w:r>
      <w:r>
        <w:rPr>
          <w:spacing w:val="80"/>
          <w:sz w:val="18"/>
        </w:rPr>
        <w:t xml:space="preserve"> </w:t>
      </w:r>
      <w:r>
        <w:rPr>
          <w:sz w:val="18"/>
        </w:rPr>
        <w:t>Ms</w:t>
      </w:r>
      <w:r>
        <w:rPr>
          <w:spacing w:val="-1"/>
          <w:sz w:val="18"/>
        </w:rPr>
        <w:t xml:space="preserve"> </w:t>
      </w:r>
      <w:r>
        <w:rPr>
          <w:sz w:val="18"/>
        </w:rPr>
        <w:t>Fauve Kurnadi, was tabled in the Tasmanian Parliament on 25 November 2021. Based on an understanding of the significant</w:t>
      </w:r>
      <w:r>
        <w:rPr>
          <w:spacing w:val="79"/>
          <w:sz w:val="18"/>
        </w:rPr>
        <w:t xml:space="preserve"> </w:t>
      </w:r>
      <w:r>
        <w:rPr>
          <w:sz w:val="18"/>
        </w:rPr>
        <w:t>human</w:t>
      </w:r>
      <w:r>
        <w:rPr>
          <w:spacing w:val="59"/>
          <w:w w:val="150"/>
          <w:sz w:val="18"/>
        </w:rPr>
        <w:t xml:space="preserve"> </w:t>
      </w:r>
      <w:r>
        <w:rPr>
          <w:sz w:val="18"/>
        </w:rPr>
        <w:t>rights</w:t>
      </w:r>
      <w:r>
        <w:rPr>
          <w:spacing w:val="61"/>
          <w:w w:val="150"/>
          <w:sz w:val="18"/>
        </w:rPr>
        <w:t xml:space="preserve"> </w:t>
      </w:r>
      <w:r>
        <w:rPr>
          <w:sz w:val="18"/>
        </w:rPr>
        <w:t>abuses</w:t>
      </w:r>
      <w:r>
        <w:rPr>
          <w:spacing w:val="60"/>
          <w:w w:val="150"/>
          <w:sz w:val="18"/>
        </w:rPr>
        <w:t xml:space="preserve"> </w:t>
      </w:r>
      <w:r>
        <w:rPr>
          <w:sz w:val="18"/>
        </w:rPr>
        <w:t>of</w:t>
      </w:r>
      <w:r>
        <w:rPr>
          <w:spacing w:val="59"/>
          <w:w w:val="150"/>
          <w:sz w:val="18"/>
        </w:rPr>
        <w:t xml:space="preserve"> </w:t>
      </w:r>
      <w:r>
        <w:rPr>
          <w:sz w:val="18"/>
        </w:rPr>
        <w:t>First</w:t>
      </w:r>
      <w:r>
        <w:rPr>
          <w:spacing w:val="58"/>
          <w:w w:val="150"/>
          <w:sz w:val="18"/>
        </w:rPr>
        <w:t xml:space="preserve"> </w:t>
      </w:r>
      <w:r>
        <w:rPr>
          <w:sz w:val="18"/>
        </w:rPr>
        <w:t>Nations</w:t>
      </w:r>
      <w:r>
        <w:rPr>
          <w:spacing w:val="58"/>
          <w:w w:val="150"/>
          <w:sz w:val="18"/>
        </w:rPr>
        <w:t xml:space="preserve"> </w:t>
      </w:r>
      <w:r>
        <w:rPr>
          <w:sz w:val="18"/>
        </w:rPr>
        <w:t>people,</w:t>
      </w:r>
      <w:r>
        <w:rPr>
          <w:spacing w:val="59"/>
          <w:w w:val="150"/>
          <w:sz w:val="18"/>
        </w:rPr>
        <w:t xml:space="preserve"> </w:t>
      </w:r>
      <w:r>
        <w:rPr>
          <w:sz w:val="18"/>
        </w:rPr>
        <w:t>it</w:t>
      </w:r>
      <w:r>
        <w:rPr>
          <w:spacing w:val="58"/>
          <w:w w:val="150"/>
          <w:sz w:val="18"/>
        </w:rPr>
        <w:t xml:space="preserve"> </w:t>
      </w:r>
      <w:r>
        <w:rPr>
          <w:sz w:val="18"/>
        </w:rPr>
        <w:t>explores</w:t>
      </w:r>
      <w:r>
        <w:rPr>
          <w:spacing w:val="58"/>
          <w:w w:val="150"/>
          <w:sz w:val="18"/>
        </w:rPr>
        <w:t xml:space="preserve"> </w:t>
      </w:r>
      <w:r>
        <w:rPr>
          <w:sz w:val="18"/>
        </w:rPr>
        <w:t>options</w:t>
      </w:r>
      <w:r>
        <w:rPr>
          <w:spacing w:val="60"/>
          <w:w w:val="150"/>
          <w:sz w:val="18"/>
        </w:rPr>
        <w:t xml:space="preserve"> </w:t>
      </w:r>
      <w:r>
        <w:rPr>
          <w:sz w:val="18"/>
        </w:rPr>
        <w:t>for</w:t>
      </w:r>
      <w:r>
        <w:rPr>
          <w:spacing w:val="61"/>
          <w:w w:val="150"/>
          <w:sz w:val="18"/>
        </w:rPr>
        <w:t xml:space="preserve"> </w:t>
      </w:r>
      <w:r>
        <w:rPr>
          <w:sz w:val="18"/>
        </w:rPr>
        <w:t>an</w:t>
      </w:r>
      <w:r>
        <w:rPr>
          <w:spacing w:val="59"/>
          <w:w w:val="150"/>
          <w:sz w:val="18"/>
        </w:rPr>
        <w:t xml:space="preserve"> </w:t>
      </w:r>
      <w:r>
        <w:rPr>
          <w:sz w:val="18"/>
        </w:rPr>
        <w:t>agreed</w:t>
      </w:r>
      <w:r>
        <w:rPr>
          <w:spacing w:val="62"/>
          <w:w w:val="150"/>
          <w:sz w:val="18"/>
        </w:rPr>
        <w:t xml:space="preserve"> </w:t>
      </w:r>
      <w:r>
        <w:rPr>
          <w:sz w:val="18"/>
        </w:rPr>
        <w:t>way</w:t>
      </w:r>
      <w:r>
        <w:rPr>
          <w:spacing w:val="61"/>
          <w:w w:val="150"/>
          <w:sz w:val="18"/>
        </w:rPr>
        <w:t xml:space="preserve"> </w:t>
      </w:r>
      <w:r>
        <w:rPr>
          <w:sz w:val="18"/>
        </w:rPr>
        <w:t>forward.</w:t>
      </w:r>
      <w:r>
        <w:rPr>
          <w:spacing w:val="59"/>
          <w:w w:val="150"/>
          <w:sz w:val="18"/>
        </w:rPr>
        <w:t xml:space="preserve"> </w:t>
      </w:r>
      <w:r>
        <w:rPr>
          <w:spacing w:val="-5"/>
          <w:sz w:val="18"/>
        </w:rPr>
        <w:t>See</w:t>
      </w:r>
    </w:p>
    <w:p w14:paraId="7CB26194" w14:textId="77777777" w:rsidR="008A4099" w:rsidRDefault="006A6EE2">
      <w:pPr>
        <w:spacing w:line="206" w:lineRule="exact"/>
        <w:ind w:left="160"/>
        <w:rPr>
          <w:sz w:val="18"/>
        </w:rPr>
      </w:pPr>
      <w:r>
        <w:rPr>
          <w:sz w:val="18"/>
        </w:rPr>
        <w:t>&lt;https://</w:t>
      </w:r>
      <w:hyperlink r:id="rId149">
        <w:r>
          <w:rPr>
            <w:sz w:val="18"/>
          </w:rPr>
          <w:t>www.dpac.tas.gov.au/</w:t>
        </w:r>
      </w:hyperlink>
      <w:r>
        <w:rPr>
          <w:spacing w:val="38"/>
          <w:sz w:val="18"/>
          <w:u w:val="single"/>
        </w:rPr>
        <w:t xml:space="preserve">  </w:t>
      </w:r>
      <w:r>
        <w:rPr>
          <w:sz w:val="18"/>
        </w:rPr>
        <w:t>data/assets/pdf_file/0029/162668/Pathway_to_Truth-</w:t>
      </w:r>
      <w:r>
        <w:rPr>
          <w:spacing w:val="-2"/>
          <w:sz w:val="18"/>
        </w:rPr>
        <w:t>Telling_and_Treaty_251121.pdf&gt;.</w:t>
      </w:r>
    </w:p>
    <w:p w14:paraId="7CB26195" w14:textId="77777777" w:rsidR="008A4099" w:rsidRDefault="008A4099">
      <w:pPr>
        <w:spacing w:line="206" w:lineRule="exact"/>
        <w:rPr>
          <w:sz w:val="18"/>
        </w:rPr>
        <w:sectPr w:rsidR="008A4099" w:rsidSect="00D43B2D">
          <w:pgSz w:w="11910" w:h="16840"/>
          <w:pgMar w:top="980" w:right="760" w:bottom="940" w:left="1280" w:header="718" w:footer="753" w:gutter="0"/>
          <w:cols w:space="720"/>
        </w:sectPr>
      </w:pPr>
    </w:p>
    <w:p w14:paraId="7CB26196" w14:textId="77777777" w:rsidR="008A4099" w:rsidRDefault="008A4099">
      <w:pPr>
        <w:pStyle w:val="BodyText"/>
        <w:spacing w:before="194"/>
      </w:pPr>
    </w:p>
    <w:p w14:paraId="7CB26197" w14:textId="77777777" w:rsidR="008A4099" w:rsidRDefault="006A6EE2">
      <w:pPr>
        <w:pStyle w:val="BodyText"/>
        <w:ind w:left="160" w:right="679"/>
        <w:rPr>
          <w:sz w:val="13"/>
        </w:rPr>
      </w:pPr>
      <w:r>
        <w:rPr>
          <w:i/>
        </w:rPr>
        <w:t xml:space="preserve">Political Rights </w:t>
      </w:r>
      <w:r>
        <w:t>as modified in accordance with the TLRI recommendations at [4.14.25] of the 2007 Final Report.</w:t>
      </w:r>
      <w:r>
        <w:rPr>
          <w:position w:val="7"/>
          <w:sz w:val="13"/>
        </w:rPr>
        <w:t>424</w:t>
      </w:r>
    </w:p>
    <w:p w14:paraId="7CB26198" w14:textId="77777777" w:rsidR="008A4099" w:rsidRDefault="006A6EE2">
      <w:pPr>
        <w:pStyle w:val="ListParagraph"/>
        <w:numPr>
          <w:ilvl w:val="2"/>
          <w:numId w:val="3"/>
        </w:numPr>
        <w:tabs>
          <w:tab w:val="left" w:pos="879"/>
        </w:tabs>
        <w:ind w:right="674" w:firstLine="0"/>
        <w:jc w:val="both"/>
        <w:rPr>
          <w:sz w:val="13"/>
        </w:rPr>
      </w:pPr>
      <w:r>
        <w:t>In 2020, the ACT explicitly recognised a right to work, encompassing the right to choose an occupation freely, the right to just conditions of work, the right to form or join a union or other work- related</w:t>
      </w:r>
      <w:r>
        <w:rPr>
          <w:spacing w:val="-7"/>
        </w:rPr>
        <w:t xml:space="preserve"> </w:t>
      </w:r>
      <w:r>
        <w:t>organisation,</w:t>
      </w:r>
      <w:r>
        <w:rPr>
          <w:spacing w:val="-7"/>
        </w:rPr>
        <w:t xml:space="preserve"> </w:t>
      </w:r>
      <w:r>
        <w:t>and</w:t>
      </w:r>
      <w:r>
        <w:rPr>
          <w:spacing w:val="-7"/>
        </w:rPr>
        <w:t xml:space="preserve"> </w:t>
      </w:r>
      <w:r>
        <w:t>the</w:t>
      </w:r>
      <w:r>
        <w:rPr>
          <w:spacing w:val="-7"/>
        </w:rPr>
        <w:t xml:space="preserve"> </w:t>
      </w:r>
      <w:r>
        <w:t>right</w:t>
      </w:r>
      <w:r>
        <w:rPr>
          <w:spacing w:val="-6"/>
        </w:rPr>
        <w:t xml:space="preserve"> </w:t>
      </w:r>
      <w:r>
        <w:t>not</w:t>
      </w:r>
      <w:r>
        <w:rPr>
          <w:spacing w:val="-9"/>
        </w:rPr>
        <w:t xml:space="preserve"> </w:t>
      </w:r>
      <w:r>
        <w:t>to</w:t>
      </w:r>
      <w:r>
        <w:rPr>
          <w:spacing w:val="-7"/>
        </w:rPr>
        <w:t xml:space="preserve"> </w:t>
      </w:r>
      <w:r>
        <w:t>be</w:t>
      </w:r>
      <w:r>
        <w:rPr>
          <w:spacing w:val="-7"/>
        </w:rPr>
        <w:t xml:space="preserve"> </w:t>
      </w:r>
      <w:r>
        <w:t>discriminated</w:t>
      </w:r>
      <w:r>
        <w:rPr>
          <w:spacing w:val="-2"/>
        </w:rPr>
        <w:t xml:space="preserve"> </w:t>
      </w:r>
      <w:r>
        <w:t>against</w:t>
      </w:r>
      <w:r>
        <w:rPr>
          <w:spacing w:val="-6"/>
        </w:rPr>
        <w:t xml:space="preserve"> </w:t>
      </w:r>
      <w:r>
        <w:t>as</w:t>
      </w:r>
      <w:r>
        <w:rPr>
          <w:spacing w:val="-6"/>
        </w:rPr>
        <w:t xml:space="preserve"> </w:t>
      </w:r>
      <w:r>
        <w:t>a</w:t>
      </w:r>
      <w:r>
        <w:rPr>
          <w:spacing w:val="-7"/>
        </w:rPr>
        <w:t xml:space="preserve"> </w:t>
      </w:r>
      <w:r>
        <w:t>result</w:t>
      </w:r>
      <w:r>
        <w:rPr>
          <w:spacing w:val="-6"/>
        </w:rPr>
        <w:t xml:space="preserve"> </w:t>
      </w:r>
      <w:r>
        <w:t>of</w:t>
      </w:r>
      <w:r>
        <w:rPr>
          <w:spacing w:val="-6"/>
        </w:rPr>
        <w:t xml:space="preserve"> </w:t>
      </w:r>
      <w:r>
        <w:t>association</w:t>
      </w:r>
      <w:r>
        <w:rPr>
          <w:spacing w:val="-7"/>
        </w:rPr>
        <w:t xml:space="preserve"> </w:t>
      </w:r>
      <w:r>
        <w:t>with</w:t>
      </w:r>
      <w:r>
        <w:rPr>
          <w:spacing w:val="-7"/>
        </w:rPr>
        <w:t xml:space="preserve"> </w:t>
      </w:r>
      <w:r>
        <w:t>such</w:t>
      </w:r>
      <w:r>
        <w:rPr>
          <w:spacing w:val="-7"/>
        </w:rPr>
        <w:t xml:space="preserve"> </w:t>
      </w:r>
      <w:r>
        <w:t xml:space="preserve">an </w:t>
      </w:r>
      <w:r>
        <w:rPr>
          <w:spacing w:val="-2"/>
        </w:rPr>
        <w:t>organisation.</w:t>
      </w:r>
      <w:r>
        <w:rPr>
          <w:spacing w:val="-2"/>
          <w:position w:val="7"/>
          <w:sz w:val="13"/>
        </w:rPr>
        <w:t>425</w:t>
      </w:r>
    </w:p>
    <w:p w14:paraId="7CB26199" w14:textId="77777777" w:rsidR="008A4099" w:rsidRDefault="006A6EE2">
      <w:pPr>
        <w:pStyle w:val="Heading3"/>
        <w:spacing w:before="237"/>
      </w:pPr>
      <w:r>
        <w:t>TLRI’s</w:t>
      </w:r>
      <w:r>
        <w:rPr>
          <w:spacing w:val="-5"/>
        </w:rPr>
        <w:t xml:space="preserve"> </w:t>
      </w:r>
      <w:r>
        <w:t>current</w:t>
      </w:r>
      <w:r>
        <w:rPr>
          <w:spacing w:val="-3"/>
        </w:rPr>
        <w:t xml:space="preserve"> </w:t>
      </w:r>
      <w:r>
        <w:rPr>
          <w:spacing w:val="-4"/>
        </w:rPr>
        <w:t>views</w:t>
      </w:r>
    </w:p>
    <w:p w14:paraId="7CB2619A" w14:textId="77777777" w:rsidR="008A4099" w:rsidRDefault="006A6EE2">
      <w:pPr>
        <w:pStyle w:val="ListParagraph"/>
        <w:numPr>
          <w:ilvl w:val="2"/>
          <w:numId w:val="3"/>
        </w:numPr>
        <w:tabs>
          <w:tab w:val="left" w:pos="879"/>
        </w:tabs>
        <w:spacing w:before="259"/>
        <w:ind w:right="682" w:firstLine="0"/>
        <w:jc w:val="both"/>
      </w:pPr>
      <w:r>
        <w:t>The TLRI remains of the view that the bundle of rights protecting the right to work and associated</w:t>
      </w:r>
      <w:r>
        <w:rPr>
          <w:spacing w:val="-2"/>
        </w:rPr>
        <w:t xml:space="preserve"> </w:t>
      </w:r>
      <w:r>
        <w:t>just conditions should be protected by</w:t>
      </w:r>
      <w:r>
        <w:rPr>
          <w:spacing w:val="-2"/>
        </w:rPr>
        <w:t xml:space="preserve"> </w:t>
      </w:r>
      <w:r>
        <w:t>a Tasmanian human rights enactment. This is</w:t>
      </w:r>
      <w:r>
        <w:rPr>
          <w:spacing w:val="-2"/>
        </w:rPr>
        <w:t xml:space="preserve"> </w:t>
      </w:r>
      <w:r>
        <w:t>set out in Recommendation 7.</w:t>
      </w:r>
    </w:p>
    <w:p w14:paraId="7CB2619B" w14:textId="77777777" w:rsidR="008A4099" w:rsidRDefault="006A6EE2">
      <w:pPr>
        <w:pStyle w:val="Heading4"/>
        <w:spacing w:before="235"/>
      </w:pPr>
      <w:bookmarkStart w:id="40" w:name="_TOC_250020"/>
      <w:r>
        <w:t>Health</w:t>
      </w:r>
      <w:r>
        <w:rPr>
          <w:spacing w:val="-3"/>
        </w:rPr>
        <w:t xml:space="preserve"> </w:t>
      </w:r>
      <w:bookmarkEnd w:id="40"/>
      <w:r>
        <w:rPr>
          <w:spacing w:val="-2"/>
        </w:rPr>
        <w:t>rights</w:t>
      </w:r>
    </w:p>
    <w:p w14:paraId="7CB2619C" w14:textId="77777777" w:rsidR="008A4099" w:rsidRDefault="008A4099">
      <w:pPr>
        <w:pStyle w:val="BodyText"/>
        <w:spacing w:before="16"/>
        <w:rPr>
          <w:b/>
          <w:i/>
          <w:sz w:val="23"/>
        </w:rPr>
      </w:pPr>
    </w:p>
    <w:p w14:paraId="7CB2619D" w14:textId="77777777" w:rsidR="008A4099" w:rsidRDefault="006A6EE2">
      <w:pPr>
        <w:pStyle w:val="Heading3"/>
        <w:spacing w:before="1"/>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19E" w14:textId="77777777" w:rsidR="008A4099" w:rsidRDefault="006A6EE2">
      <w:pPr>
        <w:pStyle w:val="ListParagraph"/>
        <w:numPr>
          <w:ilvl w:val="2"/>
          <w:numId w:val="3"/>
        </w:numPr>
        <w:tabs>
          <w:tab w:val="left" w:pos="879"/>
        </w:tabs>
        <w:spacing w:before="263" w:line="237" w:lineRule="auto"/>
        <w:ind w:right="674" w:firstLine="0"/>
        <w:jc w:val="both"/>
        <w:rPr>
          <w:sz w:val="13"/>
        </w:rPr>
      </w:pPr>
      <w:r>
        <w:t>The 2007 TLRI</w:t>
      </w:r>
      <w:r>
        <w:rPr>
          <w:spacing w:val="-2"/>
        </w:rPr>
        <w:t xml:space="preserve"> </w:t>
      </w:r>
      <w:r>
        <w:t>Final Report recommended that a Tasmanian human rights enactment include protection of the right to health, expressed as the highest attainable standard of physical and mental health</w:t>
      </w:r>
      <w:r>
        <w:rPr>
          <w:spacing w:val="-5"/>
        </w:rPr>
        <w:t xml:space="preserve"> </w:t>
      </w:r>
      <w:r>
        <w:t>consistent</w:t>
      </w:r>
      <w:r>
        <w:rPr>
          <w:spacing w:val="-4"/>
        </w:rPr>
        <w:t xml:space="preserve"> </w:t>
      </w:r>
      <w:r>
        <w:t>with</w:t>
      </w:r>
      <w:r>
        <w:rPr>
          <w:spacing w:val="-5"/>
        </w:rPr>
        <w:t xml:space="preserve"> </w:t>
      </w:r>
      <w:r>
        <w:t>the</w:t>
      </w:r>
      <w:r>
        <w:rPr>
          <w:spacing w:val="-4"/>
        </w:rPr>
        <w:t xml:space="preserve"> </w:t>
      </w:r>
      <w:r>
        <w:rPr>
          <w:i/>
        </w:rPr>
        <w:t>International</w:t>
      </w:r>
      <w:r>
        <w:rPr>
          <w:i/>
          <w:spacing w:val="-4"/>
        </w:rPr>
        <w:t xml:space="preserve"> </w:t>
      </w:r>
      <w:r>
        <w:rPr>
          <w:i/>
        </w:rPr>
        <w:t>Covenant</w:t>
      </w:r>
      <w:r>
        <w:rPr>
          <w:i/>
          <w:spacing w:val="-4"/>
        </w:rPr>
        <w:t xml:space="preserve"> </w:t>
      </w:r>
      <w:r>
        <w:rPr>
          <w:i/>
        </w:rPr>
        <w:t>on</w:t>
      </w:r>
      <w:r>
        <w:rPr>
          <w:i/>
          <w:spacing w:val="-5"/>
        </w:rPr>
        <w:t xml:space="preserve"> </w:t>
      </w:r>
      <w:r>
        <w:rPr>
          <w:i/>
        </w:rPr>
        <w:t>Economic</w:t>
      </w:r>
      <w:r>
        <w:rPr>
          <w:i/>
          <w:spacing w:val="-4"/>
        </w:rPr>
        <w:t xml:space="preserve"> </w:t>
      </w:r>
      <w:r>
        <w:rPr>
          <w:i/>
        </w:rPr>
        <w:t>Social</w:t>
      </w:r>
      <w:r>
        <w:rPr>
          <w:i/>
          <w:spacing w:val="-4"/>
        </w:rPr>
        <w:t xml:space="preserve"> </w:t>
      </w:r>
      <w:r>
        <w:rPr>
          <w:i/>
        </w:rPr>
        <w:t>and</w:t>
      </w:r>
      <w:r>
        <w:rPr>
          <w:i/>
          <w:spacing w:val="-5"/>
        </w:rPr>
        <w:t xml:space="preserve"> </w:t>
      </w:r>
      <w:r>
        <w:rPr>
          <w:i/>
        </w:rPr>
        <w:t>Cultural</w:t>
      </w:r>
      <w:r>
        <w:rPr>
          <w:i/>
          <w:spacing w:val="-4"/>
        </w:rPr>
        <w:t xml:space="preserve"> </w:t>
      </w:r>
      <w:r>
        <w:rPr>
          <w:i/>
        </w:rPr>
        <w:t>Rights</w:t>
      </w:r>
      <w:r>
        <w:rPr>
          <w:i/>
          <w:spacing w:val="-4"/>
        </w:rPr>
        <w:t xml:space="preserve"> </w:t>
      </w:r>
      <w:r>
        <w:t>modified</w:t>
      </w:r>
      <w:r>
        <w:rPr>
          <w:spacing w:val="-4"/>
        </w:rPr>
        <w:t xml:space="preserve"> </w:t>
      </w:r>
      <w:r>
        <w:t>in accordance with the TLRI recommendations at [4.14.25] of the 2007 Final Report.</w:t>
      </w:r>
      <w:r>
        <w:rPr>
          <w:position w:val="7"/>
          <w:sz w:val="13"/>
        </w:rPr>
        <w:t>426</w:t>
      </w:r>
    </w:p>
    <w:p w14:paraId="7CB2619F" w14:textId="77777777" w:rsidR="008A4099" w:rsidRDefault="006A6EE2">
      <w:pPr>
        <w:pStyle w:val="ListParagraph"/>
        <w:numPr>
          <w:ilvl w:val="2"/>
          <w:numId w:val="3"/>
        </w:numPr>
        <w:tabs>
          <w:tab w:val="left" w:pos="879"/>
        </w:tabs>
        <w:spacing w:before="221"/>
        <w:ind w:right="674" w:firstLine="0"/>
        <w:jc w:val="both"/>
      </w:pPr>
      <w:r>
        <w:t>The right to the highest attainable standard of physical and mental health may also encourage the implementation of culturally safe health practices. For example, in 2019, a NSW Coroner’s report into</w:t>
      </w:r>
      <w:r>
        <w:rPr>
          <w:spacing w:val="-14"/>
        </w:rPr>
        <w:t xml:space="preserve"> </w:t>
      </w:r>
      <w:r>
        <w:t>the</w:t>
      </w:r>
      <w:r>
        <w:rPr>
          <w:spacing w:val="-14"/>
        </w:rPr>
        <w:t xml:space="preserve"> </w:t>
      </w:r>
      <w:r>
        <w:t>death</w:t>
      </w:r>
      <w:r>
        <w:rPr>
          <w:spacing w:val="-14"/>
        </w:rPr>
        <w:t xml:space="preserve"> </w:t>
      </w:r>
      <w:r>
        <w:t>of</w:t>
      </w:r>
      <w:r>
        <w:rPr>
          <w:spacing w:val="-13"/>
        </w:rPr>
        <w:t xml:space="preserve"> </w:t>
      </w:r>
      <w:r>
        <w:t>a</w:t>
      </w:r>
      <w:r>
        <w:rPr>
          <w:spacing w:val="-14"/>
        </w:rPr>
        <w:t xml:space="preserve"> </w:t>
      </w:r>
      <w:r>
        <w:t>pregnant</w:t>
      </w:r>
      <w:r>
        <w:rPr>
          <w:spacing w:val="-14"/>
        </w:rPr>
        <w:t xml:space="preserve"> </w:t>
      </w:r>
      <w:r>
        <w:t>Wiradjuri</w:t>
      </w:r>
      <w:r>
        <w:rPr>
          <w:spacing w:val="-14"/>
        </w:rPr>
        <w:t xml:space="preserve"> </w:t>
      </w:r>
      <w:r>
        <w:t>woman,</w:t>
      </w:r>
      <w:r>
        <w:rPr>
          <w:spacing w:val="-13"/>
        </w:rPr>
        <w:t xml:space="preserve"> </w:t>
      </w:r>
      <w:r>
        <w:t>Naomi</w:t>
      </w:r>
      <w:r>
        <w:rPr>
          <w:spacing w:val="-14"/>
        </w:rPr>
        <w:t xml:space="preserve"> </w:t>
      </w:r>
      <w:r>
        <w:t>Williams,</w:t>
      </w:r>
      <w:r>
        <w:rPr>
          <w:spacing w:val="-14"/>
        </w:rPr>
        <w:t xml:space="preserve"> </w:t>
      </w:r>
      <w:r>
        <w:t>found</w:t>
      </w:r>
      <w:r>
        <w:rPr>
          <w:spacing w:val="-14"/>
        </w:rPr>
        <w:t xml:space="preserve"> </w:t>
      </w:r>
      <w:r>
        <w:t>‘clear</w:t>
      </w:r>
      <w:r>
        <w:rPr>
          <w:spacing w:val="-13"/>
        </w:rPr>
        <w:t xml:space="preserve"> </w:t>
      </w:r>
      <w:r>
        <w:t>and</w:t>
      </w:r>
      <w:r>
        <w:rPr>
          <w:spacing w:val="-14"/>
        </w:rPr>
        <w:t xml:space="preserve"> </w:t>
      </w:r>
      <w:r>
        <w:t>ongoing</w:t>
      </w:r>
      <w:r>
        <w:rPr>
          <w:spacing w:val="-14"/>
        </w:rPr>
        <w:t xml:space="preserve"> </w:t>
      </w:r>
      <w:r>
        <w:t>inadequacies’ in</w:t>
      </w:r>
      <w:r>
        <w:rPr>
          <w:spacing w:val="-5"/>
        </w:rPr>
        <w:t xml:space="preserve"> </w:t>
      </w:r>
      <w:r>
        <w:t>the</w:t>
      </w:r>
      <w:r>
        <w:rPr>
          <w:spacing w:val="-4"/>
        </w:rPr>
        <w:t xml:space="preserve"> </w:t>
      </w:r>
      <w:r>
        <w:t>care</w:t>
      </w:r>
      <w:r>
        <w:rPr>
          <w:spacing w:val="-7"/>
        </w:rPr>
        <w:t xml:space="preserve"> </w:t>
      </w:r>
      <w:r>
        <w:t>Ms</w:t>
      </w:r>
      <w:r>
        <w:rPr>
          <w:spacing w:val="-4"/>
        </w:rPr>
        <w:t xml:space="preserve"> </w:t>
      </w:r>
      <w:r>
        <w:t>Williams</w:t>
      </w:r>
      <w:r>
        <w:rPr>
          <w:spacing w:val="-4"/>
        </w:rPr>
        <w:t xml:space="preserve"> </w:t>
      </w:r>
      <w:r>
        <w:t>had</w:t>
      </w:r>
      <w:r>
        <w:rPr>
          <w:spacing w:val="-5"/>
        </w:rPr>
        <w:t xml:space="preserve"> </w:t>
      </w:r>
      <w:r>
        <w:t>received</w:t>
      </w:r>
      <w:r>
        <w:rPr>
          <w:spacing w:val="-4"/>
        </w:rPr>
        <w:t xml:space="preserve"> </w:t>
      </w:r>
      <w:r>
        <w:t>across</w:t>
      </w:r>
      <w:r>
        <w:rPr>
          <w:spacing w:val="-4"/>
        </w:rPr>
        <w:t xml:space="preserve"> </w:t>
      </w:r>
      <w:r>
        <w:t>multiple</w:t>
      </w:r>
      <w:r>
        <w:rPr>
          <w:spacing w:val="-7"/>
        </w:rPr>
        <w:t xml:space="preserve"> </w:t>
      </w:r>
      <w:r>
        <w:t>visits</w:t>
      </w:r>
      <w:r>
        <w:rPr>
          <w:spacing w:val="-6"/>
        </w:rPr>
        <w:t xml:space="preserve"> </w:t>
      </w:r>
      <w:r>
        <w:t>to</w:t>
      </w:r>
      <w:r>
        <w:rPr>
          <w:spacing w:val="-7"/>
        </w:rPr>
        <w:t xml:space="preserve"> </w:t>
      </w:r>
      <w:r>
        <w:t>local</w:t>
      </w:r>
      <w:r>
        <w:rPr>
          <w:spacing w:val="-4"/>
        </w:rPr>
        <w:t xml:space="preserve"> </w:t>
      </w:r>
      <w:r>
        <w:t>health</w:t>
      </w:r>
      <w:r>
        <w:rPr>
          <w:spacing w:val="-5"/>
        </w:rPr>
        <w:t xml:space="preserve"> </w:t>
      </w:r>
      <w:r>
        <w:t>providers</w:t>
      </w:r>
      <w:r>
        <w:rPr>
          <w:spacing w:val="-4"/>
        </w:rPr>
        <w:t xml:space="preserve"> </w:t>
      </w:r>
      <w:r>
        <w:t>and</w:t>
      </w:r>
      <w:r>
        <w:rPr>
          <w:spacing w:val="-5"/>
        </w:rPr>
        <w:t xml:space="preserve"> </w:t>
      </w:r>
      <w:r>
        <w:t>recommended reforms to address systemic racism affecting the care offered to Aboriginal and Torres Strait Islander patients.</w:t>
      </w:r>
      <w:r>
        <w:rPr>
          <w:position w:val="7"/>
          <w:sz w:val="13"/>
        </w:rPr>
        <w:t>427</w:t>
      </w:r>
      <w:r>
        <w:rPr>
          <w:spacing w:val="14"/>
          <w:position w:val="7"/>
          <w:sz w:val="13"/>
        </w:rPr>
        <w:t xml:space="preserve"> </w:t>
      </w:r>
      <w:r>
        <w:t>An</w:t>
      </w:r>
      <w:r>
        <w:rPr>
          <w:spacing w:val="-9"/>
        </w:rPr>
        <w:t xml:space="preserve"> </w:t>
      </w:r>
      <w:r>
        <w:t>explicit</w:t>
      </w:r>
      <w:r>
        <w:rPr>
          <w:spacing w:val="-8"/>
        </w:rPr>
        <w:t xml:space="preserve"> </w:t>
      </w:r>
      <w:r>
        <w:t>right</w:t>
      </w:r>
      <w:r>
        <w:rPr>
          <w:spacing w:val="-10"/>
        </w:rPr>
        <w:t xml:space="preserve"> </w:t>
      </w:r>
      <w:r>
        <w:t>to</w:t>
      </w:r>
      <w:r>
        <w:rPr>
          <w:spacing w:val="-11"/>
        </w:rPr>
        <w:t xml:space="preserve"> </w:t>
      </w:r>
      <w:r>
        <w:t>the</w:t>
      </w:r>
      <w:r>
        <w:rPr>
          <w:spacing w:val="-8"/>
        </w:rPr>
        <w:t xml:space="preserve"> </w:t>
      </w:r>
      <w:r>
        <w:t>highest</w:t>
      </w:r>
      <w:r>
        <w:rPr>
          <w:spacing w:val="-8"/>
        </w:rPr>
        <w:t xml:space="preserve"> </w:t>
      </w:r>
      <w:r>
        <w:t>attainable</w:t>
      </w:r>
      <w:r>
        <w:rPr>
          <w:spacing w:val="-8"/>
        </w:rPr>
        <w:t xml:space="preserve"> </w:t>
      </w:r>
      <w:r>
        <w:t>health</w:t>
      </w:r>
      <w:r>
        <w:rPr>
          <w:spacing w:val="-9"/>
        </w:rPr>
        <w:t xml:space="preserve"> </w:t>
      </w:r>
      <w:r>
        <w:t>may</w:t>
      </w:r>
      <w:r>
        <w:rPr>
          <w:spacing w:val="-8"/>
        </w:rPr>
        <w:t xml:space="preserve"> </w:t>
      </w:r>
      <w:r>
        <w:t>assist</w:t>
      </w:r>
      <w:r>
        <w:rPr>
          <w:spacing w:val="-9"/>
        </w:rPr>
        <w:t xml:space="preserve"> </w:t>
      </w:r>
      <w:r>
        <w:t>in</w:t>
      </w:r>
      <w:r>
        <w:rPr>
          <w:spacing w:val="-9"/>
        </w:rPr>
        <w:t xml:space="preserve"> </w:t>
      </w:r>
      <w:r>
        <w:t>the</w:t>
      </w:r>
      <w:r>
        <w:rPr>
          <w:spacing w:val="-8"/>
        </w:rPr>
        <w:t xml:space="preserve"> </w:t>
      </w:r>
      <w:r>
        <w:t>promotion</w:t>
      </w:r>
      <w:r>
        <w:rPr>
          <w:spacing w:val="-9"/>
        </w:rPr>
        <w:t xml:space="preserve"> </w:t>
      </w:r>
      <w:r>
        <w:t>of</w:t>
      </w:r>
      <w:r>
        <w:rPr>
          <w:spacing w:val="-8"/>
        </w:rPr>
        <w:t xml:space="preserve"> </w:t>
      </w:r>
      <w:r>
        <w:t>inclusive</w:t>
      </w:r>
      <w:r>
        <w:rPr>
          <w:spacing w:val="-8"/>
        </w:rPr>
        <w:t xml:space="preserve"> </w:t>
      </w:r>
      <w:r>
        <w:t>and culturally</w:t>
      </w:r>
      <w:r>
        <w:rPr>
          <w:spacing w:val="-14"/>
        </w:rPr>
        <w:t xml:space="preserve"> </w:t>
      </w:r>
      <w:r>
        <w:t>safe</w:t>
      </w:r>
      <w:r>
        <w:rPr>
          <w:spacing w:val="-14"/>
        </w:rPr>
        <w:t xml:space="preserve"> </w:t>
      </w:r>
      <w:r>
        <w:t>health</w:t>
      </w:r>
      <w:r>
        <w:rPr>
          <w:spacing w:val="-14"/>
        </w:rPr>
        <w:t xml:space="preserve"> </w:t>
      </w:r>
      <w:r>
        <w:t>practices</w:t>
      </w:r>
      <w:r>
        <w:rPr>
          <w:spacing w:val="-13"/>
        </w:rPr>
        <w:t xml:space="preserve"> </w:t>
      </w:r>
      <w:r>
        <w:t>across</w:t>
      </w:r>
      <w:r>
        <w:rPr>
          <w:spacing w:val="-13"/>
        </w:rPr>
        <w:t xml:space="preserve"> </w:t>
      </w:r>
      <w:r>
        <w:t>all</w:t>
      </w:r>
      <w:r>
        <w:rPr>
          <w:spacing w:val="-12"/>
        </w:rPr>
        <w:t xml:space="preserve"> </w:t>
      </w:r>
      <w:r>
        <w:t>public</w:t>
      </w:r>
      <w:r>
        <w:rPr>
          <w:spacing w:val="-13"/>
        </w:rPr>
        <w:t xml:space="preserve"> </w:t>
      </w:r>
      <w:r>
        <w:t>hospitals</w:t>
      </w:r>
      <w:r>
        <w:rPr>
          <w:spacing w:val="-13"/>
        </w:rPr>
        <w:t xml:space="preserve"> </w:t>
      </w:r>
      <w:r>
        <w:t>to</w:t>
      </w:r>
      <w:r>
        <w:rPr>
          <w:spacing w:val="-13"/>
        </w:rPr>
        <w:t xml:space="preserve"> </w:t>
      </w:r>
      <w:r>
        <w:t>avoid</w:t>
      </w:r>
      <w:r>
        <w:rPr>
          <w:spacing w:val="-13"/>
        </w:rPr>
        <w:t xml:space="preserve"> </w:t>
      </w:r>
      <w:r>
        <w:t>similar</w:t>
      </w:r>
      <w:r>
        <w:rPr>
          <w:spacing w:val="-14"/>
        </w:rPr>
        <w:t xml:space="preserve"> </w:t>
      </w:r>
      <w:r>
        <w:t>situations</w:t>
      </w:r>
      <w:r>
        <w:rPr>
          <w:spacing w:val="-14"/>
        </w:rPr>
        <w:t xml:space="preserve"> </w:t>
      </w:r>
      <w:r>
        <w:t>arising</w:t>
      </w:r>
      <w:r>
        <w:rPr>
          <w:spacing w:val="-15"/>
        </w:rPr>
        <w:t xml:space="preserve"> </w:t>
      </w:r>
      <w:r>
        <w:t>in</w:t>
      </w:r>
      <w:r>
        <w:rPr>
          <w:spacing w:val="-13"/>
        </w:rPr>
        <w:t xml:space="preserve"> </w:t>
      </w:r>
      <w:r>
        <w:t>Tasmania.</w:t>
      </w:r>
    </w:p>
    <w:p w14:paraId="7CB261A0" w14:textId="77777777" w:rsidR="008A4099" w:rsidRDefault="006A6EE2">
      <w:pPr>
        <w:pStyle w:val="ListParagraph"/>
        <w:numPr>
          <w:ilvl w:val="2"/>
          <w:numId w:val="3"/>
        </w:numPr>
        <w:tabs>
          <w:tab w:val="left" w:pos="879"/>
        </w:tabs>
        <w:spacing w:before="218"/>
        <w:ind w:right="674" w:firstLine="0"/>
        <w:jc w:val="both"/>
      </w:pPr>
      <w:r>
        <w:t>The</w:t>
      </w:r>
      <w:r>
        <w:rPr>
          <w:spacing w:val="-8"/>
        </w:rPr>
        <w:t xml:space="preserve"> </w:t>
      </w:r>
      <w:r>
        <w:rPr>
          <w:i/>
        </w:rPr>
        <w:t>Human</w:t>
      </w:r>
      <w:r>
        <w:rPr>
          <w:i/>
          <w:spacing w:val="-8"/>
        </w:rPr>
        <w:t xml:space="preserve"> </w:t>
      </w:r>
      <w:r>
        <w:rPr>
          <w:i/>
        </w:rPr>
        <w:t>Rights</w:t>
      </w:r>
      <w:r>
        <w:rPr>
          <w:i/>
          <w:spacing w:val="-7"/>
        </w:rPr>
        <w:t xml:space="preserve"> </w:t>
      </w:r>
      <w:r>
        <w:rPr>
          <w:i/>
        </w:rPr>
        <w:t>Act</w:t>
      </w:r>
      <w:r>
        <w:rPr>
          <w:i/>
          <w:spacing w:val="-7"/>
        </w:rPr>
        <w:t xml:space="preserve"> </w:t>
      </w:r>
      <w:r>
        <w:rPr>
          <w:i/>
        </w:rPr>
        <w:t>2019</w:t>
      </w:r>
      <w:r>
        <w:rPr>
          <w:i/>
          <w:spacing w:val="-7"/>
        </w:rPr>
        <w:t xml:space="preserve"> </w:t>
      </w:r>
      <w:r>
        <w:t>(Qld)</w:t>
      </w:r>
      <w:r>
        <w:rPr>
          <w:spacing w:val="-7"/>
        </w:rPr>
        <w:t xml:space="preserve"> </w:t>
      </w:r>
      <w:r>
        <w:t>protects</w:t>
      </w:r>
      <w:r>
        <w:rPr>
          <w:spacing w:val="-7"/>
        </w:rPr>
        <w:t xml:space="preserve"> </w:t>
      </w:r>
      <w:r>
        <w:t>a</w:t>
      </w:r>
      <w:r>
        <w:rPr>
          <w:spacing w:val="-9"/>
        </w:rPr>
        <w:t xml:space="preserve"> </w:t>
      </w:r>
      <w:r>
        <w:t>right</w:t>
      </w:r>
      <w:r>
        <w:rPr>
          <w:spacing w:val="-8"/>
        </w:rPr>
        <w:t xml:space="preserve"> </w:t>
      </w:r>
      <w:r>
        <w:t>to</w:t>
      </w:r>
      <w:r>
        <w:rPr>
          <w:spacing w:val="-10"/>
        </w:rPr>
        <w:t xml:space="preserve"> </w:t>
      </w:r>
      <w:r>
        <w:t>health</w:t>
      </w:r>
      <w:r>
        <w:rPr>
          <w:spacing w:val="-8"/>
        </w:rPr>
        <w:t xml:space="preserve"> </w:t>
      </w:r>
      <w:r>
        <w:t>services,</w:t>
      </w:r>
      <w:r>
        <w:rPr>
          <w:spacing w:val="-7"/>
        </w:rPr>
        <w:t xml:space="preserve"> </w:t>
      </w:r>
      <w:r>
        <w:t>which</w:t>
      </w:r>
      <w:r>
        <w:rPr>
          <w:spacing w:val="-8"/>
        </w:rPr>
        <w:t xml:space="preserve"> </w:t>
      </w:r>
      <w:r>
        <w:t>provides</w:t>
      </w:r>
      <w:r>
        <w:rPr>
          <w:spacing w:val="-7"/>
        </w:rPr>
        <w:t xml:space="preserve"> </w:t>
      </w:r>
      <w:r>
        <w:t>that</w:t>
      </w:r>
      <w:r>
        <w:rPr>
          <w:spacing w:val="-8"/>
        </w:rPr>
        <w:t xml:space="preserve"> </w:t>
      </w:r>
      <w:r>
        <w:t>every person has</w:t>
      </w:r>
      <w:r>
        <w:rPr>
          <w:spacing w:val="-2"/>
        </w:rPr>
        <w:t xml:space="preserve"> </w:t>
      </w:r>
      <w:r>
        <w:t>a right to</w:t>
      </w:r>
      <w:r>
        <w:rPr>
          <w:spacing w:val="-2"/>
        </w:rPr>
        <w:t xml:space="preserve"> </w:t>
      </w:r>
      <w:r>
        <w:t>access</w:t>
      </w:r>
      <w:r>
        <w:rPr>
          <w:spacing w:val="-1"/>
        </w:rPr>
        <w:t xml:space="preserve"> </w:t>
      </w:r>
      <w:r>
        <w:t>health services without discrimination</w:t>
      </w:r>
      <w:r>
        <w:rPr>
          <w:spacing w:val="-2"/>
        </w:rPr>
        <w:t xml:space="preserve"> </w:t>
      </w:r>
      <w:r>
        <w:t>and</w:t>
      </w:r>
      <w:r>
        <w:rPr>
          <w:spacing w:val="-2"/>
        </w:rPr>
        <w:t xml:space="preserve"> </w:t>
      </w:r>
      <w:r>
        <w:t>must not be refused emergency medical treatment that is immediately necessary to save the person’s life or to prevent serious impairment to the person.</w:t>
      </w:r>
      <w:r>
        <w:rPr>
          <w:position w:val="7"/>
          <w:sz w:val="13"/>
        </w:rPr>
        <w:t>428</w:t>
      </w:r>
      <w:r>
        <w:rPr>
          <w:spacing w:val="25"/>
          <w:position w:val="7"/>
          <w:sz w:val="13"/>
        </w:rPr>
        <w:t xml:space="preserve"> </w:t>
      </w:r>
      <w:r>
        <w:t>The inclusion of a right to the highest attainable standard of physical and mental health was contested in Queensland as potentially undermining parliamentary discretion regarding</w:t>
      </w:r>
      <w:r>
        <w:rPr>
          <w:spacing w:val="-6"/>
        </w:rPr>
        <w:t xml:space="preserve"> </w:t>
      </w:r>
      <w:r>
        <w:t>budgetary</w:t>
      </w:r>
      <w:r>
        <w:rPr>
          <w:spacing w:val="-6"/>
        </w:rPr>
        <w:t xml:space="preserve"> </w:t>
      </w:r>
      <w:r>
        <w:t>allocations</w:t>
      </w:r>
      <w:r>
        <w:rPr>
          <w:spacing w:val="-8"/>
        </w:rPr>
        <w:t xml:space="preserve"> </w:t>
      </w:r>
      <w:r>
        <w:t>to</w:t>
      </w:r>
      <w:r>
        <w:rPr>
          <w:spacing w:val="-6"/>
        </w:rPr>
        <w:t xml:space="preserve"> </w:t>
      </w:r>
      <w:r>
        <w:t>health</w:t>
      </w:r>
      <w:r>
        <w:rPr>
          <w:spacing w:val="-6"/>
        </w:rPr>
        <w:t xml:space="preserve"> </w:t>
      </w:r>
      <w:r>
        <w:t>services</w:t>
      </w:r>
      <w:r>
        <w:rPr>
          <w:spacing w:val="-5"/>
        </w:rPr>
        <w:t xml:space="preserve"> </w:t>
      </w:r>
      <w:r>
        <w:t>and</w:t>
      </w:r>
      <w:r>
        <w:rPr>
          <w:spacing w:val="-9"/>
        </w:rPr>
        <w:t xml:space="preserve"> </w:t>
      </w:r>
      <w:r>
        <w:t>putting</w:t>
      </w:r>
      <w:r>
        <w:rPr>
          <w:spacing w:val="-9"/>
        </w:rPr>
        <w:t xml:space="preserve"> </w:t>
      </w:r>
      <w:r>
        <w:t>frontline</w:t>
      </w:r>
      <w:r>
        <w:rPr>
          <w:spacing w:val="-6"/>
        </w:rPr>
        <w:t xml:space="preserve"> </w:t>
      </w:r>
      <w:r>
        <w:t>workers</w:t>
      </w:r>
      <w:r>
        <w:rPr>
          <w:spacing w:val="-5"/>
        </w:rPr>
        <w:t xml:space="preserve"> </w:t>
      </w:r>
      <w:r>
        <w:t>at</w:t>
      </w:r>
      <w:r>
        <w:rPr>
          <w:spacing w:val="-8"/>
        </w:rPr>
        <w:t xml:space="preserve"> </w:t>
      </w:r>
      <w:r>
        <w:t>risk,</w:t>
      </w:r>
      <w:r>
        <w:rPr>
          <w:spacing w:val="-6"/>
        </w:rPr>
        <w:t xml:space="preserve"> </w:t>
      </w:r>
      <w:r>
        <w:t>if</w:t>
      </w:r>
      <w:r>
        <w:rPr>
          <w:spacing w:val="-8"/>
        </w:rPr>
        <w:t xml:space="preserve"> </w:t>
      </w:r>
      <w:r>
        <w:t>they</w:t>
      </w:r>
      <w:r>
        <w:rPr>
          <w:spacing w:val="-6"/>
        </w:rPr>
        <w:t xml:space="preserve"> </w:t>
      </w:r>
      <w:r>
        <w:t>were</w:t>
      </w:r>
      <w:r>
        <w:rPr>
          <w:spacing w:val="-6"/>
        </w:rPr>
        <w:t xml:space="preserve"> </w:t>
      </w:r>
      <w:r>
        <w:t>not able to deny access to service. To date, and despite the intervening pandemic placing health services under intense pressure, the right to health services was not invoked in the Review Period.</w:t>
      </w:r>
    </w:p>
    <w:p w14:paraId="7CB261A1" w14:textId="77777777" w:rsidR="008A4099" w:rsidRDefault="006A6EE2">
      <w:pPr>
        <w:pStyle w:val="Heading3"/>
        <w:spacing w:before="235"/>
      </w:pPr>
      <w:r>
        <w:t>TLRI’s</w:t>
      </w:r>
      <w:r>
        <w:rPr>
          <w:spacing w:val="-5"/>
        </w:rPr>
        <w:t xml:space="preserve"> </w:t>
      </w:r>
      <w:r>
        <w:t>current</w:t>
      </w:r>
      <w:r>
        <w:rPr>
          <w:spacing w:val="-3"/>
        </w:rPr>
        <w:t xml:space="preserve"> </w:t>
      </w:r>
      <w:r>
        <w:rPr>
          <w:spacing w:val="-4"/>
        </w:rPr>
        <w:t>views</w:t>
      </w:r>
    </w:p>
    <w:p w14:paraId="7CB261A2" w14:textId="77777777" w:rsidR="008A4099" w:rsidRDefault="006A6EE2">
      <w:pPr>
        <w:pStyle w:val="ListParagraph"/>
        <w:numPr>
          <w:ilvl w:val="2"/>
          <w:numId w:val="3"/>
        </w:numPr>
        <w:tabs>
          <w:tab w:val="left" w:pos="879"/>
        </w:tabs>
        <w:spacing w:before="259"/>
        <w:ind w:right="674" w:firstLine="0"/>
        <w:jc w:val="both"/>
      </w:pPr>
      <w:r>
        <w:t>The TLRI continues to support inclusion of a broadly expressed right to the highest attainable standard</w:t>
      </w:r>
      <w:r>
        <w:rPr>
          <w:spacing w:val="-5"/>
        </w:rPr>
        <w:t xml:space="preserve"> </w:t>
      </w:r>
      <w:r>
        <w:t>of</w:t>
      </w:r>
      <w:r>
        <w:rPr>
          <w:spacing w:val="-2"/>
        </w:rPr>
        <w:t xml:space="preserve"> </w:t>
      </w:r>
      <w:r>
        <w:t>physical</w:t>
      </w:r>
      <w:r>
        <w:rPr>
          <w:spacing w:val="-1"/>
        </w:rPr>
        <w:t xml:space="preserve"> </w:t>
      </w:r>
      <w:r>
        <w:t>and</w:t>
      </w:r>
      <w:r>
        <w:rPr>
          <w:spacing w:val="-4"/>
        </w:rPr>
        <w:t xml:space="preserve"> </w:t>
      </w:r>
      <w:r>
        <w:t>mental</w:t>
      </w:r>
      <w:r>
        <w:rPr>
          <w:spacing w:val="-1"/>
        </w:rPr>
        <w:t xml:space="preserve"> </w:t>
      </w:r>
      <w:r>
        <w:t>health</w:t>
      </w:r>
      <w:r>
        <w:rPr>
          <w:spacing w:val="-2"/>
        </w:rPr>
        <w:t xml:space="preserve"> </w:t>
      </w:r>
      <w:r>
        <w:t>consistent</w:t>
      </w:r>
      <w:r>
        <w:rPr>
          <w:spacing w:val="-1"/>
        </w:rPr>
        <w:t xml:space="preserve"> </w:t>
      </w:r>
      <w:r>
        <w:t>with</w:t>
      </w:r>
      <w:r>
        <w:rPr>
          <w:spacing w:val="-5"/>
        </w:rPr>
        <w:t xml:space="preserve"> </w:t>
      </w:r>
      <w:r>
        <w:t>the</w:t>
      </w:r>
      <w:r>
        <w:rPr>
          <w:spacing w:val="-1"/>
        </w:rPr>
        <w:t xml:space="preserve"> </w:t>
      </w:r>
      <w:r>
        <w:rPr>
          <w:i/>
        </w:rPr>
        <w:t>International</w:t>
      </w:r>
      <w:r>
        <w:rPr>
          <w:i/>
          <w:spacing w:val="-1"/>
        </w:rPr>
        <w:t xml:space="preserve"> </w:t>
      </w:r>
      <w:r>
        <w:rPr>
          <w:i/>
        </w:rPr>
        <w:t>Covenant</w:t>
      </w:r>
      <w:r>
        <w:rPr>
          <w:i/>
          <w:spacing w:val="-4"/>
        </w:rPr>
        <w:t xml:space="preserve"> </w:t>
      </w:r>
      <w:r>
        <w:rPr>
          <w:i/>
        </w:rPr>
        <w:t>on</w:t>
      </w:r>
      <w:r>
        <w:rPr>
          <w:i/>
          <w:spacing w:val="-2"/>
        </w:rPr>
        <w:t xml:space="preserve"> </w:t>
      </w:r>
      <w:r>
        <w:rPr>
          <w:i/>
        </w:rPr>
        <w:t>Economic</w:t>
      </w:r>
      <w:r>
        <w:rPr>
          <w:i/>
          <w:spacing w:val="-2"/>
        </w:rPr>
        <w:t xml:space="preserve"> </w:t>
      </w:r>
      <w:r>
        <w:rPr>
          <w:i/>
        </w:rPr>
        <w:t>Social and Cultural Rights</w:t>
      </w:r>
      <w:r>
        <w:t xml:space="preserve">, but recommends that, if such a right is not adopted, a Tasmanian Charter should include a right to adequate health services similar to that in s 37 of the </w:t>
      </w:r>
      <w:r>
        <w:rPr>
          <w:i/>
        </w:rPr>
        <w:t xml:space="preserve">Human Rights Act 2019 </w:t>
      </w:r>
      <w:r>
        <w:t>(Qld). This is set out in Recommendation 7.</w:t>
      </w:r>
    </w:p>
    <w:p w14:paraId="7CB261A3" w14:textId="77777777" w:rsidR="008A4099" w:rsidRDefault="008A4099">
      <w:pPr>
        <w:pStyle w:val="BodyText"/>
        <w:rPr>
          <w:sz w:val="20"/>
        </w:rPr>
      </w:pPr>
    </w:p>
    <w:p w14:paraId="7CB261A4" w14:textId="77777777" w:rsidR="008A4099" w:rsidRDefault="008A4099">
      <w:pPr>
        <w:pStyle w:val="BodyText"/>
        <w:rPr>
          <w:sz w:val="20"/>
        </w:rPr>
      </w:pPr>
    </w:p>
    <w:p w14:paraId="7CB261A5" w14:textId="77777777" w:rsidR="008A4099" w:rsidRDefault="006A6EE2">
      <w:pPr>
        <w:pStyle w:val="BodyText"/>
        <w:spacing w:before="28"/>
        <w:rPr>
          <w:sz w:val="20"/>
        </w:rPr>
      </w:pPr>
      <w:r>
        <w:rPr>
          <w:noProof/>
        </w:rPr>
        <mc:AlternateContent>
          <mc:Choice Requires="wps">
            <w:drawing>
              <wp:anchor distT="0" distB="0" distL="0" distR="0" simplePos="0" relativeHeight="487625216" behindDoc="1" locked="0" layoutInCell="1" allowOverlap="1" wp14:anchorId="7CB2666B" wp14:editId="7CB2666C">
                <wp:simplePos x="0" y="0"/>
                <wp:positionH relativeFrom="page">
                  <wp:posOffset>914704</wp:posOffset>
                </wp:positionH>
                <wp:positionV relativeFrom="paragraph">
                  <wp:posOffset>179287</wp:posOffset>
                </wp:positionV>
                <wp:extent cx="1829435" cy="762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9E9F19" id="Graphic 121" o:spid="_x0000_s1026" style="position:absolute;margin-left:1in;margin-top:14.1pt;width:144.05pt;height:.6pt;z-index:-156912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" path="m1829054,l,,,7620r1829054,l1829054,xe" fillcolor="black" stroked="f">
                <v:path arrowok="t"/>
                <w10:wrap type="topAndBottom" anchorx="page"/>
              </v:shape>
            </w:pict>
          </mc:Fallback>
        </mc:AlternateContent>
      </w:r>
    </w:p>
    <w:p w14:paraId="7CB261A6" w14:textId="77777777" w:rsidR="008A4099" w:rsidRDefault="006A6EE2">
      <w:pPr>
        <w:spacing w:before="115"/>
        <w:ind w:left="160"/>
        <w:rPr>
          <w:sz w:val="18"/>
        </w:rPr>
      </w:pPr>
      <w:r>
        <w:rPr>
          <w:sz w:val="18"/>
          <w:vertAlign w:val="superscript"/>
        </w:rPr>
        <w:t>424</w:t>
      </w:r>
      <w:r>
        <w:rPr>
          <w:spacing w:val="-1"/>
          <w:sz w:val="18"/>
        </w:rPr>
        <w:t xml:space="preserve"> </w:t>
      </w:r>
      <w:r>
        <w:rPr>
          <w:sz w:val="18"/>
        </w:rPr>
        <w:t>TLRI 2007</w:t>
      </w:r>
      <w:r>
        <w:rPr>
          <w:spacing w:val="1"/>
          <w:sz w:val="18"/>
        </w:rPr>
        <w:t xml:space="preserve"> </w:t>
      </w:r>
      <w:r>
        <w:rPr>
          <w:sz w:val="18"/>
        </w:rPr>
        <w:t>Final Report,</w:t>
      </w:r>
      <w:r>
        <w:rPr>
          <w:spacing w:val="-2"/>
          <w:sz w:val="18"/>
        </w:rPr>
        <w:t xml:space="preserve"> </w:t>
      </w:r>
      <w:r>
        <w:rPr>
          <w:sz w:val="18"/>
        </w:rPr>
        <w:t>Recommendations</w:t>
      </w:r>
      <w:r>
        <w:rPr>
          <w:spacing w:val="-3"/>
          <w:sz w:val="18"/>
        </w:rPr>
        <w:t xml:space="preserve"> </w:t>
      </w:r>
      <w:r>
        <w:rPr>
          <w:sz w:val="18"/>
        </w:rPr>
        <w:t>15,</w:t>
      </w:r>
      <w:r>
        <w:rPr>
          <w:spacing w:val="-1"/>
          <w:sz w:val="18"/>
        </w:rPr>
        <w:t xml:space="preserve"> </w:t>
      </w:r>
      <w:r>
        <w:rPr>
          <w:sz w:val="18"/>
        </w:rPr>
        <w:t>16</w:t>
      </w:r>
      <w:r>
        <w:rPr>
          <w:spacing w:val="1"/>
          <w:sz w:val="18"/>
        </w:rPr>
        <w:t xml:space="preserve"> </w:t>
      </w:r>
      <w:r>
        <w:rPr>
          <w:sz w:val="18"/>
        </w:rPr>
        <w:t>and</w:t>
      </w:r>
      <w:r>
        <w:rPr>
          <w:spacing w:val="-1"/>
          <w:sz w:val="18"/>
        </w:rPr>
        <w:t xml:space="preserve"> </w:t>
      </w:r>
      <w:r>
        <w:rPr>
          <w:spacing w:val="-5"/>
          <w:sz w:val="18"/>
        </w:rPr>
        <w:t>17.</w:t>
      </w:r>
    </w:p>
    <w:p w14:paraId="7CB261A7" w14:textId="77777777" w:rsidR="008A4099" w:rsidRDefault="006A6EE2">
      <w:pPr>
        <w:spacing w:before="21"/>
        <w:ind w:left="160"/>
        <w:rPr>
          <w:sz w:val="18"/>
        </w:rPr>
      </w:pPr>
      <w:r>
        <w:rPr>
          <w:sz w:val="18"/>
          <w:vertAlign w:val="superscript"/>
        </w:rPr>
        <w:t>425</w:t>
      </w:r>
      <w:r>
        <w:rPr>
          <w:spacing w:val="-1"/>
          <w:sz w:val="18"/>
        </w:rPr>
        <w:t xml:space="preserve"> </w:t>
      </w:r>
      <w:r>
        <w:rPr>
          <w:i/>
          <w:sz w:val="18"/>
        </w:rPr>
        <w:t>Human</w:t>
      </w:r>
      <w:r>
        <w:rPr>
          <w:i/>
          <w:spacing w:val="-2"/>
          <w:sz w:val="18"/>
        </w:rPr>
        <w:t xml:space="preserve"> </w:t>
      </w:r>
      <w:r>
        <w:rPr>
          <w:i/>
          <w:sz w:val="18"/>
        </w:rPr>
        <w:t>Rights</w:t>
      </w:r>
      <w:r>
        <w:rPr>
          <w:i/>
          <w:spacing w:val="-1"/>
          <w:sz w:val="18"/>
        </w:rPr>
        <w:t xml:space="preserve"> </w:t>
      </w:r>
      <w:r>
        <w:rPr>
          <w:i/>
          <w:sz w:val="18"/>
        </w:rPr>
        <w:t>(Workers’</w:t>
      </w:r>
      <w:r>
        <w:rPr>
          <w:i/>
          <w:spacing w:val="-1"/>
          <w:sz w:val="18"/>
        </w:rPr>
        <w:t xml:space="preserve"> </w:t>
      </w:r>
      <w:r>
        <w:rPr>
          <w:i/>
          <w:sz w:val="18"/>
        </w:rPr>
        <w:t>Rights)</w:t>
      </w:r>
      <w:r>
        <w:rPr>
          <w:i/>
          <w:spacing w:val="-2"/>
          <w:sz w:val="18"/>
        </w:rPr>
        <w:t xml:space="preserve"> </w:t>
      </w:r>
      <w:r>
        <w:rPr>
          <w:i/>
          <w:sz w:val="18"/>
        </w:rPr>
        <w:t>Amendment</w:t>
      </w:r>
      <w:r>
        <w:rPr>
          <w:i/>
          <w:spacing w:val="-3"/>
          <w:sz w:val="18"/>
        </w:rPr>
        <w:t xml:space="preserve"> </w:t>
      </w:r>
      <w:r>
        <w:rPr>
          <w:i/>
          <w:sz w:val="18"/>
        </w:rPr>
        <w:t>Act 2020</w:t>
      </w:r>
      <w:r>
        <w:rPr>
          <w:i/>
          <w:spacing w:val="3"/>
          <w:sz w:val="18"/>
        </w:rPr>
        <w:t xml:space="preserve"> </w:t>
      </w:r>
      <w:r>
        <w:rPr>
          <w:sz w:val="18"/>
        </w:rPr>
        <w:t>(ACT), which enacted</w:t>
      </w:r>
      <w:r>
        <w:rPr>
          <w:spacing w:val="1"/>
          <w:sz w:val="18"/>
        </w:rPr>
        <w:t xml:space="preserve"> </w:t>
      </w:r>
      <w:r>
        <w:rPr>
          <w:sz w:val="18"/>
        </w:rPr>
        <w:t>s</w:t>
      </w:r>
      <w:r>
        <w:rPr>
          <w:spacing w:val="-1"/>
          <w:sz w:val="18"/>
        </w:rPr>
        <w:t xml:space="preserve"> </w:t>
      </w:r>
      <w:r>
        <w:rPr>
          <w:spacing w:val="-4"/>
          <w:sz w:val="18"/>
        </w:rPr>
        <w:t>27B.</w:t>
      </w:r>
    </w:p>
    <w:p w14:paraId="7CB261A8" w14:textId="77777777" w:rsidR="008A4099" w:rsidRDefault="006A6EE2">
      <w:pPr>
        <w:spacing w:before="23"/>
        <w:ind w:left="160"/>
        <w:rPr>
          <w:sz w:val="18"/>
        </w:rPr>
      </w:pPr>
      <w:r>
        <w:rPr>
          <w:sz w:val="18"/>
          <w:vertAlign w:val="superscript"/>
        </w:rPr>
        <w:t>426</w:t>
      </w:r>
      <w:r>
        <w:rPr>
          <w:spacing w:val="-1"/>
          <w:sz w:val="18"/>
        </w:rPr>
        <w:t xml:space="preserve"> </w:t>
      </w:r>
      <w:r>
        <w:rPr>
          <w:sz w:val="18"/>
        </w:rPr>
        <w:t>TLRI 2007 Final Report,</w:t>
      </w:r>
      <w:r>
        <w:rPr>
          <w:spacing w:val="-2"/>
          <w:sz w:val="18"/>
        </w:rPr>
        <w:t xml:space="preserve"> </w:t>
      </w:r>
      <w:r>
        <w:rPr>
          <w:sz w:val="18"/>
        </w:rPr>
        <w:t>Recommendations</w:t>
      </w:r>
      <w:r>
        <w:rPr>
          <w:spacing w:val="-4"/>
          <w:sz w:val="18"/>
        </w:rPr>
        <w:t xml:space="preserve"> </w:t>
      </w:r>
      <w:r>
        <w:rPr>
          <w:sz w:val="18"/>
        </w:rPr>
        <w:t>15, 16</w:t>
      </w:r>
      <w:r>
        <w:rPr>
          <w:spacing w:val="1"/>
          <w:sz w:val="18"/>
        </w:rPr>
        <w:t xml:space="preserve"> </w:t>
      </w:r>
      <w:r>
        <w:rPr>
          <w:sz w:val="18"/>
        </w:rPr>
        <w:t>and</w:t>
      </w:r>
      <w:r>
        <w:rPr>
          <w:spacing w:val="-2"/>
          <w:sz w:val="18"/>
        </w:rPr>
        <w:t xml:space="preserve"> </w:t>
      </w:r>
      <w:r>
        <w:rPr>
          <w:sz w:val="18"/>
        </w:rPr>
        <w:t>17,</w:t>
      </w:r>
      <w:r>
        <w:rPr>
          <w:spacing w:val="-2"/>
          <w:sz w:val="18"/>
        </w:rPr>
        <w:t xml:space="preserve"> </w:t>
      </w:r>
      <w:r>
        <w:rPr>
          <w:sz w:val="18"/>
        </w:rPr>
        <w:t>and</w:t>
      </w:r>
      <w:r>
        <w:rPr>
          <w:spacing w:val="-1"/>
          <w:sz w:val="18"/>
        </w:rPr>
        <w:t xml:space="preserve"> </w:t>
      </w:r>
      <w:r>
        <w:rPr>
          <w:sz w:val="18"/>
        </w:rPr>
        <w:t>see</w:t>
      </w:r>
      <w:r>
        <w:rPr>
          <w:spacing w:val="-2"/>
          <w:sz w:val="18"/>
        </w:rPr>
        <w:t xml:space="preserve"> </w:t>
      </w:r>
      <w:r>
        <w:rPr>
          <w:sz w:val="18"/>
        </w:rPr>
        <w:t>para</w:t>
      </w:r>
      <w:r>
        <w:rPr>
          <w:spacing w:val="-1"/>
          <w:sz w:val="18"/>
        </w:rPr>
        <w:t xml:space="preserve"> </w:t>
      </w:r>
      <w:r>
        <w:rPr>
          <w:sz w:val="18"/>
        </w:rPr>
        <w:t>[4.14.25]</w:t>
      </w:r>
      <w:r>
        <w:rPr>
          <w:spacing w:val="-2"/>
          <w:sz w:val="18"/>
        </w:rPr>
        <w:t xml:space="preserve"> </w:t>
      </w:r>
      <w:r>
        <w:rPr>
          <w:sz w:val="18"/>
        </w:rPr>
        <w:t>of</w:t>
      </w:r>
      <w:r>
        <w:rPr>
          <w:spacing w:val="-1"/>
          <w:sz w:val="18"/>
        </w:rPr>
        <w:t xml:space="preserve"> </w:t>
      </w:r>
      <w:r>
        <w:rPr>
          <w:sz w:val="18"/>
        </w:rPr>
        <w:t>the</w:t>
      </w:r>
      <w:r>
        <w:rPr>
          <w:spacing w:val="-1"/>
          <w:sz w:val="18"/>
        </w:rPr>
        <w:t xml:space="preserve"> </w:t>
      </w:r>
      <w:r>
        <w:rPr>
          <w:sz w:val="18"/>
        </w:rPr>
        <w:t>2007 Final</w:t>
      </w:r>
      <w:r>
        <w:rPr>
          <w:spacing w:val="-2"/>
          <w:sz w:val="18"/>
        </w:rPr>
        <w:t xml:space="preserve"> Report.</w:t>
      </w:r>
    </w:p>
    <w:p w14:paraId="7CB261A9" w14:textId="77777777" w:rsidR="008A4099" w:rsidRDefault="006A6EE2">
      <w:pPr>
        <w:spacing w:before="24"/>
        <w:ind w:left="160"/>
        <w:rPr>
          <w:sz w:val="18"/>
        </w:rPr>
      </w:pPr>
      <w:r>
        <w:rPr>
          <w:sz w:val="18"/>
          <w:vertAlign w:val="superscript"/>
        </w:rPr>
        <w:t>427</w:t>
      </w:r>
      <w:r>
        <w:rPr>
          <w:sz w:val="18"/>
        </w:rPr>
        <w:t xml:space="preserve"> NSW</w:t>
      </w:r>
      <w:r>
        <w:rPr>
          <w:spacing w:val="1"/>
          <w:sz w:val="18"/>
        </w:rPr>
        <w:t xml:space="preserve"> </w:t>
      </w:r>
      <w:r>
        <w:rPr>
          <w:sz w:val="18"/>
        </w:rPr>
        <w:t xml:space="preserve">Coroners Court, </w:t>
      </w:r>
      <w:r>
        <w:rPr>
          <w:i/>
          <w:sz w:val="18"/>
        </w:rPr>
        <w:t>Inquest into</w:t>
      </w:r>
      <w:r>
        <w:rPr>
          <w:i/>
          <w:spacing w:val="2"/>
          <w:sz w:val="18"/>
        </w:rPr>
        <w:t xml:space="preserve"> </w:t>
      </w:r>
      <w:r>
        <w:rPr>
          <w:i/>
          <w:sz w:val="18"/>
        </w:rPr>
        <w:t>the</w:t>
      </w:r>
      <w:r>
        <w:rPr>
          <w:i/>
          <w:spacing w:val="-1"/>
          <w:sz w:val="18"/>
        </w:rPr>
        <w:t xml:space="preserve"> </w:t>
      </w:r>
      <w:r>
        <w:rPr>
          <w:i/>
          <w:sz w:val="18"/>
        </w:rPr>
        <w:t>Death</w:t>
      </w:r>
      <w:r>
        <w:rPr>
          <w:i/>
          <w:spacing w:val="-1"/>
          <w:sz w:val="18"/>
        </w:rPr>
        <w:t xml:space="preserve"> </w:t>
      </w:r>
      <w:r>
        <w:rPr>
          <w:i/>
          <w:sz w:val="18"/>
        </w:rPr>
        <w:t>of Naomi</w:t>
      </w:r>
      <w:r>
        <w:rPr>
          <w:i/>
          <w:spacing w:val="-2"/>
          <w:sz w:val="18"/>
        </w:rPr>
        <w:t xml:space="preserve"> </w:t>
      </w:r>
      <w:r>
        <w:rPr>
          <w:i/>
          <w:sz w:val="18"/>
        </w:rPr>
        <w:t>Williams</w:t>
      </w:r>
      <w:r>
        <w:rPr>
          <w:sz w:val="18"/>
        </w:rPr>
        <w:t>,</w:t>
      </w:r>
      <w:r>
        <w:rPr>
          <w:spacing w:val="-1"/>
          <w:sz w:val="18"/>
        </w:rPr>
        <w:t xml:space="preserve"> </w:t>
      </w:r>
      <w:r>
        <w:rPr>
          <w:sz w:val="18"/>
        </w:rPr>
        <w:t>29</w:t>
      </w:r>
      <w:r>
        <w:rPr>
          <w:spacing w:val="1"/>
          <w:sz w:val="18"/>
        </w:rPr>
        <w:t xml:space="preserve"> </w:t>
      </w:r>
      <w:r>
        <w:rPr>
          <w:sz w:val="18"/>
        </w:rPr>
        <w:t>July</w:t>
      </w:r>
      <w:r>
        <w:rPr>
          <w:spacing w:val="-1"/>
          <w:sz w:val="18"/>
        </w:rPr>
        <w:t xml:space="preserve"> </w:t>
      </w:r>
      <w:r>
        <w:rPr>
          <w:sz w:val="18"/>
        </w:rPr>
        <w:t>2019</w:t>
      </w:r>
      <w:r>
        <w:rPr>
          <w:spacing w:val="-1"/>
          <w:sz w:val="18"/>
        </w:rPr>
        <w:t xml:space="preserve"> </w:t>
      </w:r>
      <w:r>
        <w:rPr>
          <w:spacing w:val="-2"/>
          <w:sz w:val="18"/>
        </w:rPr>
        <w:t>[107].</w:t>
      </w:r>
    </w:p>
    <w:p w14:paraId="7CB261AA" w14:textId="77777777" w:rsidR="008A4099" w:rsidRDefault="006A6EE2">
      <w:pPr>
        <w:spacing w:before="23"/>
        <w:ind w:left="160"/>
        <w:rPr>
          <w:sz w:val="18"/>
        </w:rPr>
      </w:pPr>
      <w:r>
        <w:rPr>
          <w:sz w:val="18"/>
          <w:vertAlign w:val="superscript"/>
        </w:rPr>
        <w:t>428</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5"/>
          <w:sz w:val="18"/>
        </w:rPr>
        <w:t>37.</w:t>
      </w:r>
    </w:p>
    <w:p w14:paraId="7CB261AB" w14:textId="77777777" w:rsidR="008A4099" w:rsidRDefault="008A4099">
      <w:pPr>
        <w:rPr>
          <w:sz w:val="18"/>
        </w:rPr>
        <w:sectPr w:rsidR="008A4099" w:rsidSect="00D43B2D">
          <w:pgSz w:w="11910" w:h="16840"/>
          <w:pgMar w:top="980" w:right="760" w:bottom="940" w:left="1280" w:header="718" w:footer="753" w:gutter="0"/>
          <w:cols w:space="720"/>
        </w:sectPr>
      </w:pPr>
    </w:p>
    <w:p w14:paraId="7CB261AC" w14:textId="77777777" w:rsidR="008A4099" w:rsidRDefault="008A4099">
      <w:pPr>
        <w:pStyle w:val="BodyText"/>
        <w:spacing w:before="183"/>
        <w:rPr>
          <w:sz w:val="23"/>
        </w:rPr>
      </w:pPr>
    </w:p>
    <w:p w14:paraId="7CB261AD" w14:textId="77777777" w:rsidR="008A4099" w:rsidRDefault="006A6EE2">
      <w:pPr>
        <w:pStyle w:val="Heading4"/>
        <w:spacing w:before="0"/>
      </w:pPr>
      <w:bookmarkStart w:id="41" w:name="_TOC_250019"/>
      <w:r>
        <w:t>Right to</w:t>
      </w:r>
      <w:r>
        <w:rPr>
          <w:spacing w:val="1"/>
        </w:rPr>
        <w:t xml:space="preserve"> </w:t>
      </w:r>
      <w:bookmarkEnd w:id="41"/>
      <w:r>
        <w:rPr>
          <w:spacing w:val="-2"/>
        </w:rPr>
        <w:t>housing</w:t>
      </w:r>
    </w:p>
    <w:p w14:paraId="7CB261AE" w14:textId="77777777" w:rsidR="008A4099" w:rsidRDefault="008A4099">
      <w:pPr>
        <w:pStyle w:val="BodyText"/>
        <w:spacing w:before="16"/>
        <w:rPr>
          <w:b/>
          <w:i/>
          <w:sz w:val="23"/>
        </w:rPr>
      </w:pPr>
    </w:p>
    <w:p w14:paraId="7CB261AF" w14:textId="77777777" w:rsidR="008A4099" w:rsidRDefault="006A6EE2">
      <w:pPr>
        <w:pStyle w:val="Heading3"/>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w:t>
      </w:r>
    </w:p>
    <w:p w14:paraId="7CB261B0" w14:textId="77777777" w:rsidR="008A4099" w:rsidRDefault="006A6EE2">
      <w:pPr>
        <w:pStyle w:val="ListParagraph"/>
        <w:numPr>
          <w:ilvl w:val="2"/>
          <w:numId w:val="3"/>
        </w:numPr>
        <w:tabs>
          <w:tab w:val="left" w:pos="879"/>
        </w:tabs>
        <w:spacing w:before="259"/>
        <w:ind w:right="674" w:firstLine="0"/>
        <w:jc w:val="both"/>
        <w:rPr>
          <w:sz w:val="13"/>
        </w:rPr>
      </w:pPr>
      <w:r>
        <w:t>The</w:t>
      </w:r>
      <w:r>
        <w:rPr>
          <w:spacing w:val="-1"/>
        </w:rPr>
        <w:t xml:space="preserve"> </w:t>
      </w:r>
      <w:r>
        <w:t>2007</w:t>
      </w:r>
      <w:r>
        <w:rPr>
          <w:spacing w:val="-1"/>
        </w:rPr>
        <w:t xml:space="preserve"> </w:t>
      </w:r>
      <w:r>
        <w:t>TLRI</w:t>
      </w:r>
      <w:r>
        <w:rPr>
          <w:spacing w:val="-3"/>
        </w:rPr>
        <w:t xml:space="preserve"> </w:t>
      </w:r>
      <w:r>
        <w:t>Final Report recommended</w:t>
      </w:r>
      <w:r>
        <w:rPr>
          <w:spacing w:val="-1"/>
        </w:rPr>
        <w:t xml:space="preserve"> </w:t>
      </w:r>
      <w:r>
        <w:t>that a</w:t>
      </w:r>
      <w:r>
        <w:rPr>
          <w:spacing w:val="-1"/>
        </w:rPr>
        <w:t xml:space="preserve"> </w:t>
      </w:r>
      <w:r>
        <w:t>Tasmanian</w:t>
      </w:r>
      <w:r>
        <w:rPr>
          <w:spacing w:val="-1"/>
        </w:rPr>
        <w:t xml:space="preserve"> </w:t>
      </w:r>
      <w:r>
        <w:t>human</w:t>
      </w:r>
      <w:r>
        <w:rPr>
          <w:spacing w:val="-1"/>
        </w:rPr>
        <w:t xml:space="preserve"> </w:t>
      </w:r>
      <w:r>
        <w:t>rights</w:t>
      </w:r>
      <w:r>
        <w:rPr>
          <w:spacing w:val="-1"/>
        </w:rPr>
        <w:t xml:space="preserve"> </w:t>
      </w:r>
      <w:r>
        <w:t>enactment include the right to adequate housing and that public housing services be named as ‘public authority’ for the purposes of that enactment.</w:t>
      </w:r>
      <w:r>
        <w:rPr>
          <w:position w:val="7"/>
          <w:sz w:val="13"/>
        </w:rPr>
        <w:t>429</w:t>
      </w:r>
    </w:p>
    <w:p w14:paraId="7CB261B1" w14:textId="77777777" w:rsidR="008A4099" w:rsidRDefault="006A6EE2">
      <w:pPr>
        <w:pStyle w:val="ListParagraph"/>
        <w:numPr>
          <w:ilvl w:val="2"/>
          <w:numId w:val="3"/>
        </w:numPr>
        <w:tabs>
          <w:tab w:val="left" w:pos="879"/>
        </w:tabs>
        <w:spacing w:before="219" w:line="237" w:lineRule="auto"/>
        <w:ind w:right="673" w:firstLine="0"/>
        <w:jc w:val="both"/>
        <w:rPr>
          <w:sz w:val="13"/>
        </w:rPr>
      </w:pPr>
      <w:r>
        <w:t>Lack</w:t>
      </w:r>
      <w:r>
        <w:rPr>
          <w:spacing w:val="-1"/>
        </w:rPr>
        <w:t xml:space="preserve"> </w:t>
      </w:r>
      <w:r>
        <w:t>of</w:t>
      </w:r>
      <w:r>
        <w:rPr>
          <w:spacing w:val="-3"/>
        </w:rPr>
        <w:t xml:space="preserve"> </w:t>
      </w:r>
      <w:r>
        <w:t>access</w:t>
      </w:r>
      <w:r>
        <w:rPr>
          <w:spacing w:val="-3"/>
        </w:rPr>
        <w:t xml:space="preserve"> </w:t>
      </w:r>
      <w:r>
        <w:t>to</w:t>
      </w:r>
      <w:r>
        <w:rPr>
          <w:spacing w:val="-1"/>
        </w:rPr>
        <w:t xml:space="preserve"> </w:t>
      </w:r>
      <w:r>
        <w:t>housing</w:t>
      </w:r>
      <w:r>
        <w:rPr>
          <w:spacing w:val="-1"/>
        </w:rPr>
        <w:t xml:space="preserve"> </w:t>
      </w:r>
      <w:r>
        <w:t>and</w:t>
      </w:r>
      <w:r>
        <w:rPr>
          <w:spacing w:val="-1"/>
        </w:rPr>
        <w:t xml:space="preserve"> </w:t>
      </w:r>
      <w:r>
        <w:t>security</w:t>
      </w:r>
      <w:r>
        <w:rPr>
          <w:spacing w:val="-1"/>
        </w:rPr>
        <w:t xml:space="preserve"> </w:t>
      </w:r>
      <w:r>
        <w:t>of</w:t>
      </w:r>
      <w:r>
        <w:rPr>
          <w:spacing w:val="-1"/>
        </w:rPr>
        <w:t xml:space="preserve"> </w:t>
      </w:r>
      <w:r>
        <w:t>tenure</w:t>
      </w:r>
      <w:r>
        <w:rPr>
          <w:spacing w:val="-1"/>
        </w:rPr>
        <w:t xml:space="preserve"> </w:t>
      </w:r>
      <w:r>
        <w:t>consistently</w:t>
      </w:r>
      <w:r>
        <w:rPr>
          <w:spacing w:val="-3"/>
        </w:rPr>
        <w:t xml:space="preserve"> </w:t>
      </w:r>
      <w:r>
        <w:t>emerge</w:t>
      </w:r>
      <w:r>
        <w:rPr>
          <w:spacing w:val="-3"/>
        </w:rPr>
        <w:t xml:space="preserve"> </w:t>
      </w:r>
      <w:r>
        <w:t>as</w:t>
      </w:r>
      <w:r>
        <w:rPr>
          <w:spacing w:val="-3"/>
        </w:rPr>
        <w:t xml:space="preserve"> </w:t>
      </w:r>
      <w:r>
        <w:t>issues</w:t>
      </w:r>
      <w:r>
        <w:rPr>
          <w:spacing w:val="-1"/>
        </w:rPr>
        <w:t xml:space="preserve"> </w:t>
      </w:r>
      <w:r>
        <w:t>for</w:t>
      </w:r>
      <w:r>
        <w:rPr>
          <w:spacing w:val="-3"/>
        </w:rPr>
        <w:t xml:space="preserve"> </w:t>
      </w:r>
      <w:r>
        <w:t>civil</w:t>
      </w:r>
      <w:r>
        <w:rPr>
          <w:spacing w:val="-1"/>
        </w:rPr>
        <w:t xml:space="preserve"> </w:t>
      </w:r>
      <w:r>
        <w:t>society organisations</w:t>
      </w:r>
      <w:r>
        <w:rPr>
          <w:spacing w:val="-14"/>
        </w:rPr>
        <w:t xml:space="preserve"> </w:t>
      </w:r>
      <w:r>
        <w:t>working</w:t>
      </w:r>
      <w:r>
        <w:rPr>
          <w:spacing w:val="-17"/>
        </w:rPr>
        <w:t xml:space="preserve"> </w:t>
      </w:r>
      <w:r>
        <w:t>in</w:t>
      </w:r>
      <w:r>
        <w:rPr>
          <w:spacing w:val="-15"/>
        </w:rPr>
        <w:t xml:space="preserve"> </w:t>
      </w:r>
      <w:r>
        <w:t>child</w:t>
      </w:r>
      <w:r>
        <w:rPr>
          <w:spacing w:val="-14"/>
        </w:rPr>
        <w:t xml:space="preserve"> </w:t>
      </w:r>
      <w:r>
        <w:t>protection,</w:t>
      </w:r>
      <w:r>
        <w:rPr>
          <w:spacing w:val="-16"/>
        </w:rPr>
        <w:t xml:space="preserve"> </w:t>
      </w:r>
      <w:r>
        <w:t>mental</w:t>
      </w:r>
      <w:r>
        <w:rPr>
          <w:spacing w:val="-14"/>
        </w:rPr>
        <w:t xml:space="preserve"> </w:t>
      </w:r>
      <w:r>
        <w:t>health,</w:t>
      </w:r>
      <w:r>
        <w:rPr>
          <w:spacing w:val="-14"/>
        </w:rPr>
        <w:t xml:space="preserve"> </w:t>
      </w:r>
      <w:r>
        <w:t>family</w:t>
      </w:r>
      <w:r>
        <w:rPr>
          <w:spacing w:val="-14"/>
        </w:rPr>
        <w:t xml:space="preserve"> </w:t>
      </w:r>
      <w:r>
        <w:t>and</w:t>
      </w:r>
      <w:r>
        <w:rPr>
          <w:spacing w:val="-14"/>
        </w:rPr>
        <w:t xml:space="preserve"> </w:t>
      </w:r>
      <w:r>
        <w:t>domestic</w:t>
      </w:r>
      <w:r>
        <w:rPr>
          <w:spacing w:val="-14"/>
        </w:rPr>
        <w:t xml:space="preserve"> </w:t>
      </w:r>
      <w:r>
        <w:t>violence,</w:t>
      </w:r>
      <w:r>
        <w:rPr>
          <w:spacing w:val="-14"/>
        </w:rPr>
        <w:t xml:space="preserve"> </w:t>
      </w:r>
      <w:r>
        <w:t>and</w:t>
      </w:r>
      <w:r>
        <w:rPr>
          <w:spacing w:val="-14"/>
        </w:rPr>
        <w:t xml:space="preserve"> </w:t>
      </w:r>
      <w:r>
        <w:t>disability.</w:t>
      </w:r>
      <w:r>
        <w:rPr>
          <w:position w:val="7"/>
          <w:sz w:val="13"/>
        </w:rPr>
        <w:t>430</w:t>
      </w:r>
    </w:p>
    <w:p w14:paraId="7CB261B2" w14:textId="77777777" w:rsidR="008A4099" w:rsidRDefault="006A6EE2">
      <w:pPr>
        <w:pStyle w:val="ListParagraph"/>
        <w:numPr>
          <w:ilvl w:val="2"/>
          <w:numId w:val="3"/>
        </w:numPr>
        <w:tabs>
          <w:tab w:val="left" w:pos="879"/>
        </w:tabs>
        <w:spacing w:before="218"/>
        <w:ind w:right="679" w:firstLine="0"/>
        <w:jc w:val="both"/>
      </w:pPr>
      <w:r>
        <w:t>As outlined in Part 3.3, existing rights in jurisdictions with human rights enactments, particularly</w:t>
      </w:r>
      <w:r>
        <w:rPr>
          <w:spacing w:val="-7"/>
        </w:rPr>
        <w:t xml:space="preserve"> </w:t>
      </w:r>
      <w:r>
        <w:t>rights</w:t>
      </w:r>
      <w:r>
        <w:rPr>
          <w:spacing w:val="-4"/>
        </w:rPr>
        <w:t xml:space="preserve"> </w:t>
      </w:r>
      <w:r>
        <w:t>to</w:t>
      </w:r>
      <w:r>
        <w:rPr>
          <w:spacing w:val="-5"/>
        </w:rPr>
        <w:t xml:space="preserve"> </w:t>
      </w:r>
      <w:r>
        <w:t>privacy,</w:t>
      </w:r>
      <w:r>
        <w:rPr>
          <w:spacing w:val="-5"/>
        </w:rPr>
        <w:t xml:space="preserve"> </w:t>
      </w:r>
      <w:r>
        <w:t>protection</w:t>
      </w:r>
      <w:r>
        <w:rPr>
          <w:spacing w:val="-5"/>
        </w:rPr>
        <w:t xml:space="preserve"> </w:t>
      </w:r>
      <w:r>
        <w:t>of</w:t>
      </w:r>
      <w:r>
        <w:rPr>
          <w:spacing w:val="-6"/>
        </w:rPr>
        <w:t xml:space="preserve"> </w:t>
      </w:r>
      <w:r>
        <w:t>the</w:t>
      </w:r>
      <w:r>
        <w:rPr>
          <w:spacing w:val="-7"/>
        </w:rPr>
        <w:t xml:space="preserve"> </w:t>
      </w:r>
      <w:r>
        <w:t>family</w:t>
      </w:r>
      <w:r>
        <w:rPr>
          <w:spacing w:val="-5"/>
        </w:rPr>
        <w:t xml:space="preserve"> </w:t>
      </w:r>
      <w:r>
        <w:t>and</w:t>
      </w:r>
      <w:r>
        <w:rPr>
          <w:spacing w:val="-5"/>
        </w:rPr>
        <w:t xml:space="preserve"> </w:t>
      </w:r>
      <w:r>
        <w:t>children,</w:t>
      </w:r>
      <w:r>
        <w:rPr>
          <w:spacing w:val="-4"/>
        </w:rPr>
        <w:t xml:space="preserve"> </w:t>
      </w:r>
      <w:r>
        <w:t>and</w:t>
      </w:r>
      <w:r>
        <w:rPr>
          <w:spacing w:val="-5"/>
        </w:rPr>
        <w:t xml:space="preserve"> </w:t>
      </w:r>
      <w:r>
        <w:t>the</w:t>
      </w:r>
      <w:r>
        <w:rPr>
          <w:spacing w:val="-4"/>
        </w:rPr>
        <w:t xml:space="preserve"> </w:t>
      </w:r>
      <w:r>
        <w:t>right</w:t>
      </w:r>
      <w:r>
        <w:rPr>
          <w:spacing w:val="-6"/>
        </w:rPr>
        <w:t xml:space="preserve"> </w:t>
      </w:r>
      <w:r>
        <w:t>to</w:t>
      </w:r>
      <w:r>
        <w:rPr>
          <w:spacing w:val="-7"/>
        </w:rPr>
        <w:t xml:space="preserve"> </w:t>
      </w:r>
      <w:r>
        <w:t>equality,</w:t>
      </w:r>
      <w:r>
        <w:rPr>
          <w:spacing w:val="-5"/>
        </w:rPr>
        <w:t xml:space="preserve"> </w:t>
      </w:r>
      <w:r>
        <w:t>have</w:t>
      </w:r>
      <w:r>
        <w:rPr>
          <w:spacing w:val="-4"/>
        </w:rPr>
        <w:t xml:space="preserve"> </w:t>
      </w:r>
      <w:r>
        <w:t>been interpreted by courts and tribunals to incorporate a right to housing.</w:t>
      </w:r>
    </w:p>
    <w:p w14:paraId="7CB261B3" w14:textId="77777777" w:rsidR="008A4099" w:rsidRDefault="006A6EE2">
      <w:pPr>
        <w:pStyle w:val="ListParagraph"/>
        <w:numPr>
          <w:ilvl w:val="2"/>
          <w:numId w:val="3"/>
        </w:numPr>
        <w:tabs>
          <w:tab w:val="left" w:pos="879"/>
        </w:tabs>
        <w:spacing w:before="219" w:line="237" w:lineRule="auto"/>
        <w:ind w:right="674" w:firstLine="0"/>
        <w:jc w:val="both"/>
        <w:rPr>
          <w:sz w:val="20"/>
        </w:rPr>
      </w:pPr>
      <w:r>
        <w:t>A recent Victorian Parliamentary inquiry into homelessness recognised that social</w:t>
      </w:r>
      <w:r>
        <w:rPr>
          <w:spacing w:val="-1"/>
        </w:rPr>
        <w:t xml:space="preserve"> </w:t>
      </w:r>
      <w:r>
        <w:t>housing</w:t>
      </w:r>
      <w:r>
        <w:rPr>
          <w:spacing w:val="-2"/>
        </w:rPr>
        <w:t xml:space="preserve"> </w:t>
      </w:r>
      <w:r>
        <w:t>is</w:t>
      </w:r>
      <w:r>
        <w:rPr>
          <w:spacing w:val="40"/>
        </w:rPr>
        <w:t xml:space="preserve"> </w:t>
      </w:r>
      <w:r>
        <w:t>a</w:t>
      </w:r>
      <w:r>
        <w:rPr>
          <w:spacing w:val="-14"/>
        </w:rPr>
        <w:t xml:space="preserve"> </w:t>
      </w:r>
      <w:r>
        <w:t>protective</w:t>
      </w:r>
      <w:r>
        <w:rPr>
          <w:spacing w:val="-14"/>
        </w:rPr>
        <w:t xml:space="preserve"> </w:t>
      </w:r>
      <w:r>
        <w:t>factor</w:t>
      </w:r>
      <w:r>
        <w:rPr>
          <w:spacing w:val="-14"/>
        </w:rPr>
        <w:t xml:space="preserve"> </w:t>
      </w:r>
      <w:r>
        <w:t>against</w:t>
      </w:r>
      <w:r>
        <w:rPr>
          <w:spacing w:val="-13"/>
        </w:rPr>
        <w:t xml:space="preserve"> </w:t>
      </w:r>
      <w:r>
        <w:t>homelessness,</w:t>
      </w:r>
      <w:r>
        <w:rPr>
          <w:spacing w:val="-12"/>
        </w:rPr>
        <w:t xml:space="preserve"> </w:t>
      </w:r>
      <w:r>
        <w:t>particularly</w:t>
      </w:r>
      <w:r>
        <w:rPr>
          <w:spacing w:val="-14"/>
        </w:rPr>
        <w:t xml:space="preserve"> </w:t>
      </w:r>
      <w:r>
        <w:t>for</w:t>
      </w:r>
      <w:r>
        <w:rPr>
          <w:spacing w:val="-11"/>
        </w:rPr>
        <w:t xml:space="preserve"> </w:t>
      </w:r>
      <w:r>
        <w:t>people</w:t>
      </w:r>
      <w:r>
        <w:rPr>
          <w:spacing w:val="-14"/>
        </w:rPr>
        <w:t xml:space="preserve"> </w:t>
      </w:r>
      <w:r>
        <w:t>with</w:t>
      </w:r>
      <w:r>
        <w:rPr>
          <w:spacing w:val="-14"/>
        </w:rPr>
        <w:t xml:space="preserve"> </w:t>
      </w:r>
      <w:r>
        <w:t>complex</w:t>
      </w:r>
      <w:r>
        <w:rPr>
          <w:spacing w:val="-12"/>
        </w:rPr>
        <w:t xml:space="preserve"> </w:t>
      </w:r>
      <w:r>
        <w:t>needs,</w:t>
      </w:r>
      <w:r>
        <w:rPr>
          <w:spacing w:val="-12"/>
        </w:rPr>
        <w:t xml:space="preserve"> </w:t>
      </w:r>
      <w:r>
        <w:t>and</w:t>
      </w:r>
      <w:r>
        <w:rPr>
          <w:spacing w:val="-14"/>
        </w:rPr>
        <w:t xml:space="preserve"> </w:t>
      </w:r>
      <w:r>
        <w:t>recommended that a right to housing be included into the Vic Charter of Human Rights</w:t>
      </w:r>
      <w:r>
        <w:rPr>
          <w:sz w:val="20"/>
        </w:rPr>
        <w:t>.</w:t>
      </w:r>
      <w:r>
        <w:rPr>
          <w:sz w:val="20"/>
          <w:vertAlign w:val="superscript"/>
        </w:rPr>
        <w:t>431</w:t>
      </w:r>
    </w:p>
    <w:p w14:paraId="7CB261B4" w14:textId="77777777" w:rsidR="008A4099" w:rsidRDefault="006A6EE2">
      <w:pPr>
        <w:pStyle w:val="Heading3"/>
        <w:spacing w:before="239"/>
      </w:pPr>
      <w:r>
        <w:t>TLRI’s</w:t>
      </w:r>
      <w:r>
        <w:rPr>
          <w:spacing w:val="-5"/>
        </w:rPr>
        <w:t xml:space="preserve"> </w:t>
      </w:r>
      <w:r>
        <w:t>current</w:t>
      </w:r>
      <w:r>
        <w:rPr>
          <w:spacing w:val="-3"/>
        </w:rPr>
        <w:t xml:space="preserve"> </w:t>
      </w:r>
      <w:r>
        <w:rPr>
          <w:spacing w:val="-4"/>
        </w:rPr>
        <w:t>views</w:t>
      </w:r>
    </w:p>
    <w:p w14:paraId="7CB261B5" w14:textId="77777777" w:rsidR="008A4099" w:rsidRDefault="006A6EE2">
      <w:pPr>
        <w:pStyle w:val="ListParagraph"/>
        <w:numPr>
          <w:ilvl w:val="2"/>
          <w:numId w:val="3"/>
        </w:numPr>
        <w:tabs>
          <w:tab w:val="left" w:pos="879"/>
        </w:tabs>
        <w:spacing w:before="261"/>
        <w:ind w:right="681" w:firstLine="0"/>
        <w:jc w:val="both"/>
      </w:pPr>
      <w:r>
        <w:t>While other jurisdictions have relied on the existing civil and political rights of the right to be free</w:t>
      </w:r>
      <w:r>
        <w:rPr>
          <w:spacing w:val="-4"/>
        </w:rPr>
        <w:t xml:space="preserve"> </w:t>
      </w:r>
      <w:r>
        <w:t>from</w:t>
      </w:r>
      <w:r>
        <w:rPr>
          <w:spacing w:val="-4"/>
        </w:rPr>
        <w:t xml:space="preserve"> </w:t>
      </w:r>
      <w:r>
        <w:t>unlawful</w:t>
      </w:r>
      <w:r>
        <w:rPr>
          <w:spacing w:val="-4"/>
        </w:rPr>
        <w:t xml:space="preserve"> </w:t>
      </w:r>
      <w:r>
        <w:t>and</w:t>
      </w:r>
      <w:r>
        <w:rPr>
          <w:spacing w:val="-5"/>
        </w:rPr>
        <w:t xml:space="preserve"> </w:t>
      </w:r>
      <w:r>
        <w:t>arbitrary</w:t>
      </w:r>
      <w:r>
        <w:rPr>
          <w:spacing w:val="-7"/>
        </w:rPr>
        <w:t xml:space="preserve"> </w:t>
      </w:r>
      <w:r>
        <w:t>interference</w:t>
      </w:r>
      <w:r>
        <w:rPr>
          <w:spacing w:val="-7"/>
        </w:rPr>
        <w:t xml:space="preserve"> </w:t>
      </w:r>
      <w:r>
        <w:t>with</w:t>
      </w:r>
      <w:r>
        <w:rPr>
          <w:spacing w:val="-5"/>
        </w:rPr>
        <w:t xml:space="preserve"> </w:t>
      </w:r>
      <w:r>
        <w:t>family</w:t>
      </w:r>
      <w:r>
        <w:rPr>
          <w:spacing w:val="-5"/>
        </w:rPr>
        <w:t xml:space="preserve"> </w:t>
      </w:r>
      <w:r>
        <w:t>and</w:t>
      </w:r>
      <w:r>
        <w:rPr>
          <w:spacing w:val="-5"/>
        </w:rPr>
        <w:t xml:space="preserve"> </w:t>
      </w:r>
      <w:r>
        <w:t>home</w:t>
      </w:r>
      <w:r>
        <w:rPr>
          <w:spacing w:val="-7"/>
        </w:rPr>
        <w:t xml:space="preserve"> </w:t>
      </w:r>
      <w:r>
        <w:t>to</w:t>
      </w:r>
      <w:r>
        <w:rPr>
          <w:spacing w:val="-5"/>
        </w:rPr>
        <w:t xml:space="preserve"> </w:t>
      </w:r>
      <w:r>
        <w:t>protect</w:t>
      </w:r>
      <w:r>
        <w:rPr>
          <w:spacing w:val="-4"/>
        </w:rPr>
        <w:t xml:space="preserve"> </w:t>
      </w:r>
      <w:r>
        <w:t>housing</w:t>
      </w:r>
      <w:r>
        <w:rPr>
          <w:spacing w:val="-7"/>
        </w:rPr>
        <w:t xml:space="preserve"> </w:t>
      </w:r>
      <w:r>
        <w:t>rights,</w:t>
      </w:r>
      <w:r>
        <w:rPr>
          <w:spacing w:val="-6"/>
        </w:rPr>
        <w:t xml:space="preserve"> </w:t>
      </w:r>
      <w:r>
        <w:t>the</w:t>
      </w:r>
      <w:r>
        <w:rPr>
          <w:spacing w:val="-4"/>
        </w:rPr>
        <w:t xml:space="preserve"> </w:t>
      </w:r>
      <w:r>
        <w:t>TLRI remains of the view that an explicit right to adequate housing would provide a more consistent and cohesive basis for planning, advocacy, and implementation of housing policies, and clearer pathways for people to gain protection for this right.</w:t>
      </w:r>
      <w:r>
        <w:rPr>
          <w:position w:val="7"/>
          <w:sz w:val="13"/>
        </w:rPr>
        <w:t>432</w:t>
      </w:r>
      <w:r>
        <w:rPr>
          <w:spacing w:val="32"/>
          <w:position w:val="7"/>
          <w:sz w:val="13"/>
        </w:rPr>
        <w:t xml:space="preserve"> </w:t>
      </w:r>
      <w:r>
        <w:t>This is set out in Recommendation 7.</w:t>
      </w:r>
    </w:p>
    <w:p w14:paraId="7CB261B6" w14:textId="77777777" w:rsidR="008A4099" w:rsidRDefault="006A6EE2">
      <w:pPr>
        <w:pStyle w:val="Heading4"/>
        <w:spacing w:before="236"/>
      </w:pPr>
      <w:bookmarkStart w:id="42" w:name="_TOC_250018"/>
      <w:r>
        <w:t>Right</w:t>
      </w:r>
      <w:r>
        <w:rPr>
          <w:spacing w:val="-1"/>
        </w:rPr>
        <w:t xml:space="preserve"> </w:t>
      </w:r>
      <w:r>
        <w:t>to</w:t>
      </w:r>
      <w:r>
        <w:rPr>
          <w:spacing w:val="-1"/>
        </w:rPr>
        <w:t xml:space="preserve"> </w:t>
      </w:r>
      <w:r>
        <w:t>a</w:t>
      </w:r>
      <w:r>
        <w:rPr>
          <w:spacing w:val="-1"/>
        </w:rPr>
        <w:t xml:space="preserve"> </w:t>
      </w:r>
      <w:r>
        <w:t xml:space="preserve">safe </w:t>
      </w:r>
      <w:bookmarkEnd w:id="42"/>
      <w:r>
        <w:rPr>
          <w:spacing w:val="-2"/>
        </w:rPr>
        <w:t>environment</w:t>
      </w:r>
    </w:p>
    <w:p w14:paraId="7CB261B7" w14:textId="77777777" w:rsidR="008A4099" w:rsidRDefault="008A4099">
      <w:pPr>
        <w:pStyle w:val="BodyText"/>
        <w:spacing w:before="16"/>
        <w:rPr>
          <w:b/>
          <w:i/>
          <w:sz w:val="23"/>
        </w:rPr>
      </w:pPr>
    </w:p>
    <w:p w14:paraId="7CB261B8" w14:textId="77777777" w:rsidR="008A4099" w:rsidRDefault="006A6EE2">
      <w:pPr>
        <w:pStyle w:val="Heading3"/>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1B9" w14:textId="77777777" w:rsidR="008A4099" w:rsidRDefault="006A6EE2">
      <w:pPr>
        <w:pStyle w:val="ListParagraph"/>
        <w:numPr>
          <w:ilvl w:val="2"/>
          <w:numId w:val="3"/>
        </w:numPr>
        <w:tabs>
          <w:tab w:val="left" w:pos="879"/>
        </w:tabs>
        <w:spacing w:before="259" w:line="242" w:lineRule="auto"/>
        <w:ind w:right="676" w:firstLine="0"/>
        <w:jc w:val="both"/>
      </w:pPr>
      <w:r>
        <w:t xml:space="preserve">The TLRI recommended the inclusion in a human rights enactment of a right to a clean and safe environment and to the protection of the environment from pollution and ecological degradation, modelled on s 24 of the South African </w:t>
      </w:r>
      <w:r>
        <w:rPr>
          <w:i/>
        </w:rPr>
        <w:t>Bill of Rights</w:t>
      </w:r>
      <w:r>
        <w:t xml:space="preserve">. </w:t>
      </w:r>
      <w:r>
        <w:rPr>
          <w:position w:val="7"/>
          <w:sz w:val="13"/>
        </w:rPr>
        <w:t>433</w:t>
      </w:r>
      <w:r>
        <w:t>To date, none of the Australian jurisdictions with human rights enactments have recognised a similar right; the ACT Government has introduced legislation that would insert that right into the ACT Charter.</w:t>
      </w:r>
      <w:r>
        <w:rPr>
          <w:vertAlign w:val="superscript"/>
        </w:rPr>
        <w:t>434</w:t>
      </w:r>
    </w:p>
    <w:p w14:paraId="7CB261BA" w14:textId="77777777" w:rsidR="008A4099" w:rsidRDefault="006A6EE2">
      <w:pPr>
        <w:pStyle w:val="ListParagraph"/>
        <w:numPr>
          <w:ilvl w:val="2"/>
          <w:numId w:val="3"/>
        </w:numPr>
        <w:tabs>
          <w:tab w:val="left" w:pos="879"/>
        </w:tabs>
        <w:spacing w:before="230" w:line="235" w:lineRule="auto"/>
        <w:ind w:right="680" w:firstLine="0"/>
        <w:jc w:val="both"/>
      </w:pPr>
      <w:r>
        <w:t>A</w:t>
      </w:r>
      <w:r>
        <w:rPr>
          <w:spacing w:val="-3"/>
        </w:rPr>
        <w:t xml:space="preserve"> </w:t>
      </w:r>
      <w:r>
        <w:t>2021</w:t>
      </w:r>
      <w:r>
        <w:rPr>
          <w:spacing w:val="-5"/>
        </w:rPr>
        <w:t xml:space="preserve"> </w:t>
      </w:r>
      <w:r>
        <w:t>landmark</w:t>
      </w:r>
      <w:r>
        <w:rPr>
          <w:spacing w:val="-5"/>
        </w:rPr>
        <w:t xml:space="preserve"> </w:t>
      </w:r>
      <w:r>
        <w:t>resolution</w:t>
      </w:r>
      <w:r>
        <w:rPr>
          <w:spacing w:val="-2"/>
        </w:rPr>
        <w:t xml:space="preserve"> </w:t>
      </w:r>
      <w:r>
        <w:t>of</w:t>
      </w:r>
      <w:r>
        <w:rPr>
          <w:spacing w:val="-4"/>
        </w:rPr>
        <w:t xml:space="preserve"> </w:t>
      </w:r>
      <w:r>
        <w:t>the</w:t>
      </w:r>
      <w:r>
        <w:rPr>
          <w:spacing w:val="-2"/>
        </w:rPr>
        <w:t xml:space="preserve"> </w:t>
      </w:r>
      <w:r>
        <w:t>United</w:t>
      </w:r>
      <w:r>
        <w:rPr>
          <w:spacing w:val="-4"/>
        </w:rPr>
        <w:t xml:space="preserve"> </w:t>
      </w:r>
      <w:r>
        <w:t>Nations</w:t>
      </w:r>
      <w:r>
        <w:rPr>
          <w:spacing w:val="-2"/>
        </w:rPr>
        <w:t xml:space="preserve"> </w:t>
      </w:r>
      <w:r>
        <w:t>Human</w:t>
      </w:r>
      <w:r>
        <w:rPr>
          <w:spacing w:val="-4"/>
        </w:rPr>
        <w:t xml:space="preserve"> </w:t>
      </w:r>
      <w:r>
        <w:t>Rights</w:t>
      </w:r>
      <w:r>
        <w:rPr>
          <w:spacing w:val="-4"/>
        </w:rPr>
        <w:t xml:space="preserve"> </w:t>
      </w:r>
      <w:r>
        <w:t>Council</w:t>
      </w:r>
      <w:r>
        <w:rPr>
          <w:spacing w:val="-4"/>
        </w:rPr>
        <w:t xml:space="preserve"> </w:t>
      </w:r>
      <w:r>
        <w:t>recognised</w:t>
      </w:r>
      <w:r>
        <w:rPr>
          <w:spacing w:val="-5"/>
        </w:rPr>
        <w:t xml:space="preserve"> </w:t>
      </w:r>
      <w:r>
        <w:t>the</w:t>
      </w:r>
      <w:r>
        <w:rPr>
          <w:spacing w:val="-4"/>
        </w:rPr>
        <w:t xml:space="preserve"> </w:t>
      </w:r>
      <w:r>
        <w:t>right to a clean, healthy, and sustainable environment as fundamental to the enjoyment of all other human</w:t>
      </w:r>
    </w:p>
    <w:p w14:paraId="7CB261BB" w14:textId="77777777" w:rsidR="008A4099" w:rsidRDefault="008A4099">
      <w:pPr>
        <w:pStyle w:val="BodyText"/>
        <w:rPr>
          <w:sz w:val="20"/>
        </w:rPr>
      </w:pPr>
    </w:p>
    <w:p w14:paraId="7CB261BC" w14:textId="77777777" w:rsidR="008A4099" w:rsidRDefault="008A4099">
      <w:pPr>
        <w:pStyle w:val="BodyText"/>
        <w:rPr>
          <w:sz w:val="20"/>
        </w:rPr>
      </w:pPr>
    </w:p>
    <w:p w14:paraId="7CB261BD" w14:textId="77777777" w:rsidR="008A4099" w:rsidRDefault="006A6EE2">
      <w:pPr>
        <w:pStyle w:val="BodyText"/>
        <w:spacing w:before="113"/>
        <w:rPr>
          <w:sz w:val="20"/>
        </w:rPr>
      </w:pPr>
      <w:r>
        <w:rPr>
          <w:noProof/>
        </w:rPr>
        <mc:AlternateContent>
          <mc:Choice Requires="wps">
            <w:drawing>
              <wp:anchor distT="0" distB="0" distL="0" distR="0" simplePos="0" relativeHeight="487625728" behindDoc="1" locked="0" layoutInCell="1" allowOverlap="1" wp14:anchorId="7CB2666D" wp14:editId="7CB2666E">
                <wp:simplePos x="0" y="0"/>
                <wp:positionH relativeFrom="page">
                  <wp:posOffset>914704</wp:posOffset>
                </wp:positionH>
                <wp:positionV relativeFrom="paragraph">
                  <wp:posOffset>233384</wp:posOffset>
                </wp:positionV>
                <wp:extent cx="1829435" cy="762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C0022E" id="Graphic 122" o:spid="_x0000_s1026" style="position:absolute;margin-left:1in;margin-top:18.4pt;width:144.05pt;height:.6pt;z-index:-156907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" path="m1829054,l,,,7620r1829054,l1829054,xe" fillcolor="black" stroked="f">
                <v:path arrowok="t"/>
                <w10:wrap type="topAndBottom" anchorx="page"/>
              </v:shape>
            </w:pict>
          </mc:Fallback>
        </mc:AlternateContent>
      </w:r>
    </w:p>
    <w:p w14:paraId="7CB261BE" w14:textId="77777777" w:rsidR="008A4099" w:rsidRDefault="006A6EE2">
      <w:pPr>
        <w:spacing w:before="113"/>
        <w:ind w:left="160"/>
        <w:rPr>
          <w:sz w:val="18"/>
        </w:rPr>
      </w:pPr>
      <w:r>
        <w:rPr>
          <w:sz w:val="18"/>
          <w:vertAlign w:val="superscript"/>
        </w:rPr>
        <w:t>429</w:t>
      </w:r>
      <w:r>
        <w:rPr>
          <w:sz w:val="18"/>
        </w:rPr>
        <w:t xml:space="preserve"> TLRI</w:t>
      </w:r>
      <w:r>
        <w:rPr>
          <w:spacing w:val="1"/>
          <w:sz w:val="18"/>
        </w:rPr>
        <w:t xml:space="preserve"> </w:t>
      </w:r>
      <w:r>
        <w:rPr>
          <w:sz w:val="18"/>
        </w:rPr>
        <w:t>2007</w:t>
      </w:r>
      <w:r>
        <w:rPr>
          <w:spacing w:val="2"/>
          <w:sz w:val="18"/>
        </w:rPr>
        <w:t xml:space="preserve"> </w:t>
      </w:r>
      <w:r>
        <w:rPr>
          <w:sz w:val="18"/>
        </w:rPr>
        <w:t>Final</w:t>
      </w:r>
      <w:r>
        <w:rPr>
          <w:spacing w:val="1"/>
          <w:sz w:val="18"/>
        </w:rPr>
        <w:t xml:space="preserve"> </w:t>
      </w:r>
      <w:r>
        <w:rPr>
          <w:sz w:val="18"/>
        </w:rPr>
        <w:t>Report,</w:t>
      </w:r>
      <w:r>
        <w:rPr>
          <w:spacing w:val="-2"/>
          <w:sz w:val="18"/>
        </w:rPr>
        <w:t xml:space="preserve"> </w:t>
      </w:r>
      <w:r>
        <w:rPr>
          <w:sz w:val="18"/>
        </w:rPr>
        <w:t>Recommendations</w:t>
      </w:r>
      <w:r>
        <w:rPr>
          <w:spacing w:val="-2"/>
          <w:sz w:val="18"/>
        </w:rPr>
        <w:t xml:space="preserve"> </w:t>
      </w:r>
      <w:r>
        <w:rPr>
          <w:sz w:val="18"/>
        </w:rPr>
        <w:t>8,</w:t>
      </w:r>
      <w:r>
        <w:rPr>
          <w:spacing w:val="-1"/>
          <w:sz w:val="18"/>
        </w:rPr>
        <w:t xml:space="preserve"> </w:t>
      </w:r>
      <w:r>
        <w:rPr>
          <w:sz w:val="18"/>
        </w:rPr>
        <w:t>16</w:t>
      </w:r>
      <w:r>
        <w:rPr>
          <w:spacing w:val="-1"/>
          <w:sz w:val="18"/>
        </w:rPr>
        <w:t xml:space="preserve"> </w:t>
      </w:r>
      <w:r>
        <w:rPr>
          <w:sz w:val="18"/>
        </w:rPr>
        <w:t xml:space="preserve">and </w:t>
      </w:r>
      <w:r>
        <w:rPr>
          <w:spacing w:val="-5"/>
          <w:sz w:val="18"/>
        </w:rPr>
        <w:t>17.</w:t>
      </w:r>
    </w:p>
    <w:p w14:paraId="7CB261BF" w14:textId="77777777" w:rsidR="008A4099" w:rsidRDefault="006A6EE2">
      <w:pPr>
        <w:spacing w:before="23"/>
        <w:ind w:left="160" w:right="673"/>
        <w:rPr>
          <w:sz w:val="18"/>
        </w:rPr>
      </w:pPr>
      <w:r>
        <w:rPr>
          <w:sz w:val="18"/>
          <w:vertAlign w:val="superscript"/>
        </w:rPr>
        <w:t>430</w:t>
      </w:r>
      <w:r>
        <w:rPr>
          <w:spacing w:val="-3"/>
          <w:sz w:val="18"/>
        </w:rPr>
        <w:t xml:space="preserve"> </w:t>
      </w:r>
      <w:r>
        <w:rPr>
          <w:sz w:val="18"/>
        </w:rPr>
        <w:t>See</w:t>
      </w:r>
      <w:r>
        <w:rPr>
          <w:spacing w:val="-4"/>
          <w:sz w:val="18"/>
        </w:rPr>
        <w:t xml:space="preserve"> </w:t>
      </w:r>
      <w:r>
        <w:rPr>
          <w:sz w:val="18"/>
        </w:rPr>
        <w:t>for</w:t>
      </w:r>
      <w:r>
        <w:rPr>
          <w:spacing w:val="-3"/>
          <w:sz w:val="18"/>
        </w:rPr>
        <w:t xml:space="preserve"> </w:t>
      </w:r>
      <w:r>
        <w:rPr>
          <w:sz w:val="18"/>
        </w:rPr>
        <w:t>example,</w:t>
      </w:r>
      <w:r>
        <w:rPr>
          <w:spacing w:val="-3"/>
          <w:sz w:val="18"/>
        </w:rPr>
        <w:t xml:space="preserve"> </w:t>
      </w:r>
      <w:r>
        <w:rPr>
          <w:sz w:val="18"/>
        </w:rPr>
        <w:t>Justice</w:t>
      </w:r>
      <w:r>
        <w:rPr>
          <w:spacing w:val="-4"/>
          <w:sz w:val="18"/>
        </w:rPr>
        <w:t xml:space="preserve"> </w:t>
      </w:r>
      <w:r>
        <w:rPr>
          <w:sz w:val="18"/>
        </w:rPr>
        <w:t>Connect,</w:t>
      </w:r>
      <w:r>
        <w:rPr>
          <w:spacing w:val="-1"/>
          <w:sz w:val="18"/>
        </w:rPr>
        <w:t xml:space="preserve"> </w:t>
      </w:r>
      <w:r>
        <w:rPr>
          <w:i/>
          <w:sz w:val="18"/>
        </w:rPr>
        <w:t>Fairer</w:t>
      </w:r>
      <w:r>
        <w:rPr>
          <w:i/>
          <w:spacing w:val="-4"/>
          <w:sz w:val="18"/>
        </w:rPr>
        <w:t xml:space="preserve"> </w:t>
      </w:r>
      <w:r>
        <w:rPr>
          <w:i/>
          <w:sz w:val="18"/>
        </w:rPr>
        <w:t>Responses</w:t>
      </w:r>
      <w:r>
        <w:rPr>
          <w:i/>
          <w:spacing w:val="-4"/>
          <w:sz w:val="18"/>
        </w:rPr>
        <w:t xml:space="preserve"> </w:t>
      </w:r>
      <w:r>
        <w:rPr>
          <w:i/>
          <w:sz w:val="18"/>
        </w:rPr>
        <w:t>to</w:t>
      </w:r>
      <w:r>
        <w:rPr>
          <w:i/>
          <w:spacing w:val="-4"/>
          <w:sz w:val="18"/>
        </w:rPr>
        <w:t xml:space="preserve"> </w:t>
      </w:r>
      <w:r>
        <w:rPr>
          <w:i/>
          <w:sz w:val="18"/>
        </w:rPr>
        <w:t>Homelessness</w:t>
      </w:r>
      <w:r>
        <w:rPr>
          <w:i/>
          <w:spacing w:val="-4"/>
          <w:sz w:val="18"/>
        </w:rPr>
        <w:t xml:space="preserve"> </w:t>
      </w:r>
      <w:r>
        <w:rPr>
          <w:i/>
          <w:sz w:val="18"/>
        </w:rPr>
        <w:t>for</w:t>
      </w:r>
      <w:r>
        <w:rPr>
          <w:i/>
          <w:spacing w:val="-4"/>
          <w:sz w:val="18"/>
        </w:rPr>
        <w:t xml:space="preserve"> </w:t>
      </w:r>
      <w:r>
        <w:rPr>
          <w:i/>
          <w:sz w:val="18"/>
        </w:rPr>
        <w:t>all</w:t>
      </w:r>
      <w:r>
        <w:rPr>
          <w:i/>
          <w:spacing w:val="-4"/>
          <w:sz w:val="18"/>
        </w:rPr>
        <w:t xml:space="preserve"> </w:t>
      </w:r>
      <w:r>
        <w:rPr>
          <w:i/>
          <w:sz w:val="18"/>
        </w:rPr>
        <w:t>Australians:</w:t>
      </w:r>
      <w:r>
        <w:rPr>
          <w:i/>
          <w:spacing w:val="-4"/>
          <w:sz w:val="18"/>
        </w:rPr>
        <w:t xml:space="preserve"> </w:t>
      </w:r>
      <w:r>
        <w:rPr>
          <w:i/>
          <w:sz w:val="18"/>
        </w:rPr>
        <w:t>Submission</w:t>
      </w:r>
      <w:r>
        <w:rPr>
          <w:i/>
          <w:spacing w:val="-5"/>
          <w:sz w:val="18"/>
        </w:rPr>
        <w:t xml:space="preserve"> </w:t>
      </w:r>
      <w:r>
        <w:rPr>
          <w:i/>
          <w:sz w:val="18"/>
        </w:rPr>
        <w:t>to</w:t>
      </w:r>
      <w:r>
        <w:rPr>
          <w:i/>
          <w:spacing w:val="-2"/>
          <w:sz w:val="18"/>
        </w:rPr>
        <w:t xml:space="preserve"> </w:t>
      </w:r>
      <w:r>
        <w:rPr>
          <w:i/>
          <w:sz w:val="18"/>
        </w:rPr>
        <w:t>the</w:t>
      </w:r>
      <w:r>
        <w:rPr>
          <w:i/>
          <w:spacing w:val="-4"/>
          <w:sz w:val="18"/>
        </w:rPr>
        <w:t xml:space="preserve"> </w:t>
      </w:r>
      <w:r>
        <w:rPr>
          <w:i/>
          <w:sz w:val="18"/>
        </w:rPr>
        <w:t xml:space="preserve">Parliamentary Inquiry into Homelessness in Australia </w:t>
      </w:r>
      <w:r>
        <w:rPr>
          <w:sz w:val="18"/>
        </w:rPr>
        <w:t xml:space="preserve">(2020) &lt;https://justiceconnect.org.au/wp- content/uploads/2020/06/Submission_to_the_Federal_Inquiry_into_Homelessness_in_Australia_June_2020.pdf&gt;; Law Council of Australia, </w:t>
      </w:r>
      <w:r>
        <w:rPr>
          <w:i/>
          <w:sz w:val="18"/>
        </w:rPr>
        <w:t xml:space="preserve">The Justice Project Final Report – Part 1: People who are Homeless </w:t>
      </w:r>
      <w:r>
        <w:rPr>
          <w:sz w:val="18"/>
        </w:rPr>
        <w:t>(2018)</w:t>
      </w:r>
    </w:p>
    <w:p w14:paraId="7CB261C0" w14:textId="77777777" w:rsidR="008A4099" w:rsidRDefault="006A6EE2">
      <w:pPr>
        <w:spacing w:before="3"/>
        <w:ind w:left="160"/>
        <w:rPr>
          <w:sz w:val="18"/>
        </w:rPr>
      </w:pPr>
      <w:r>
        <w:rPr>
          <w:spacing w:val="-2"/>
          <w:sz w:val="18"/>
        </w:rPr>
        <w:t>&lt;https://lawcouncil.au/files/web- pdf/Justice%20Project/Final%20Report/People%20who%20are%20Homeless%20%28Part%201%29.pdf&gt;.</w:t>
      </w:r>
    </w:p>
    <w:p w14:paraId="7CB261C1" w14:textId="77777777" w:rsidR="008A4099" w:rsidRDefault="006A6EE2">
      <w:pPr>
        <w:spacing w:before="20" w:line="242" w:lineRule="auto"/>
        <w:ind w:left="160" w:right="671"/>
        <w:jc w:val="both"/>
        <w:rPr>
          <w:sz w:val="18"/>
        </w:rPr>
      </w:pPr>
      <w:r>
        <w:rPr>
          <w:sz w:val="18"/>
          <w:vertAlign w:val="superscript"/>
        </w:rPr>
        <w:t>431</w:t>
      </w:r>
      <w:r>
        <w:rPr>
          <w:spacing w:val="-1"/>
          <w:sz w:val="18"/>
        </w:rPr>
        <w:t xml:space="preserve"> </w:t>
      </w:r>
      <w:r>
        <w:rPr>
          <w:sz w:val="18"/>
        </w:rPr>
        <w:t>Parliament</w:t>
      </w:r>
      <w:r>
        <w:rPr>
          <w:spacing w:val="40"/>
          <w:sz w:val="18"/>
        </w:rPr>
        <w:t xml:space="preserve"> </w:t>
      </w:r>
      <w:r>
        <w:rPr>
          <w:sz w:val="18"/>
        </w:rPr>
        <w:t>of</w:t>
      </w:r>
      <w:r>
        <w:rPr>
          <w:spacing w:val="40"/>
          <w:sz w:val="18"/>
        </w:rPr>
        <w:t xml:space="preserve"> </w:t>
      </w:r>
      <w:r>
        <w:rPr>
          <w:sz w:val="18"/>
        </w:rPr>
        <w:t>Victoria,</w:t>
      </w:r>
      <w:r>
        <w:rPr>
          <w:spacing w:val="40"/>
          <w:sz w:val="18"/>
        </w:rPr>
        <w:t xml:space="preserve"> </w:t>
      </w:r>
      <w:r>
        <w:rPr>
          <w:sz w:val="18"/>
        </w:rPr>
        <w:t>Legislative</w:t>
      </w:r>
      <w:r>
        <w:rPr>
          <w:spacing w:val="40"/>
          <w:sz w:val="18"/>
        </w:rPr>
        <w:t xml:space="preserve"> </w:t>
      </w:r>
      <w:r>
        <w:rPr>
          <w:sz w:val="18"/>
        </w:rPr>
        <w:t>Council</w:t>
      </w:r>
      <w:r>
        <w:rPr>
          <w:spacing w:val="40"/>
          <w:sz w:val="18"/>
        </w:rPr>
        <w:t xml:space="preserve"> </w:t>
      </w:r>
      <w:r>
        <w:rPr>
          <w:sz w:val="18"/>
        </w:rPr>
        <w:t>Legal</w:t>
      </w:r>
      <w:r>
        <w:rPr>
          <w:spacing w:val="40"/>
          <w:sz w:val="18"/>
        </w:rPr>
        <w:t xml:space="preserve"> </w:t>
      </w:r>
      <w:r>
        <w:rPr>
          <w:sz w:val="18"/>
        </w:rPr>
        <w:t>and</w:t>
      </w:r>
      <w:r>
        <w:rPr>
          <w:spacing w:val="40"/>
          <w:sz w:val="18"/>
        </w:rPr>
        <w:t xml:space="preserve"> </w:t>
      </w:r>
      <w:r>
        <w:rPr>
          <w:sz w:val="18"/>
        </w:rPr>
        <w:t>Social</w:t>
      </w:r>
      <w:r>
        <w:rPr>
          <w:spacing w:val="40"/>
          <w:sz w:val="18"/>
        </w:rPr>
        <w:t xml:space="preserve"> </w:t>
      </w:r>
      <w:r>
        <w:rPr>
          <w:sz w:val="18"/>
        </w:rPr>
        <w:t>Issues</w:t>
      </w:r>
      <w:r>
        <w:rPr>
          <w:spacing w:val="40"/>
          <w:sz w:val="18"/>
        </w:rPr>
        <w:t xml:space="preserve"> </w:t>
      </w:r>
      <w:r>
        <w:rPr>
          <w:sz w:val="18"/>
        </w:rPr>
        <w:t xml:space="preserve">Committee, </w:t>
      </w:r>
      <w:r>
        <w:rPr>
          <w:i/>
          <w:sz w:val="18"/>
        </w:rPr>
        <w:t>Inquiry</w:t>
      </w:r>
      <w:r>
        <w:rPr>
          <w:i/>
          <w:spacing w:val="40"/>
          <w:sz w:val="18"/>
        </w:rPr>
        <w:t xml:space="preserve"> </w:t>
      </w:r>
      <w:r>
        <w:rPr>
          <w:i/>
          <w:sz w:val="18"/>
        </w:rPr>
        <w:t>into</w:t>
      </w:r>
      <w:r>
        <w:rPr>
          <w:i/>
          <w:spacing w:val="40"/>
          <w:sz w:val="18"/>
        </w:rPr>
        <w:t xml:space="preserve"> </w:t>
      </w:r>
      <w:r>
        <w:rPr>
          <w:i/>
          <w:sz w:val="18"/>
        </w:rPr>
        <w:t>Homelessness</w:t>
      </w:r>
      <w:r>
        <w:rPr>
          <w:i/>
          <w:spacing w:val="40"/>
          <w:sz w:val="18"/>
        </w:rPr>
        <w:t xml:space="preserve"> </w:t>
      </w:r>
      <w:r>
        <w:rPr>
          <w:i/>
          <w:sz w:val="18"/>
        </w:rPr>
        <w:t xml:space="preserve">in Victoria </w:t>
      </w:r>
      <w:r>
        <w:rPr>
          <w:sz w:val="18"/>
        </w:rPr>
        <w:t xml:space="preserve">(Final Report, 2021) Recommendation 34 &lt;https://apo.org.au/sites/default/files/resource-files/2021-03/apo- </w:t>
      </w:r>
      <w:r>
        <w:rPr>
          <w:spacing w:val="-2"/>
          <w:sz w:val="18"/>
        </w:rPr>
        <w:t>nid311270.pdf&gt;.</w:t>
      </w:r>
    </w:p>
    <w:p w14:paraId="7CB261C2" w14:textId="77777777" w:rsidR="008A4099" w:rsidRDefault="006A6EE2">
      <w:pPr>
        <w:spacing w:before="16" w:line="244" w:lineRule="auto"/>
        <w:ind w:left="160" w:right="684"/>
        <w:jc w:val="both"/>
        <w:rPr>
          <w:sz w:val="18"/>
        </w:rPr>
      </w:pPr>
      <w:r>
        <w:rPr>
          <w:sz w:val="18"/>
          <w:vertAlign w:val="superscript"/>
        </w:rPr>
        <w:t>432</w:t>
      </w:r>
      <w:r>
        <w:rPr>
          <w:sz w:val="18"/>
        </w:rPr>
        <w:t xml:space="preserve"> This accords with advice provided by the Tenants’ Union of Tasmania. (Appendix C contains a list of all those who provided advice to the TLRI pursuant to requesting that the Institute prepare this Report.)</w:t>
      </w:r>
    </w:p>
    <w:p w14:paraId="7CB261C3" w14:textId="77777777" w:rsidR="008A4099" w:rsidRDefault="006A6EE2">
      <w:pPr>
        <w:spacing w:before="15"/>
        <w:ind w:left="160"/>
        <w:jc w:val="both"/>
        <w:rPr>
          <w:sz w:val="18"/>
        </w:rPr>
      </w:pPr>
      <w:r>
        <w:rPr>
          <w:sz w:val="18"/>
          <w:vertAlign w:val="superscript"/>
        </w:rPr>
        <w:t>433</w:t>
      </w:r>
      <w:r>
        <w:rPr>
          <w:sz w:val="18"/>
        </w:rPr>
        <w:t xml:space="preserve"> TLRI 2007</w:t>
      </w:r>
      <w:r>
        <w:rPr>
          <w:spacing w:val="3"/>
          <w:sz w:val="18"/>
        </w:rPr>
        <w:t xml:space="preserve"> </w:t>
      </w:r>
      <w:r>
        <w:rPr>
          <w:sz w:val="18"/>
        </w:rPr>
        <w:t>Final</w:t>
      </w:r>
      <w:r>
        <w:rPr>
          <w:spacing w:val="1"/>
          <w:sz w:val="18"/>
        </w:rPr>
        <w:t xml:space="preserve"> </w:t>
      </w:r>
      <w:r>
        <w:rPr>
          <w:sz w:val="18"/>
        </w:rPr>
        <w:t>Report, Recommendation</w:t>
      </w:r>
      <w:r>
        <w:rPr>
          <w:spacing w:val="-1"/>
          <w:sz w:val="18"/>
        </w:rPr>
        <w:t xml:space="preserve"> </w:t>
      </w:r>
      <w:r>
        <w:rPr>
          <w:spacing w:val="-5"/>
          <w:sz w:val="18"/>
        </w:rPr>
        <w:t>17.</w:t>
      </w:r>
    </w:p>
    <w:p w14:paraId="7CB261C4" w14:textId="77777777" w:rsidR="008A4099" w:rsidRDefault="006A6EE2">
      <w:pPr>
        <w:spacing w:before="23"/>
        <w:ind w:left="160"/>
        <w:jc w:val="both"/>
        <w:rPr>
          <w:sz w:val="18"/>
        </w:rPr>
      </w:pPr>
      <w:r>
        <w:rPr>
          <w:sz w:val="18"/>
          <w:vertAlign w:val="superscript"/>
        </w:rPr>
        <w:t>434</w:t>
      </w:r>
      <w:r>
        <w:rPr>
          <w:sz w:val="18"/>
        </w:rPr>
        <w:t xml:space="preserve"> See </w:t>
      </w:r>
      <w:r>
        <w:rPr>
          <w:i/>
          <w:sz w:val="18"/>
        </w:rPr>
        <w:t>Human</w:t>
      </w:r>
      <w:r>
        <w:rPr>
          <w:i/>
          <w:spacing w:val="-1"/>
          <w:sz w:val="18"/>
        </w:rPr>
        <w:t xml:space="preserve"> </w:t>
      </w:r>
      <w:r>
        <w:rPr>
          <w:i/>
          <w:sz w:val="18"/>
        </w:rPr>
        <w:t>Rights (Healthy</w:t>
      </w:r>
      <w:r>
        <w:rPr>
          <w:i/>
          <w:spacing w:val="-1"/>
          <w:sz w:val="18"/>
        </w:rPr>
        <w:t xml:space="preserve"> </w:t>
      </w:r>
      <w:r>
        <w:rPr>
          <w:i/>
          <w:sz w:val="18"/>
        </w:rPr>
        <w:t>Environment)</w:t>
      </w:r>
      <w:r>
        <w:rPr>
          <w:i/>
          <w:spacing w:val="1"/>
          <w:sz w:val="18"/>
        </w:rPr>
        <w:t xml:space="preserve"> </w:t>
      </w:r>
      <w:r>
        <w:rPr>
          <w:i/>
          <w:sz w:val="18"/>
        </w:rPr>
        <w:t>Amendment</w:t>
      </w:r>
      <w:r>
        <w:rPr>
          <w:i/>
          <w:spacing w:val="-2"/>
          <w:sz w:val="18"/>
        </w:rPr>
        <w:t xml:space="preserve"> </w:t>
      </w:r>
      <w:r>
        <w:rPr>
          <w:i/>
          <w:sz w:val="18"/>
        </w:rPr>
        <w:t>Bill</w:t>
      </w:r>
      <w:r>
        <w:rPr>
          <w:i/>
          <w:spacing w:val="-2"/>
          <w:sz w:val="18"/>
        </w:rPr>
        <w:t xml:space="preserve"> </w:t>
      </w:r>
      <w:r>
        <w:rPr>
          <w:i/>
          <w:sz w:val="18"/>
        </w:rPr>
        <w:t>2023</w:t>
      </w:r>
      <w:r>
        <w:rPr>
          <w:i/>
          <w:spacing w:val="4"/>
          <w:sz w:val="18"/>
        </w:rPr>
        <w:t xml:space="preserve"> </w:t>
      </w:r>
      <w:r>
        <w:rPr>
          <w:spacing w:val="-2"/>
          <w:sz w:val="18"/>
        </w:rPr>
        <w:t>(ACT).</w:t>
      </w:r>
    </w:p>
    <w:p w14:paraId="7CB261C5"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61C6" w14:textId="77777777" w:rsidR="008A4099" w:rsidRDefault="008A4099">
      <w:pPr>
        <w:pStyle w:val="BodyText"/>
        <w:spacing w:before="194"/>
      </w:pPr>
    </w:p>
    <w:p w14:paraId="7CB261C7" w14:textId="77777777" w:rsidR="008A4099" w:rsidRDefault="006A6EE2">
      <w:pPr>
        <w:pStyle w:val="BodyText"/>
        <w:ind w:left="160" w:right="680"/>
        <w:rPr>
          <w:sz w:val="13"/>
        </w:rPr>
      </w:pPr>
      <w:r>
        <w:t>rights.</w:t>
      </w:r>
      <w:r>
        <w:rPr>
          <w:position w:val="7"/>
          <w:sz w:val="13"/>
        </w:rPr>
        <w:t>435</w:t>
      </w:r>
      <w:r>
        <w:rPr>
          <w:spacing w:val="21"/>
          <w:position w:val="7"/>
          <w:sz w:val="13"/>
        </w:rPr>
        <w:t xml:space="preserve"> </w:t>
      </w:r>
      <w:r>
        <w:t>While</w:t>
      </w:r>
      <w:r>
        <w:rPr>
          <w:spacing w:val="29"/>
        </w:rPr>
        <w:t xml:space="preserve"> </w:t>
      </w:r>
      <w:r>
        <w:t>the</w:t>
      </w:r>
      <w:r>
        <w:rPr>
          <w:spacing w:val="29"/>
        </w:rPr>
        <w:t xml:space="preserve"> </w:t>
      </w:r>
      <w:r>
        <w:t>resolution</w:t>
      </w:r>
      <w:r>
        <w:rPr>
          <w:spacing w:val="31"/>
        </w:rPr>
        <w:t xml:space="preserve"> </w:t>
      </w:r>
      <w:r>
        <w:t>is</w:t>
      </w:r>
      <w:r>
        <w:rPr>
          <w:spacing w:val="31"/>
        </w:rPr>
        <w:t xml:space="preserve"> </w:t>
      </w:r>
      <w:r>
        <w:t>not</w:t>
      </w:r>
      <w:r>
        <w:rPr>
          <w:spacing w:val="30"/>
        </w:rPr>
        <w:t xml:space="preserve"> </w:t>
      </w:r>
      <w:r>
        <w:t>binding</w:t>
      </w:r>
      <w:r>
        <w:rPr>
          <w:spacing w:val="29"/>
        </w:rPr>
        <w:t xml:space="preserve"> </w:t>
      </w:r>
      <w:r>
        <w:t>on</w:t>
      </w:r>
      <w:r>
        <w:rPr>
          <w:spacing w:val="29"/>
        </w:rPr>
        <w:t xml:space="preserve"> </w:t>
      </w:r>
      <w:r>
        <w:t>Australia,</w:t>
      </w:r>
      <w:r>
        <w:rPr>
          <w:spacing w:val="27"/>
        </w:rPr>
        <w:t xml:space="preserve"> </w:t>
      </w:r>
      <w:r>
        <w:t>the</w:t>
      </w:r>
      <w:r>
        <w:rPr>
          <w:spacing w:val="31"/>
        </w:rPr>
        <w:t xml:space="preserve"> </w:t>
      </w:r>
      <w:r>
        <w:t>UN</w:t>
      </w:r>
      <w:r>
        <w:rPr>
          <w:spacing w:val="28"/>
        </w:rPr>
        <w:t xml:space="preserve"> </w:t>
      </w:r>
      <w:r>
        <w:t>High</w:t>
      </w:r>
      <w:r>
        <w:rPr>
          <w:spacing w:val="29"/>
        </w:rPr>
        <w:t xml:space="preserve"> </w:t>
      </w:r>
      <w:r>
        <w:t>Commissioner</w:t>
      </w:r>
      <w:r>
        <w:rPr>
          <w:spacing w:val="29"/>
        </w:rPr>
        <w:t xml:space="preserve"> </w:t>
      </w:r>
      <w:r>
        <w:t>for</w:t>
      </w:r>
      <w:r>
        <w:rPr>
          <w:spacing w:val="32"/>
        </w:rPr>
        <w:t xml:space="preserve"> </w:t>
      </w:r>
      <w:r>
        <w:t>Human Rights</w:t>
      </w:r>
      <w:r>
        <w:rPr>
          <w:spacing w:val="-7"/>
        </w:rPr>
        <w:t xml:space="preserve"> </w:t>
      </w:r>
      <w:r>
        <w:t>has</w:t>
      </w:r>
      <w:r>
        <w:rPr>
          <w:spacing w:val="-10"/>
        </w:rPr>
        <w:t xml:space="preserve"> </w:t>
      </w:r>
      <w:r>
        <w:t>called</w:t>
      </w:r>
      <w:r>
        <w:rPr>
          <w:spacing w:val="-8"/>
        </w:rPr>
        <w:t xml:space="preserve"> </w:t>
      </w:r>
      <w:r>
        <w:t>on</w:t>
      </w:r>
      <w:r>
        <w:rPr>
          <w:spacing w:val="-10"/>
        </w:rPr>
        <w:t xml:space="preserve"> </w:t>
      </w:r>
      <w:r>
        <w:t>Member</w:t>
      </w:r>
      <w:r>
        <w:rPr>
          <w:spacing w:val="-7"/>
        </w:rPr>
        <w:t xml:space="preserve"> </w:t>
      </w:r>
      <w:r>
        <w:t>States</w:t>
      </w:r>
      <w:r>
        <w:rPr>
          <w:spacing w:val="-10"/>
        </w:rPr>
        <w:t xml:space="preserve"> </w:t>
      </w:r>
      <w:r>
        <w:t>to</w:t>
      </w:r>
      <w:r>
        <w:rPr>
          <w:spacing w:val="-11"/>
        </w:rPr>
        <w:t xml:space="preserve"> </w:t>
      </w:r>
      <w:r>
        <w:t>take</w:t>
      </w:r>
      <w:r>
        <w:rPr>
          <w:spacing w:val="-7"/>
        </w:rPr>
        <w:t xml:space="preserve"> </w:t>
      </w:r>
      <w:r>
        <w:t>‘bold</w:t>
      </w:r>
      <w:r>
        <w:rPr>
          <w:spacing w:val="-8"/>
        </w:rPr>
        <w:t xml:space="preserve"> </w:t>
      </w:r>
      <w:r>
        <w:t>actions</w:t>
      </w:r>
      <w:r>
        <w:rPr>
          <w:spacing w:val="-9"/>
        </w:rPr>
        <w:t xml:space="preserve"> </w:t>
      </w:r>
      <w:r>
        <w:t>to</w:t>
      </w:r>
      <w:r>
        <w:rPr>
          <w:spacing w:val="-8"/>
        </w:rPr>
        <w:t xml:space="preserve"> </w:t>
      </w:r>
      <w:r>
        <w:t>give</w:t>
      </w:r>
      <w:r>
        <w:rPr>
          <w:spacing w:val="-12"/>
        </w:rPr>
        <w:t xml:space="preserve"> </w:t>
      </w:r>
      <w:r>
        <w:t>‘prompt</w:t>
      </w:r>
      <w:r>
        <w:rPr>
          <w:spacing w:val="-10"/>
        </w:rPr>
        <w:t xml:space="preserve"> </w:t>
      </w:r>
      <w:r>
        <w:t>and</w:t>
      </w:r>
      <w:r>
        <w:rPr>
          <w:spacing w:val="-9"/>
        </w:rPr>
        <w:t xml:space="preserve"> </w:t>
      </w:r>
      <w:r>
        <w:t>real</w:t>
      </w:r>
      <w:r>
        <w:rPr>
          <w:spacing w:val="-12"/>
        </w:rPr>
        <w:t xml:space="preserve"> </w:t>
      </w:r>
      <w:r>
        <w:t>effect’</w:t>
      </w:r>
      <w:r>
        <w:rPr>
          <w:spacing w:val="-10"/>
        </w:rPr>
        <w:t xml:space="preserve"> </w:t>
      </w:r>
      <w:r>
        <w:t>to</w:t>
      </w:r>
      <w:r>
        <w:rPr>
          <w:spacing w:val="-11"/>
        </w:rPr>
        <w:t xml:space="preserve"> </w:t>
      </w:r>
      <w:r>
        <w:t>this</w:t>
      </w:r>
      <w:r>
        <w:rPr>
          <w:spacing w:val="-9"/>
        </w:rPr>
        <w:t xml:space="preserve"> </w:t>
      </w:r>
      <w:r>
        <w:rPr>
          <w:spacing w:val="-2"/>
        </w:rPr>
        <w:t>right.</w:t>
      </w:r>
      <w:r>
        <w:rPr>
          <w:spacing w:val="-2"/>
          <w:position w:val="7"/>
          <w:sz w:val="13"/>
        </w:rPr>
        <w:t>436</w:t>
      </w:r>
    </w:p>
    <w:p w14:paraId="7CB261C8" w14:textId="77777777" w:rsidR="008A4099" w:rsidRDefault="006A6EE2">
      <w:pPr>
        <w:pStyle w:val="Heading3"/>
        <w:spacing w:before="239"/>
      </w:pPr>
      <w:r>
        <w:t>TLRI’s</w:t>
      </w:r>
      <w:r>
        <w:rPr>
          <w:spacing w:val="-5"/>
        </w:rPr>
        <w:t xml:space="preserve"> </w:t>
      </w:r>
      <w:r>
        <w:t>current</w:t>
      </w:r>
      <w:r>
        <w:rPr>
          <w:spacing w:val="-3"/>
        </w:rPr>
        <w:t xml:space="preserve"> </w:t>
      </w:r>
      <w:r>
        <w:rPr>
          <w:spacing w:val="-4"/>
        </w:rPr>
        <w:t>views</w:t>
      </w:r>
    </w:p>
    <w:p w14:paraId="7CB261C9" w14:textId="77777777" w:rsidR="008A4099" w:rsidRDefault="006A6EE2">
      <w:pPr>
        <w:pStyle w:val="ListParagraph"/>
        <w:numPr>
          <w:ilvl w:val="2"/>
          <w:numId w:val="3"/>
        </w:numPr>
        <w:tabs>
          <w:tab w:val="left" w:pos="879"/>
        </w:tabs>
        <w:spacing w:before="263" w:line="237" w:lineRule="auto"/>
        <w:ind w:right="680" w:firstLine="0"/>
        <w:jc w:val="both"/>
      </w:pPr>
      <w:r>
        <w:t>Reviewing the international jurisdictions that have enacted a right to a healthy environment, Pepper concludes:</w:t>
      </w:r>
    </w:p>
    <w:p w14:paraId="7CB261CA" w14:textId="77777777" w:rsidR="008A4099" w:rsidRDefault="006A6EE2">
      <w:pPr>
        <w:pStyle w:val="BodyText"/>
        <w:spacing w:before="240" w:line="276" w:lineRule="auto"/>
        <w:ind w:left="868" w:right="1339"/>
        <w:jc w:val="both"/>
        <w:rPr>
          <w:sz w:val="13"/>
        </w:rPr>
      </w:pPr>
      <w:r>
        <w:t>the real proof that there are tangible benefits of recognising the right to a healthy environment</w:t>
      </w:r>
      <w:r>
        <w:rPr>
          <w:spacing w:val="-14"/>
        </w:rPr>
        <w:t xml:space="preserve"> </w:t>
      </w:r>
      <w:r>
        <w:t>is</w:t>
      </w:r>
      <w:r>
        <w:rPr>
          <w:spacing w:val="-14"/>
        </w:rPr>
        <w:t xml:space="preserve"> </w:t>
      </w:r>
      <w:r>
        <w:t>that</w:t>
      </w:r>
      <w:r>
        <w:rPr>
          <w:spacing w:val="-14"/>
        </w:rPr>
        <w:t xml:space="preserve"> </w:t>
      </w:r>
      <w:r>
        <w:t>formal</w:t>
      </w:r>
      <w:r>
        <w:rPr>
          <w:spacing w:val="-13"/>
        </w:rPr>
        <w:t xml:space="preserve"> </w:t>
      </w:r>
      <w:r>
        <w:t>recognition</w:t>
      </w:r>
      <w:r>
        <w:rPr>
          <w:spacing w:val="-14"/>
        </w:rPr>
        <w:t xml:space="preserve"> </w:t>
      </w:r>
      <w:r>
        <w:t>of</w:t>
      </w:r>
      <w:r>
        <w:rPr>
          <w:spacing w:val="-14"/>
        </w:rPr>
        <w:t xml:space="preserve"> </w:t>
      </w:r>
      <w:r>
        <w:t>the</w:t>
      </w:r>
      <w:r>
        <w:rPr>
          <w:spacing w:val="-14"/>
        </w:rPr>
        <w:t xml:space="preserve"> </w:t>
      </w:r>
      <w:r>
        <w:t>right</w:t>
      </w:r>
      <w:r>
        <w:rPr>
          <w:spacing w:val="-13"/>
        </w:rPr>
        <w:t xml:space="preserve"> </w:t>
      </w:r>
      <w:r>
        <w:t>has</w:t>
      </w:r>
      <w:r>
        <w:rPr>
          <w:spacing w:val="-14"/>
        </w:rPr>
        <w:t xml:space="preserve"> </w:t>
      </w:r>
      <w:r>
        <w:t>in</w:t>
      </w:r>
      <w:r>
        <w:rPr>
          <w:spacing w:val="-14"/>
        </w:rPr>
        <w:t xml:space="preserve"> </w:t>
      </w:r>
      <w:r>
        <w:t>fact</w:t>
      </w:r>
      <w:r>
        <w:rPr>
          <w:spacing w:val="-14"/>
        </w:rPr>
        <w:t xml:space="preserve"> </w:t>
      </w:r>
      <w:r>
        <w:t>resulted</w:t>
      </w:r>
      <w:r>
        <w:rPr>
          <w:spacing w:val="-13"/>
        </w:rPr>
        <w:t xml:space="preserve"> </w:t>
      </w:r>
      <w:r>
        <w:t>in</w:t>
      </w:r>
      <w:r>
        <w:rPr>
          <w:spacing w:val="-14"/>
        </w:rPr>
        <w:t xml:space="preserve"> </w:t>
      </w:r>
      <w:r>
        <w:t>healthier</w:t>
      </w:r>
      <w:r>
        <w:rPr>
          <w:spacing w:val="-14"/>
        </w:rPr>
        <w:t xml:space="preserve"> </w:t>
      </w:r>
      <w:r>
        <w:t>people and ecosystems.</w:t>
      </w:r>
      <w:r>
        <w:rPr>
          <w:spacing w:val="-2"/>
        </w:rPr>
        <w:t xml:space="preserve"> </w:t>
      </w:r>
      <w:r>
        <w:t>Evidence shows that</w:t>
      </w:r>
      <w:r>
        <w:rPr>
          <w:spacing w:val="-1"/>
        </w:rPr>
        <w:t xml:space="preserve"> </w:t>
      </w:r>
      <w:r>
        <w:t>recognition of</w:t>
      </w:r>
      <w:r>
        <w:rPr>
          <w:spacing w:val="-2"/>
        </w:rPr>
        <w:t xml:space="preserve"> </w:t>
      </w:r>
      <w:r>
        <w:t>the right</w:t>
      </w:r>
      <w:r>
        <w:rPr>
          <w:spacing w:val="-1"/>
        </w:rPr>
        <w:t xml:space="preserve"> </w:t>
      </w:r>
      <w:r>
        <w:t>to</w:t>
      </w:r>
      <w:r>
        <w:rPr>
          <w:spacing w:val="-3"/>
        </w:rPr>
        <w:t xml:space="preserve"> </w:t>
      </w:r>
      <w:r>
        <w:t>a healthy</w:t>
      </w:r>
      <w:r>
        <w:rPr>
          <w:spacing w:val="-3"/>
        </w:rPr>
        <w:t xml:space="preserve"> </w:t>
      </w:r>
      <w:r>
        <w:t xml:space="preserve">environment has resulted in millions of people, including vulnerable populations, breathing cleaner air, gaining access to safe drinking water, and reducing their exposure to toxic substances, amongst other positive outcomes both for human health and the </w:t>
      </w:r>
      <w:r>
        <w:rPr>
          <w:spacing w:val="-2"/>
        </w:rPr>
        <w:t>environment.</w:t>
      </w:r>
      <w:r>
        <w:rPr>
          <w:spacing w:val="-2"/>
          <w:position w:val="7"/>
          <w:sz w:val="13"/>
        </w:rPr>
        <w:t>437</w:t>
      </w:r>
    </w:p>
    <w:p w14:paraId="7CB261CB" w14:textId="77777777" w:rsidR="008A4099" w:rsidRDefault="006A6EE2">
      <w:pPr>
        <w:pStyle w:val="ListParagraph"/>
        <w:numPr>
          <w:ilvl w:val="2"/>
          <w:numId w:val="3"/>
        </w:numPr>
        <w:tabs>
          <w:tab w:val="left" w:pos="879"/>
        </w:tabs>
        <w:spacing w:before="239"/>
        <w:ind w:right="678" w:firstLine="0"/>
        <w:jc w:val="both"/>
      </w:pPr>
      <w:r>
        <w:t>This</w:t>
      </w:r>
      <w:r>
        <w:rPr>
          <w:spacing w:val="-1"/>
        </w:rPr>
        <w:t xml:space="preserve"> </w:t>
      </w:r>
      <w:r>
        <w:t>view</w:t>
      </w:r>
      <w:r>
        <w:rPr>
          <w:spacing w:val="-2"/>
        </w:rPr>
        <w:t xml:space="preserve"> </w:t>
      </w:r>
      <w:r>
        <w:t>supports</w:t>
      </w:r>
      <w:r>
        <w:rPr>
          <w:spacing w:val="-2"/>
        </w:rPr>
        <w:t xml:space="preserve"> </w:t>
      </w:r>
      <w:r>
        <w:t>the</w:t>
      </w:r>
      <w:r>
        <w:rPr>
          <w:spacing w:val="-2"/>
        </w:rPr>
        <w:t xml:space="preserve"> </w:t>
      </w:r>
      <w:r>
        <w:t>TLRI’s</w:t>
      </w:r>
      <w:r>
        <w:rPr>
          <w:spacing w:val="-2"/>
        </w:rPr>
        <w:t xml:space="preserve"> </w:t>
      </w:r>
      <w:r>
        <w:t>original</w:t>
      </w:r>
      <w:r>
        <w:rPr>
          <w:spacing w:val="-1"/>
        </w:rPr>
        <w:t xml:space="preserve"> </w:t>
      </w:r>
      <w:r>
        <w:t>view</w:t>
      </w:r>
      <w:r>
        <w:rPr>
          <w:spacing w:val="-2"/>
        </w:rPr>
        <w:t xml:space="preserve"> </w:t>
      </w:r>
      <w:r>
        <w:t>that</w:t>
      </w:r>
      <w:r>
        <w:rPr>
          <w:spacing w:val="-1"/>
        </w:rPr>
        <w:t xml:space="preserve"> </w:t>
      </w:r>
      <w:r>
        <w:t>a</w:t>
      </w:r>
      <w:r>
        <w:rPr>
          <w:spacing w:val="-2"/>
        </w:rPr>
        <w:t xml:space="preserve"> </w:t>
      </w:r>
      <w:r>
        <w:t>Tasmanian</w:t>
      </w:r>
      <w:r>
        <w:rPr>
          <w:spacing w:val="-2"/>
        </w:rPr>
        <w:t xml:space="preserve"> </w:t>
      </w:r>
      <w:r>
        <w:t>human</w:t>
      </w:r>
      <w:r>
        <w:rPr>
          <w:spacing w:val="-2"/>
        </w:rPr>
        <w:t xml:space="preserve"> </w:t>
      </w:r>
      <w:r>
        <w:t>rights</w:t>
      </w:r>
      <w:r>
        <w:rPr>
          <w:spacing w:val="-2"/>
        </w:rPr>
        <w:t xml:space="preserve"> </w:t>
      </w:r>
      <w:r>
        <w:t>enactment</w:t>
      </w:r>
      <w:r>
        <w:rPr>
          <w:spacing w:val="-1"/>
        </w:rPr>
        <w:t xml:space="preserve"> </w:t>
      </w:r>
      <w:r>
        <w:t>should include a right to a safe, healthy environment. This is set out in Recommendation 7.</w:t>
      </w:r>
    </w:p>
    <w:p w14:paraId="7CB261CC" w14:textId="1B32D6C4" w:rsidR="008A4099" w:rsidRDefault="006A6EE2">
      <w:pPr>
        <w:pStyle w:val="Heading4"/>
        <w:spacing w:before="237" w:line="276" w:lineRule="auto"/>
        <w:ind w:right="680"/>
      </w:pPr>
      <w:bookmarkStart w:id="43" w:name="_TOC_250017"/>
      <w:r>
        <w:t>Summary</w:t>
      </w:r>
      <w:r>
        <w:rPr>
          <w:spacing w:val="-2"/>
        </w:rPr>
        <w:t xml:space="preserve"> </w:t>
      </w:r>
      <w:r>
        <w:t>of</w:t>
      </w:r>
      <w:r>
        <w:rPr>
          <w:spacing w:val="-2"/>
        </w:rPr>
        <w:t xml:space="preserve"> </w:t>
      </w:r>
      <w:r>
        <w:t>the</w:t>
      </w:r>
      <w:r>
        <w:rPr>
          <w:spacing w:val="-3"/>
        </w:rPr>
        <w:t xml:space="preserve"> </w:t>
      </w:r>
      <w:r>
        <w:t>TLRI</w:t>
      </w:r>
      <w:r w:rsidR="006847A3">
        <w:t>’s</w:t>
      </w:r>
      <w:r>
        <w:rPr>
          <w:spacing w:val="-6"/>
        </w:rPr>
        <w:t xml:space="preserve"> </w:t>
      </w:r>
      <w:r>
        <w:t>views</w:t>
      </w:r>
      <w:r>
        <w:rPr>
          <w:spacing w:val="-3"/>
        </w:rPr>
        <w:t xml:space="preserve"> </w:t>
      </w:r>
      <w:r>
        <w:t>and</w:t>
      </w:r>
      <w:r>
        <w:rPr>
          <w:spacing w:val="-2"/>
        </w:rPr>
        <w:t xml:space="preserve"> </w:t>
      </w:r>
      <w:r>
        <w:t>recommendations</w:t>
      </w:r>
      <w:r>
        <w:rPr>
          <w:spacing w:val="-6"/>
        </w:rPr>
        <w:t xml:space="preserve"> </w:t>
      </w:r>
      <w:r>
        <w:t>on</w:t>
      </w:r>
      <w:r>
        <w:rPr>
          <w:spacing w:val="-3"/>
        </w:rPr>
        <w:t xml:space="preserve"> </w:t>
      </w:r>
      <w:r>
        <w:t>specific</w:t>
      </w:r>
      <w:r>
        <w:rPr>
          <w:spacing w:val="-2"/>
        </w:rPr>
        <w:t xml:space="preserve"> </w:t>
      </w:r>
      <w:r>
        <w:t>rights</w:t>
      </w:r>
      <w:r>
        <w:rPr>
          <w:spacing w:val="-3"/>
        </w:rPr>
        <w:t xml:space="preserve"> </w:t>
      </w:r>
      <w:r>
        <w:t>to</w:t>
      </w:r>
      <w:r>
        <w:rPr>
          <w:spacing w:val="-2"/>
        </w:rPr>
        <w:t xml:space="preserve"> </w:t>
      </w:r>
      <w:r>
        <w:t>be</w:t>
      </w:r>
      <w:r>
        <w:rPr>
          <w:spacing w:val="-2"/>
        </w:rPr>
        <w:t xml:space="preserve"> </w:t>
      </w:r>
      <w:r>
        <w:t>included</w:t>
      </w:r>
      <w:r>
        <w:rPr>
          <w:spacing w:val="-5"/>
        </w:rPr>
        <w:t xml:space="preserve"> </w:t>
      </w:r>
      <w:r>
        <w:t>in</w:t>
      </w:r>
      <w:r>
        <w:rPr>
          <w:spacing w:val="-3"/>
        </w:rPr>
        <w:t xml:space="preserve"> </w:t>
      </w:r>
      <w:r>
        <w:t xml:space="preserve">the </w:t>
      </w:r>
      <w:bookmarkEnd w:id="43"/>
      <w:r>
        <w:rPr>
          <w:spacing w:val="-2"/>
        </w:rPr>
        <w:t>Charter</w:t>
      </w:r>
    </w:p>
    <w:p w14:paraId="7CB261CD" w14:textId="77777777" w:rsidR="008A4099" w:rsidRDefault="006A6EE2">
      <w:pPr>
        <w:pStyle w:val="ListParagraph"/>
        <w:numPr>
          <w:ilvl w:val="2"/>
          <w:numId w:val="3"/>
        </w:numPr>
        <w:tabs>
          <w:tab w:val="left" w:pos="879"/>
        </w:tabs>
        <w:ind w:right="676" w:firstLine="0"/>
        <w:jc w:val="both"/>
      </w:pPr>
      <w:r>
        <w:t>The TLRI maintains the view in the 2007 Final Report that protected rights should extend beyond civil and political rights. The suite of rights outlined in the 2007 TLRI Report (see Appendix B) should be adopted in a Tasmanian human rights enactment. While many economic, social, and cultural rights have been indirectly protected in other jurisdictions through broad interpretation of existing civil and political rights, more explicit recognition of rights will improve community awareness, policy development, and consistency of implementation.</w:t>
      </w:r>
    </w:p>
    <w:p w14:paraId="7CB261CE" w14:textId="77777777" w:rsidR="008A4099" w:rsidRDefault="006A6EE2">
      <w:pPr>
        <w:pStyle w:val="ListParagraph"/>
        <w:numPr>
          <w:ilvl w:val="2"/>
          <w:numId w:val="3"/>
        </w:numPr>
        <w:tabs>
          <w:tab w:val="left" w:pos="879"/>
        </w:tabs>
        <w:spacing w:before="216"/>
        <w:ind w:right="674" w:firstLine="0"/>
        <w:jc w:val="both"/>
        <w:rPr>
          <w:sz w:val="13"/>
        </w:rPr>
      </w:pPr>
      <w:r>
        <w:t>As a midway position, if this full suite of economic, social, and cultural rights is not initially included in the Tasmanian human rights enactment, then the economic, social, and cultural rights currently protected in other jurisdictions with human rights enactments (namely, cultural rights of Aboriginal and Torres Strait Islander people, the right to education, the health rights, and the right to work)</w:t>
      </w:r>
      <w:r>
        <w:rPr>
          <w:spacing w:val="-9"/>
        </w:rPr>
        <w:t xml:space="preserve"> </w:t>
      </w:r>
      <w:r>
        <w:t>should</w:t>
      </w:r>
      <w:r>
        <w:rPr>
          <w:spacing w:val="-10"/>
        </w:rPr>
        <w:t xml:space="preserve"> </w:t>
      </w:r>
      <w:r>
        <w:t>be</w:t>
      </w:r>
      <w:r>
        <w:rPr>
          <w:spacing w:val="-9"/>
        </w:rPr>
        <w:t xml:space="preserve"> </w:t>
      </w:r>
      <w:r>
        <w:t>included.</w:t>
      </w:r>
      <w:r>
        <w:rPr>
          <w:spacing w:val="-8"/>
        </w:rPr>
        <w:t xml:space="preserve"> </w:t>
      </w:r>
      <w:r>
        <w:t>This</w:t>
      </w:r>
      <w:r>
        <w:rPr>
          <w:spacing w:val="-9"/>
        </w:rPr>
        <w:t xml:space="preserve"> </w:t>
      </w:r>
      <w:r>
        <w:t>is</w:t>
      </w:r>
      <w:r>
        <w:rPr>
          <w:spacing w:val="-9"/>
        </w:rPr>
        <w:t xml:space="preserve"> </w:t>
      </w:r>
      <w:r>
        <w:t>line</w:t>
      </w:r>
      <w:r>
        <w:rPr>
          <w:spacing w:val="-9"/>
        </w:rPr>
        <w:t xml:space="preserve"> </w:t>
      </w:r>
      <w:r>
        <w:t>with</w:t>
      </w:r>
      <w:r>
        <w:rPr>
          <w:spacing w:val="-9"/>
        </w:rPr>
        <w:t xml:space="preserve"> </w:t>
      </w:r>
      <w:r>
        <w:t>the</w:t>
      </w:r>
      <w:r>
        <w:rPr>
          <w:spacing w:val="-9"/>
        </w:rPr>
        <w:t xml:space="preserve"> </w:t>
      </w:r>
      <w:r>
        <w:t>rights</w:t>
      </w:r>
      <w:r>
        <w:rPr>
          <w:spacing w:val="-9"/>
        </w:rPr>
        <w:t xml:space="preserve"> </w:t>
      </w:r>
      <w:r>
        <w:t>that</w:t>
      </w:r>
      <w:r>
        <w:rPr>
          <w:spacing w:val="-8"/>
        </w:rPr>
        <w:t xml:space="preserve"> </w:t>
      </w:r>
      <w:r>
        <w:t>have</w:t>
      </w:r>
      <w:r>
        <w:rPr>
          <w:spacing w:val="-9"/>
        </w:rPr>
        <w:t xml:space="preserve"> </w:t>
      </w:r>
      <w:r>
        <w:t>been</w:t>
      </w:r>
      <w:r>
        <w:rPr>
          <w:spacing w:val="-9"/>
        </w:rPr>
        <w:t xml:space="preserve"> </w:t>
      </w:r>
      <w:r>
        <w:t>recognised</w:t>
      </w:r>
      <w:r>
        <w:rPr>
          <w:spacing w:val="-10"/>
        </w:rPr>
        <w:t xml:space="preserve"> </w:t>
      </w:r>
      <w:r>
        <w:t>in</w:t>
      </w:r>
      <w:r>
        <w:rPr>
          <w:spacing w:val="-10"/>
        </w:rPr>
        <w:t xml:space="preserve"> </w:t>
      </w:r>
      <w:r>
        <w:t>other</w:t>
      </w:r>
      <w:r>
        <w:rPr>
          <w:spacing w:val="-7"/>
        </w:rPr>
        <w:t xml:space="preserve"> </w:t>
      </w:r>
      <w:r>
        <w:rPr>
          <w:spacing w:val="-2"/>
        </w:rPr>
        <w:t>jurisdictions.</w:t>
      </w:r>
      <w:r>
        <w:rPr>
          <w:spacing w:val="-2"/>
          <w:position w:val="7"/>
          <w:sz w:val="13"/>
        </w:rPr>
        <w:t>438</w:t>
      </w:r>
    </w:p>
    <w:p w14:paraId="7CB261CF" w14:textId="77777777" w:rsidR="008A4099" w:rsidRDefault="006A6EE2">
      <w:pPr>
        <w:pStyle w:val="ListParagraph"/>
        <w:numPr>
          <w:ilvl w:val="2"/>
          <w:numId w:val="3"/>
        </w:numPr>
        <w:tabs>
          <w:tab w:val="left" w:pos="879"/>
        </w:tabs>
        <w:spacing w:before="215"/>
        <w:ind w:right="676" w:firstLine="0"/>
        <w:jc w:val="both"/>
      </w:pPr>
      <w:r>
        <w:t>Further,</w:t>
      </w:r>
      <w:r>
        <w:rPr>
          <w:spacing w:val="-2"/>
        </w:rPr>
        <w:t xml:space="preserve"> </w:t>
      </w:r>
      <w:r>
        <w:t>modelled on</w:t>
      </w:r>
      <w:r>
        <w:rPr>
          <w:spacing w:val="-2"/>
        </w:rPr>
        <w:t xml:space="preserve"> </w:t>
      </w:r>
      <w:r>
        <w:t>section 95 of</w:t>
      </w:r>
      <w:r>
        <w:rPr>
          <w:spacing w:val="-2"/>
        </w:rPr>
        <w:t xml:space="preserve"> </w:t>
      </w:r>
      <w:r>
        <w:t xml:space="preserve">the </w:t>
      </w:r>
      <w:r>
        <w:rPr>
          <w:i/>
        </w:rPr>
        <w:t>Human Rights</w:t>
      </w:r>
      <w:r>
        <w:rPr>
          <w:i/>
          <w:spacing w:val="-2"/>
        </w:rPr>
        <w:t xml:space="preserve"> </w:t>
      </w:r>
      <w:r>
        <w:rPr>
          <w:i/>
        </w:rPr>
        <w:t>Act 2019</w:t>
      </w:r>
      <w:r>
        <w:rPr>
          <w:i/>
          <w:spacing w:val="-2"/>
        </w:rPr>
        <w:t xml:space="preserve"> </w:t>
      </w:r>
      <w:r>
        <w:t>(Qld), if economic, social, and cultural rights are not initially included in a Tasmanian Human Rights Act, then the enactment should explicitly</w:t>
      </w:r>
      <w:r>
        <w:rPr>
          <w:spacing w:val="-2"/>
        </w:rPr>
        <w:t xml:space="preserve"> </w:t>
      </w:r>
      <w:r>
        <w:t>require</w:t>
      </w:r>
      <w:r>
        <w:rPr>
          <w:spacing w:val="-4"/>
        </w:rPr>
        <w:t xml:space="preserve"> </w:t>
      </w:r>
      <w:r>
        <w:t>the</w:t>
      </w:r>
      <w:r>
        <w:rPr>
          <w:spacing w:val="-2"/>
        </w:rPr>
        <w:t xml:space="preserve"> </w:t>
      </w:r>
      <w:r>
        <w:t>first</w:t>
      </w:r>
      <w:r>
        <w:rPr>
          <w:spacing w:val="-3"/>
        </w:rPr>
        <w:t xml:space="preserve"> </w:t>
      </w:r>
      <w:r>
        <w:t>review</w:t>
      </w:r>
      <w:r>
        <w:rPr>
          <w:spacing w:val="-5"/>
        </w:rPr>
        <w:t xml:space="preserve"> </w:t>
      </w:r>
      <w:r>
        <w:t>to</w:t>
      </w:r>
      <w:r>
        <w:rPr>
          <w:spacing w:val="-2"/>
        </w:rPr>
        <w:t xml:space="preserve"> </w:t>
      </w:r>
      <w:r>
        <w:t>consider</w:t>
      </w:r>
      <w:r>
        <w:rPr>
          <w:spacing w:val="-2"/>
        </w:rPr>
        <w:t xml:space="preserve"> </w:t>
      </w:r>
      <w:r>
        <w:t>the</w:t>
      </w:r>
      <w:r>
        <w:rPr>
          <w:spacing w:val="-4"/>
        </w:rPr>
        <w:t xml:space="preserve"> </w:t>
      </w:r>
      <w:r>
        <w:t>inclusion</w:t>
      </w:r>
      <w:r>
        <w:rPr>
          <w:spacing w:val="-2"/>
        </w:rPr>
        <w:t xml:space="preserve"> </w:t>
      </w:r>
      <w:r>
        <w:t>of</w:t>
      </w:r>
      <w:r>
        <w:rPr>
          <w:spacing w:val="-2"/>
        </w:rPr>
        <w:t xml:space="preserve"> </w:t>
      </w:r>
      <w:r>
        <w:t>additional</w:t>
      </w:r>
      <w:r>
        <w:rPr>
          <w:spacing w:val="-4"/>
        </w:rPr>
        <w:t xml:space="preserve"> </w:t>
      </w:r>
      <w:r>
        <w:t>human</w:t>
      </w:r>
      <w:r>
        <w:rPr>
          <w:spacing w:val="-4"/>
        </w:rPr>
        <w:t xml:space="preserve"> </w:t>
      </w:r>
      <w:r>
        <w:t>rights,</w:t>
      </w:r>
      <w:r>
        <w:rPr>
          <w:spacing w:val="-4"/>
        </w:rPr>
        <w:t xml:space="preserve"> </w:t>
      </w:r>
      <w:r>
        <w:t>including</w:t>
      </w:r>
      <w:r>
        <w:rPr>
          <w:spacing w:val="-5"/>
        </w:rPr>
        <w:t xml:space="preserve"> </w:t>
      </w:r>
      <w:r>
        <w:t>all</w:t>
      </w:r>
      <w:r>
        <w:rPr>
          <w:spacing w:val="-1"/>
        </w:rPr>
        <w:t xml:space="preserve"> </w:t>
      </w:r>
      <w:r>
        <w:t>the rights</w:t>
      </w:r>
      <w:r>
        <w:rPr>
          <w:spacing w:val="-1"/>
        </w:rPr>
        <w:t xml:space="preserve"> </w:t>
      </w:r>
      <w:r>
        <w:t>recommended for inclusion in</w:t>
      </w:r>
      <w:r>
        <w:rPr>
          <w:spacing w:val="-1"/>
        </w:rPr>
        <w:t xml:space="preserve"> </w:t>
      </w:r>
      <w:r>
        <w:t>the TLRI</w:t>
      </w:r>
      <w:r>
        <w:rPr>
          <w:spacing w:val="-1"/>
        </w:rPr>
        <w:t xml:space="preserve"> </w:t>
      </w:r>
      <w:r>
        <w:t>2007 Final Report. It is noted</w:t>
      </w:r>
      <w:r>
        <w:rPr>
          <w:spacing w:val="-1"/>
        </w:rPr>
        <w:t xml:space="preserve"> </w:t>
      </w:r>
      <w:r>
        <w:t>that Recommendation 20 of the 2007 Final Report contains the TLRI’s recommendations for the review process of the Human Rights enactment (see Appendix A).</w:t>
      </w:r>
    </w:p>
    <w:p w14:paraId="7CB261D0" w14:textId="77777777" w:rsidR="008A4099" w:rsidRDefault="008A4099">
      <w:pPr>
        <w:pStyle w:val="BodyText"/>
        <w:rPr>
          <w:sz w:val="20"/>
        </w:rPr>
      </w:pPr>
    </w:p>
    <w:p w14:paraId="7CB261D1" w14:textId="77777777" w:rsidR="008A4099" w:rsidRDefault="006A6EE2">
      <w:pPr>
        <w:pStyle w:val="BodyText"/>
        <w:spacing w:before="88"/>
        <w:rPr>
          <w:sz w:val="20"/>
        </w:rPr>
      </w:pPr>
      <w:r>
        <w:rPr>
          <w:noProof/>
        </w:rPr>
        <mc:AlternateContent>
          <mc:Choice Requires="wps">
            <w:drawing>
              <wp:anchor distT="0" distB="0" distL="0" distR="0" simplePos="0" relativeHeight="487626240" behindDoc="1" locked="0" layoutInCell="1" allowOverlap="1" wp14:anchorId="7CB2666F" wp14:editId="7CB26670">
                <wp:simplePos x="0" y="0"/>
                <wp:positionH relativeFrom="page">
                  <wp:posOffset>914704</wp:posOffset>
                </wp:positionH>
                <wp:positionV relativeFrom="paragraph">
                  <wp:posOffset>217539</wp:posOffset>
                </wp:positionV>
                <wp:extent cx="1829435" cy="762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51FBCF" id="Graphic 123" o:spid="_x0000_s1026" style="position:absolute;margin-left:1in;margin-top:17.15pt;width:144.05pt;height:.6pt;z-index:-156902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" path="m1829054,l,,,7619r1829054,l1829054,xe" fillcolor="black" stroked="f">
                <v:path arrowok="t"/>
                <w10:wrap type="topAndBottom" anchorx="page"/>
              </v:shape>
            </w:pict>
          </mc:Fallback>
        </mc:AlternateContent>
      </w:r>
    </w:p>
    <w:p w14:paraId="7CB261D2" w14:textId="77777777" w:rsidR="008A4099" w:rsidRDefault="006A6EE2">
      <w:pPr>
        <w:spacing w:before="112" w:line="242" w:lineRule="auto"/>
        <w:ind w:left="160" w:right="673"/>
        <w:jc w:val="both"/>
        <w:rPr>
          <w:sz w:val="18"/>
        </w:rPr>
      </w:pPr>
      <w:r>
        <w:rPr>
          <w:sz w:val="18"/>
          <w:vertAlign w:val="superscript"/>
        </w:rPr>
        <w:t>435</w:t>
      </w:r>
      <w:r>
        <w:rPr>
          <w:sz w:val="18"/>
        </w:rPr>
        <w:t xml:space="preserve"> United Nations</w:t>
      </w:r>
      <w:r>
        <w:rPr>
          <w:spacing w:val="-1"/>
          <w:sz w:val="18"/>
        </w:rPr>
        <w:t xml:space="preserve"> </w:t>
      </w:r>
      <w:r>
        <w:rPr>
          <w:sz w:val="18"/>
        </w:rPr>
        <w:t>Human Rights Council, Forty-eighth session, Resolution</w:t>
      </w:r>
      <w:r>
        <w:rPr>
          <w:spacing w:val="-2"/>
          <w:sz w:val="18"/>
        </w:rPr>
        <w:t xml:space="preserve"> </w:t>
      </w:r>
      <w:r>
        <w:rPr>
          <w:sz w:val="18"/>
        </w:rPr>
        <w:t>48/13,</w:t>
      </w:r>
      <w:r>
        <w:rPr>
          <w:spacing w:val="-1"/>
          <w:sz w:val="18"/>
        </w:rPr>
        <w:t xml:space="preserve"> </w:t>
      </w:r>
      <w:r>
        <w:rPr>
          <w:sz w:val="18"/>
        </w:rPr>
        <w:t>8 October</w:t>
      </w:r>
      <w:r>
        <w:rPr>
          <w:spacing w:val="-1"/>
          <w:sz w:val="18"/>
        </w:rPr>
        <w:t xml:space="preserve"> </w:t>
      </w:r>
      <w:r>
        <w:rPr>
          <w:sz w:val="18"/>
        </w:rPr>
        <w:t>2021.</w:t>
      </w:r>
      <w:r>
        <w:rPr>
          <w:spacing w:val="-1"/>
          <w:sz w:val="18"/>
        </w:rPr>
        <w:t xml:space="preserve"> </w:t>
      </w:r>
      <w:r>
        <w:rPr>
          <w:sz w:val="18"/>
        </w:rPr>
        <w:t>The decision was upheld by the United Nations General Assembly on 28 July 2022: &lt;https://</w:t>
      </w:r>
      <w:hyperlink r:id="rId150">
        <w:r>
          <w:rPr>
            <w:sz w:val="18"/>
          </w:rPr>
          <w:t>www.ohchr.org/en/hr-bodies/hrc/regular-</w:t>
        </w:r>
      </w:hyperlink>
      <w:r>
        <w:rPr>
          <w:sz w:val="18"/>
        </w:rPr>
        <w:t xml:space="preserve"> </w:t>
      </w:r>
      <w:r>
        <w:rPr>
          <w:spacing w:val="-2"/>
          <w:sz w:val="18"/>
        </w:rPr>
        <w:t>sessions/session48/res-dec-stat&gt;.</w:t>
      </w:r>
    </w:p>
    <w:p w14:paraId="7CB261D3" w14:textId="77777777" w:rsidR="008A4099" w:rsidRDefault="006A6EE2">
      <w:pPr>
        <w:spacing w:before="19" w:line="242" w:lineRule="auto"/>
        <w:ind w:left="160" w:right="673"/>
        <w:jc w:val="both"/>
        <w:rPr>
          <w:sz w:val="18"/>
        </w:rPr>
      </w:pPr>
      <w:r>
        <w:rPr>
          <w:sz w:val="18"/>
          <w:vertAlign w:val="superscript"/>
        </w:rPr>
        <w:t>436</w:t>
      </w:r>
      <w:r>
        <w:rPr>
          <w:sz w:val="18"/>
        </w:rPr>
        <w:t xml:space="preserve"> See Office of the High Commission for Human Rights, ‘Bachelet Hails Landmark Recognition that having a Healthy Environment is a Human Right’ (Media Release 8 October 2021) &lt;https:/</w:t>
      </w:r>
      <w:hyperlink r:id="rId151">
        <w:r>
          <w:rPr>
            <w:sz w:val="18"/>
          </w:rPr>
          <w:t>/www.ohchr.org/en/2021/10/bachelet-hails-</w:t>
        </w:r>
      </w:hyperlink>
      <w:r>
        <w:rPr>
          <w:sz w:val="18"/>
        </w:rPr>
        <w:t xml:space="preserve"> </w:t>
      </w:r>
      <w:r>
        <w:rPr>
          <w:spacing w:val="-2"/>
          <w:sz w:val="18"/>
        </w:rPr>
        <w:t>landmark-recognition-having-healthy-environment-human-right?LangID=E&amp;NewsID=27635&gt;.</w:t>
      </w:r>
    </w:p>
    <w:p w14:paraId="7CB261D4" w14:textId="77777777" w:rsidR="008A4099" w:rsidRDefault="006A6EE2">
      <w:pPr>
        <w:spacing w:before="16" w:line="242" w:lineRule="auto"/>
        <w:ind w:left="160" w:right="671"/>
        <w:jc w:val="both"/>
        <w:rPr>
          <w:sz w:val="18"/>
        </w:rPr>
      </w:pPr>
      <w:r>
        <w:rPr>
          <w:sz w:val="18"/>
          <w:vertAlign w:val="superscript"/>
        </w:rPr>
        <w:t>437</w:t>
      </w:r>
      <w:r>
        <w:rPr>
          <w:sz w:val="18"/>
        </w:rPr>
        <w:t xml:space="preserve"> Melaine Montalban, ‘“Bold Action” Required Following Recognition of the Human Right to a Healthy Environment’ </w:t>
      </w:r>
      <w:r>
        <w:rPr>
          <w:i/>
          <w:sz w:val="18"/>
        </w:rPr>
        <w:t xml:space="preserve">Environmental Defenders Office </w:t>
      </w:r>
      <w:r>
        <w:rPr>
          <w:sz w:val="18"/>
        </w:rPr>
        <w:t>(Web Page, 19 October 2021) &lt;https:/</w:t>
      </w:r>
      <w:hyperlink r:id="rId152">
        <w:r>
          <w:rPr>
            <w:sz w:val="18"/>
          </w:rPr>
          <w:t>/www.edo.org.au/2021/10/19/bold-action-required-</w:t>
        </w:r>
      </w:hyperlink>
      <w:r>
        <w:rPr>
          <w:sz w:val="18"/>
        </w:rPr>
        <w:t xml:space="preserve"> following-recognition-of-the-human-right-to-a-healthy-environment/#_ftn3&gt;</w:t>
      </w:r>
      <w:r>
        <w:rPr>
          <w:spacing w:val="80"/>
          <w:sz w:val="18"/>
        </w:rPr>
        <w:t xml:space="preserve"> </w:t>
      </w:r>
      <w:r>
        <w:rPr>
          <w:sz w:val="18"/>
        </w:rPr>
        <w:t>referring</w:t>
      </w:r>
      <w:r>
        <w:rPr>
          <w:spacing w:val="80"/>
          <w:sz w:val="18"/>
        </w:rPr>
        <w:t xml:space="preserve"> </w:t>
      </w:r>
      <w:r>
        <w:rPr>
          <w:sz w:val="18"/>
        </w:rPr>
        <w:t>to</w:t>
      </w:r>
      <w:r>
        <w:rPr>
          <w:spacing w:val="80"/>
          <w:sz w:val="18"/>
        </w:rPr>
        <w:t xml:space="preserve"> </w:t>
      </w:r>
      <w:r>
        <w:rPr>
          <w:sz w:val="18"/>
        </w:rPr>
        <w:t>John</w:t>
      </w:r>
      <w:r>
        <w:rPr>
          <w:spacing w:val="80"/>
          <w:sz w:val="18"/>
        </w:rPr>
        <w:t xml:space="preserve"> </w:t>
      </w:r>
      <w:r>
        <w:rPr>
          <w:sz w:val="18"/>
        </w:rPr>
        <w:t>Knox</w:t>
      </w:r>
      <w:r>
        <w:rPr>
          <w:spacing w:val="80"/>
          <w:sz w:val="18"/>
        </w:rPr>
        <w:t xml:space="preserve"> </w:t>
      </w:r>
      <w:r>
        <w:rPr>
          <w:sz w:val="18"/>
        </w:rPr>
        <w:t>and</w:t>
      </w:r>
      <w:r>
        <w:rPr>
          <w:spacing w:val="80"/>
          <w:sz w:val="18"/>
        </w:rPr>
        <w:t xml:space="preserve"> </w:t>
      </w:r>
      <w:r>
        <w:rPr>
          <w:sz w:val="18"/>
        </w:rPr>
        <w:t>David</w:t>
      </w:r>
      <w:r>
        <w:rPr>
          <w:spacing w:val="80"/>
          <w:sz w:val="18"/>
        </w:rPr>
        <w:t xml:space="preserve"> </w:t>
      </w:r>
      <w:r>
        <w:rPr>
          <w:sz w:val="18"/>
        </w:rPr>
        <w:t>R Boyd,</w:t>
      </w:r>
      <w:r>
        <w:rPr>
          <w:spacing w:val="-1"/>
          <w:sz w:val="18"/>
        </w:rPr>
        <w:t xml:space="preserve"> </w:t>
      </w:r>
      <w:r>
        <w:rPr>
          <w:sz w:val="18"/>
        </w:rPr>
        <w:t>Report</w:t>
      </w:r>
      <w:r>
        <w:rPr>
          <w:spacing w:val="-6"/>
          <w:sz w:val="18"/>
        </w:rPr>
        <w:t xml:space="preserve"> </w:t>
      </w:r>
      <w:r>
        <w:rPr>
          <w:sz w:val="18"/>
        </w:rPr>
        <w:t>of</w:t>
      </w:r>
      <w:r>
        <w:rPr>
          <w:spacing w:val="-9"/>
          <w:sz w:val="18"/>
        </w:rPr>
        <w:t xml:space="preserve"> </w:t>
      </w:r>
      <w:r>
        <w:rPr>
          <w:sz w:val="18"/>
        </w:rPr>
        <w:t>the</w:t>
      </w:r>
      <w:r>
        <w:rPr>
          <w:spacing w:val="-7"/>
          <w:sz w:val="18"/>
        </w:rPr>
        <w:t xml:space="preserve"> </w:t>
      </w:r>
      <w:r>
        <w:rPr>
          <w:sz w:val="18"/>
        </w:rPr>
        <w:t>Special</w:t>
      </w:r>
      <w:r>
        <w:rPr>
          <w:spacing w:val="-7"/>
          <w:sz w:val="18"/>
        </w:rPr>
        <w:t xml:space="preserve"> </w:t>
      </w:r>
      <w:r>
        <w:rPr>
          <w:sz w:val="18"/>
        </w:rPr>
        <w:t>Rapporteur</w:t>
      </w:r>
      <w:r>
        <w:rPr>
          <w:spacing w:val="-9"/>
          <w:sz w:val="18"/>
        </w:rPr>
        <w:t xml:space="preserve"> </w:t>
      </w:r>
      <w:r>
        <w:rPr>
          <w:sz w:val="18"/>
        </w:rPr>
        <w:t>on</w:t>
      </w:r>
      <w:r>
        <w:rPr>
          <w:spacing w:val="-6"/>
          <w:sz w:val="18"/>
        </w:rPr>
        <w:t xml:space="preserve"> </w:t>
      </w:r>
      <w:r>
        <w:rPr>
          <w:sz w:val="18"/>
        </w:rPr>
        <w:t>the</w:t>
      </w:r>
      <w:r>
        <w:rPr>
          <w:spacing w:val="-7"/>
          <w:sz w:val="18"/>
        </w:rPr>
        <w:t xml:space="preserve"> </w:t>
      </w:r>
      <w:r>
        <w:rPr>
          <w:sz w:val="18"/>
        </w:rPr>
        <w:t>Issue</w:t>
      </w:r>
      <w:r>
        <w:rPr>
          <w:spacing w:val="-7"/>
          <w:sz w:val="18"/>
        </w:rPr>
        <w:t xml:space="preserve"> </w:t>
      </w:r>
      <w:r>
        <w:rPr>
          <w:sz w:val="18"/>
        </w:rPr>
        <w:t>of</w:t>
      </w:r>
      <w:r>
        <w:rPr>
          <w:spacing w:val="-7"/>
          <w:sz w:val="18"/>
        </w:rPr>
        <w:t xml:space="preserve"> </w:t>
      </w:r>
      <w:r>
        <w:rPr>
          <w:sz w:val="18"/>
        </w:rPr>
        <w:t>Human</w:t>
      </w:r>
      <w:r>
        <w:rPr>
          <w:spacing w:val="-6"/>
          <w:sz w:val="18"/>
        </w:rPr>
        <w:t xml:space="preserve"> </w:t>
      </w:r>
      <w:r>
        <w:rPr>
          <w:sz w:val="18"/>
        </w:rPr>
        <w:t>Rights</w:t>
      </w:r>
      <w:r>
        <w:rPr>
          <w:spacing w:val="-7"/>
          <w:sz w:val="18"/>
        </w:rPr>
        <w:t xml:space="preserve"> </w:t>
      </w:r>
      <w:r>
        <w:rPr>
          <w:sz w:val="18"/>
        </w:rPr>
        <w:t>Obligations</w:t>
      </w:r>
      <w:r>
        <w:rPr>
          <w:spacing w:val="-7"/>
          <w:sz w:val="18"/>
        </w:rPr>
        <w:t xml:space="preserve"> </w:t>
      </w:r>
      <w:r>
        <w:rPr>
          <w:sz w:val="18"/>
        </w:rPr>
        <w:t>Relating</w:t>
      </w:r>
      <w:r>
        <w:rPr>
          <w:spacing w:val="-6"/>
          <w:sz w:val="18"/>
        </w:rPr>
        <w:t xml:space="preserve"> </w:t>
      </w:r>
      <w:r>
        <w:rPr>
          <w:sz w:val="18"/>
        </w:rPr>
        <w:t>to</w:t>
      </w:r>
      <w:r>
        <w:rPr>
          <w:spacing w:val="-8"/>
          <w:sz w:val="18"/>
        </w:rPr>
        <w:t xml:space="preserve"> </w:t>
      </w:r>
      <w:r>
        <w:rPr>
          <w:sz w:val="18"/>
        </w:rPr>
        <w:t>the</w:t>
      </w:r>
      <w:r>
        <w:rPr>
          <w:spacing w:val="-7"/>
          <w:sz w:val="18"/>
        </w:rPr>
        <w:t xml:space="preserve"> </w:t>
      </w:r>
      <w:r>
        <w:rPr>
          <w:sz w:val="18"/>
        </w:rPr>
        <w:t>Enjoyment</w:t>
      </w:r>
      <w:r>
        <w:rPr>
          <w:spacing w:val="-9"/>
          <w:sz w:val="18"/>
        </w:rPr>
        <w:t xml:space="preserve"> </w:t>
      </w:r>
      <w:r>
        <w:rPr>
          <w:sz w:val="18"/>
        </w:rPr>
        <w:t>of</w:t>
      </w:r>
      <w:r>
        <w:rPr>
          <w:spacing w:val="-7"/>
          <w:sz w:val="18"/>
        </w:rPr>
        <w:t xml:space="preserve"> </w:t>
      </w:r>
      <w:r>
        <w:rPr>
          <w:sz w:val="18"/>
        </w:rPr>
        <w:t>a</w:t>
      </w:r>
      <w:r>
        <w:rPr>
          <w:spacing w:val="-7"/>
          <w:sz w:val="18"/>
        </w:rPr>
        <w:t xml:space="preserve"> </w:t>
      </w:r>
      <w:r>
        <w:rPr>
          <w:sz w:val="18"/>
        </w:rPr>
        <w:t>Safe,</w:t>
      </w:r>
      <w:r>
        <w:rPr>
          <w:spacing w:val="-1"/>
          <w:sz w:val="18"/>
        </w:rPr>
        <w:t xml:space="preserve"> </w:t>
      </w:r>
      <w:r>
        <w:rPr>
          <w:sz w:val="18"/>
        </w:rPr>
        <w:t>Clean, Healthy and Sustainable Environment, UN Doc A/73/188 (19 July 2018) [45]–[46].</w:t>
      </w:r>
    </w:p>
    <w:p w14:paraId="7CB261D5" w14:textId="77777777" w:rsidR="008A4099" w:rsidRDefault="006A6EE2">
      <w:pPr>
        <w:spacing w:before="13"/>
        <w:ind w:left="160"/>
        <w:jc w:val="both"/>
        <w:rPr>
          <w:sz w:val="18"/>
        </w:rPr>
      </w:pPr>
      <w:r>
        <w:rPr>
          <w:sz w:val="18"/>
          <w:vertAlign w:val="superscript"/>
        </w:rPr>
        <w:t>438</w:t>
      </w:r>
      <w:r>
        <w:rPr>
          <w:spacing w:val="5"/>
          <w:sz w:val="18"/>
        </w:rPr>
        <w:t xml:space="preserve"> </w:t>
      </w:r>
      <w:r>
        <w:rPr>
          <w:sz w:val="18"/>
        </w:rPr>
        <w:t>See</w:t>
      </w:r>
      <w:r>
        <w:rPr>
          <w:spacing w:val="5"/>
          <w:sz w:val="18"/>
        </w:rPr>
        <w:t xml:space="preserve"> </w:t>
      </w:r>
      <w:r>
        <w:rPr>
          <w:spacing w:val="-2"/>
          <w:sz w:val="18"/>
        </w:rPr>
        <w:t>[4.3.2]–[4.3.6].</w:t>
      </w:r>
    </w:p>
    <w:p w14:paraId="7CB261D6"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61D7" w14:textId="77777777" w:rsidR="008A4099" w:rsidRDefault="008A4099">
      <w:pPr>
        <w:pStyle w:val="BodyText"/>
        <w:spacing w:before="218" w:after="1"/>
        <w:rPr>
          <w:sz w:val="20"/>
        </w:rPr>
      </w:pPr>
    </w:p>
    <w:p w14:paraId="7CB261D8" w14:textId="77777777" w:rsidR="008A4099" w:rsidRDefault="006A6EE2">
      <w:pPr>
        <w:pStyle w:val="BodyText"/>
        <w:ind w:left="160"/>
        <w:rPr>
          <w:sz w:val="20"/>
        </w:rPr>
      </w:pPr>
      <w:r>
        <w:rPr>
          <w:noProof/>
          <w:sz w:val="20"/>
        </w:rPr>
        <mc:AlternateContent>
          <mc:Choice Requires="wps">
            <w:drawing>
              <wp:inline distT="0" distB="0" distL="0" distR="0" wp14:anchorId="7CB26671" wp14:editId="7CB26672">
                <wp:extent cx="5727065" cy="2853690"/>
                <wp:effectExtent l="0" t="0" r="0" b="0"/>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853690"/>
                        </a:xfrm>
                        <a:prstGeom prst="rect">
                          <a:avLst/>
                        </a:prstGeom>
                        <a:solidFill>
                          <a:srgbClr val="E8E8E8"/>
                        </a:solidFill>
                      </wps:spPr>
                      <wps:txbx>
                        <w:txbxContent>
                          <w:p w14:paraId="7CB26774" w14:textId="77777777" w:rsidR="008A4099" w:rsidRDefault="006A6EE2">
                            <w:pPr>
                              <w:spacing w:before="220"/>
                              <w:ind w:left="108"/>
                              <w:jc w:val="both"/>
                              <w:rPr>
                                <w:b/>
                                <w:color w:val="000000"/>
                                <w:sz w:val="23"/>
                              </w:rPr>
                            </w:pPr>
                            <w:r>
                              <w:rPr>
                                <w:b/>
                                <w:color w:val="000000"/>
                                <w:sz w:val="23"/>
                              </w:rPr>
                              <w:t>Recommendation</w:t>
                            </w:r>
                            <w:r>
                              <w:rPr>
                                <w:b/>
                                <w:color w:val="000000"/>
                                <w:spacing w:val="-6"/>
                                <w:sz w:val="23"/>
                              </w:rPr>
                              <w:t xml:space="preserve"> </w:t>
                            </w:r>
                            <w:r>
                              <w:rPr>
                                <w:b/>
                                <w:color w:val="000000"/>
                                <w:sz w:val="23"/>
                              </w:rPr>
                              <w:t>7</w:t>
                            </w:r>
                            <w:r>
                              <w:rPr>
                                <w:b/>
                                <w:color w:val="000000"/>
                                <w:spacing w:val="-2"/>
                                <w:sz w:val="23"/>
                              </w:rPr>
                              <w:t xml:space="preserve"> </w:t>
                            </w:r>
                            <w:r>
                              <w:rPr>
                                <w:b/>
                                <w:color w:val="000000"/>
                                <w:sz w:val="23"/>
                              </w:rPr>
                              <w:t>–</w:t>
                            </w:r>
                            <w:r>
                              <w:rPr>
                                <w:b/>
                                <w:color w:val="000000"/>
                                <w:spacing w:val="-2"/>
                                <w:sz w:val="23"/>
                              </w:rPr>
                              <w:t xml:space="preserve"> </w:t>
                            </w:r>
                            <w:r>
                              <w:rPr>
                                <w:b/>
                                <w:color w:val="000000"/>
                                <w:sz w:val="23"/>
                              </w:rPr>
                              <w:t>Inclusion</w:t>
                            </w:r>
                            <w:r>
                              <w:rPr>
                                <w:b/>
                                <w:color w:val="000000"/>
                                <w:spacing w:val="-3"/>
                                <w:sz w:val="23"/>
                              </w:rPr>
                              <w:t xml:space="preserve"> </w:t>
                            </w:r>
                            <w:r>
                              <w:rPr>
                                <w:b/>
                                <w:color w:val="000000"/>
                                <w:sz w:val="23"/>
                              </w:rPr>
                              <w:t>of</w:t>
                            </w:r>
                            <w:r>
                              <w:rPr>
                                <w:b/>
                                <w:color w:val="000000"/>
                                <w:spacing w:val="-3"/>
                                <w:sz w:val="23"/>
                              </w:rPr>
                              <w:t xml:space="preserve"> </w:t>
                            </w:r>
                            <w:r>
                              <w:rPr>
                                <w:b/>
                                <w:color w:val="000000"/>
                                <w:sz w:val="23"/>
                              </w:rPr>
                              <w:t>Economic,</w:t>
                            </w:r>
                            <w:r>
                              <w:rPr>
                                <w:b/>
                                <w:color w:val="000000"/>
                                <w:spacing w:val="-2"/>
                                <w:sz w:val="23"/>
                              </w:rPr>
                              <w:t xml:space="preserve"> </w:t>
                            </w:r>
                            <w:r>
                              <w:rPr>
                                <w:b/>
                                <w:color w:val="000000"/>
                                <w:sz w:val="23"/>
                              </w:rPr>
                              <w:t>Social,</w:t>
                            </w:r>
                            <w:r>
                              <w:rPr>
                                <w:b/>
                                <w:color w:val="000000"/>
                                <w:spacing w:val="-2"/>
                                <w:sz w:val="23"/>
                              </w:rPr>
                              <w:t xml:space="preserve"> </w:t>
                            </w:r>
                            <w:r>
                              <w:rPr>
                                <w:b/>
                                <w:color w:val="000000"/>
                                <w:sz w:val="23"/>
                              </w:rPr>
                              <w:t>and</w:t>
                            </w:r>
                            <w:r>
                              <w:rPr>
                                <w:b/>
                                <w:color w:val="000000"/>
                                <w:spacing w:val="-3"/>
                                <w:sz w:val="23"/>
                              </w:rPr>
                              <w:t xml:space="preserve"> </w:t>
                            </w:r>
                            <w:r>
                              <w:rPr>
                                <w:b/>
                                <w:color w:val="000000"/>
                                <w:sz w:val="23"/>
                              </w:rPr>
                              <w:t>Cultural</w:t>
                            </w:r>
                            <w:r>
                              <w:rPr>
                                <w:b/>
                                <w:color w:val="000000"/>
                                <w:spacing w:val="-2"/>
                                <w:sz w:val="23"/>
                              </w:rPr>
                              <w:t xml:space="preserve"> Rights</w:t>
                            </w:r>
                          </w:p>
                          <w:p w14:paraId="7CB26775" w14:textId="77777777" w:rsidR="008A4099" w:rsidRDefault="006A6EE2">
                            <w:pPr>
                              <w:pStyle w:val="BodyText"/>
                              <w:spacing w:before="239"/>
                              <w:ind w:left="108" w:right="227"/>
                              <w:jc w:val="both"/>
                              <w:rPr>
                                <w:color w:val="000000"/>
                              </w:rPr>
                            </w:pPr>
                            <w:r>
                              <w:rPr>
                                <w:color w:val="000000"/>
                              </w:rPr>
                              <w:t>That the rights protected in the Tasmanian Human Rights Act or Charter extend beyond civil and political rights.</w:t>
                            </w:r>
                          </w:p>
                          <w:p w14:paraId="7CB26776" w14:textId="77777777" w:rsidR="008A4099" w:rsidRDefault="006A6EE2">
                            <w:pPr>
                              <w:pStyle w:val="BodyText"/>
                              <w:spacing w:before="120"/>
                              <w:ind w:left="108" w:right="227"/>
                              <w:jc w:val="both"/>
                              <w:rPr>
                                <w:color w:val="000000"/>
                              </w:rPr>
                            </w:pPr>
                            <w:r>
                              <w:rPr>
                                <w:color w:val="000000"/>
                              </w:rPr>
                              <w:t>Specifically, the specific rights outlined in the 2007 Final Report (Recommendation 16, see Appendix A) should be adopted in a Tasmanian human rights enactment.</w:t>
                            </w:r>
                          </w:p>
                          <w:p w14:paraId="7CB26777" w14:textId="77777777" w:rsidR="008A4099" w:rsidRDefault="006A6EE2">
                            <w:pPr>
                              <w:pStyle w:val="BodyText"/>
                              <w:spacing w:before="119"/>
                              <w:ind w:left="108" w:right="222"/>
                              <w:jc w:val="both"/>
                              <w:rPr>
                                <w:color w:val="000000"/>
                              </w:rPr>
                            </w:pPr>
                            <w:r>
                              <w:rPr>
                                <w:color w:val="000000"/>
                              </w:rPr>
                              <w:t>If</w:t>
                            </w:r>
                            <w:r>
                              <w:rPr>
                                <w:color w:val="000000"/>
                                <w:spacing w:val="-2"/>
                              </w:rPr>
                              <w:t xml:space="preserve"> </w:t>
                            </w:r>
                            <w:r>
                              <w:rPr>
                                <w:color w:val="000000"/>
                              </w:rPr>
                              <w:t>all</w:t>
                            </w:r>
                            <w:r>
                              <w:rPr>
                                <w:color w:val="000000"/>
                                <w:spacing w:val="-2"/>
                              </w:rPr>
                              <w:t xml:space="preserve"> </w:t>
                            </w:r>
                            <w:r>
                              <w:rPr>
                                <w:color w:val="000000"/>
                              </w:rPr>
                              <w:t>of</w:t>
                            </w:r>
                            <w:r>
                              <w:rPr>
                                <w:color w:val="000000"/>
                                <w:spacing w:val="-4"/>
                              </w:rPr>
                              <w:t xml:space="preserve"> </w:t>
                            </w:r>
                            <w:r>
                              <w:rPr>
                                <w:color w:val="000000"/>
                              </w:rPr>
                              <w:t>the</w:t>
                            </w:r>
                            <w:r>
                              <w:rPr>
                                <w:color w:val="000000"/>
                                <w:spacing w:val="-4"/>
                              </w:rPr>
                              <w:t xml:space="preserve"> </w:t>
                            </w:r>
                            <w:r>
                              <w:rPr>
                                <w:color w:val="000000"/>
                              </w:rPr>
                              <w:t>economic,</w:t>
                            </w:r>
                            <w:r>
                              <w:rPr>
                                <w:color w:val="000000"/>
                                <w:spacing w:val="-4"/>
                              </w:rPr>
                              <w:t xml:space="preserve"> </w:t>
                            </w:r>
                            <w:r>
                              <w:rPr>
                                <w:color w:val="000000"/>
                              </w:rPr>
                              <w:t>social,</w:t>
                            </w:r>
                            <w:r>
                              <w:rPr>
                                <w:color w:val="000000"/>
                                <w:spacing w:val="-2"/>
                              </w:rPr>
                              <w:t xml:space="preserve"> </w:t>
                            </w:r>
                            <w:r>
                              <w:rPr>
                                <w:color w:val="000000"/>
                              </w:rPr>
                              <w:t>and</w:t>
                            </w:r>
                            <w:r>
                              <w:rPr>
                                <w:color w:val="000000"/>
                                <w:spacing w:val="-2"/>
                              </w:rPr>
                              <w:t xml:space="preserve"> </w:t>
                            </w:r>
                            <w:r>
                              <w:rPr>
                                <w:color w:val="000000"/>
                              </w:rPr>
                              <w:t>cultural</w:t>
                            </w:r>
                            <w:r>
                              <w:rPr>
                                <w:color w:val="000000"/>
                                <w:spacing w:val="-3"/>
                              </w:rPr>
                              <w:t xml:space="preserve"> </w:t>
                            </w:r>
                            <w:r>
                              <w:rPr>
                                <w:color w:val="000000"/>
                              </w:rPr>
                              <w:t>rights</w:t>
                            </w:r>
                            <w:r>
                              <w:rPr>
                                <w:color w:val="000000"/>
                                <w:spacing w:val="-4"/>
                              </w:rPr>
                              <w:t xml:space="preserve"> </w:t>
                            </w:r>
                            <w:r>
                              <w:rPr>
                                <w:color w:val="000000"/>
                              </w:rPr>
                              <w:t>that</w:t>
                            </w:r>
                            <w:r>
                              <w:rPr>
                                <w:color w:val="000000"/>
                                <w:spacing w:val="-4"/>
                              </w:rPr>
                              <w:t xml:space="preserve"> </w:t>
                            </w:r>
                            <w:r>
                              <w:rPr>
                                <w:color w:val="000000"/>
                              </w:rPr>
                              <w:t>the</w:t>
                            </w:r>
                            <w:r>
                              <w:rPr>
                                <w:color w:val="000000"/>
                                <w:spacing w:val="-2"/>
                              </w:rPr>
                              <w:t xml:space="preserve"> </w:t>
                            </w:r>
                            <w:r>
                              <w:rPr>
                                <w:color w:val="000000"/>
                              </w:rPr>
                              <w:t>TLRI</w:t>
                            </w:r>
                            <w:r>
                              <w:rPr>
                                <w:color w:val="000000"/>
                                <w:spacing w:val="-4"/>
                              </w:rPr>
                              <w:t xml:space="preserve"> </w:t>
                            </w:r>
                            <w:r>
                              <w:rPr>
                                <w:color w:val="000000"/>
                              </w:rPr>
                              <w:t>2007</w:t>
                            </w:r>
                            <w:r>
                              <w:rPr>
                                <w:color w:val="000000"/>
                                <w:spacing w:val="-5"/>
                              </w:rPr>
                              <w:t xml:space="preserve"> </w:t>
                            </w:r>
                            <w:r>
                              <w:rPr>
                                <w:color w:val="000000"/>
                              </w:rPr>
                              <w:t>Final</w:t>
                            </w:r>
                            <w:r>
                              <w:rPr>
                                <w:color w:val="000000"/>
                                <w:spacing w:val="-3"/>
                              </w:rPr>
                              <w:t xml:space="preserve"> </w:t>
                            </w:r>
                            <w:r>
                              <w:rPr>
                                <w:color w:val="000000"/>
                              </w:rPr>
                              <w:t>Report</w:t>
                            </w:r>
                            <w:r>
                              <w:rPr>
                                <w:color w:val="000000"/>
                                <w:spacing w:val="-4"/>
                              </w:rPr>
                              <w:t xml:space="preserve"> </w:t>
                            </w:r>
                            <w:r>
                              <w:rPr>
                                <w:color w:val="000000"/>
                              </w:rPr>
                              <w:t>recommended</w:t>
                            </w:r>
                            <w:r>
                              <w:rPr>
                                <w:color w:val="000000"/>
                                <w:spacing w:val="-4"/>
                              </w:rPr>
                              <w:t xml:space="preserve"> </w:t>
                            </w:r>
                            <w:r>
                              <w:rPr>
                                <w:color w:val="000000"/>
                              </w:rPr>
                              <w:t>be included in a Tasmanian human rights enactment are not initially included, then the economic, social, and cultural rights currently protected in other jurisdictions with human rights enactments (cultural rights of Aboriginal and Torres Strait Islander people, the right to education, the health rights, and the right to work) should be included.</w:t>
                            </w:r>
                          </w:p>
                          <w:p w14:paraId="7CB26778" w14:textId="77777777" w:rsidR="008A4099" w:rsidRDefault="006A6EE2">
                            <w:pPr>
                              <w:pStyle w:val="BodyText"/>
                              <w:spacing w:before="122"/>
                              <w:ind w:left="108" w:right="222"/>
                              <w:jc w:val="both"/>
                              <w:rPr>
                                <w:color w:val="000000"/>
                              </w:rPr>
                            </w:pPr>
                            <w:r>
                              <w:rPr>
                                <w:color w:val="000000"/>
                              </w:rPr>
                              <w:t>Further, if economic, social, and cultural rights are not initially included in a Tasmanian human rights enactment, then it should explicitly require the first review to consider the inclusion of additional</w:t>
                            </w:r>
                            <w:r>
                              <w:rPr>
                                <w:color w:val="000000"/>
                                <w:spacing w:val="-8"/>
                              </w:rPr>
                              <w:t xml:space="preserve"> </w:t>
                            </w:r>
                            <w:r>
                              <w:rPr>
                                <w:color w:val="000000"/>
                              </w:rPr>
                              <w:t>human</w:t>
                            </w:r>
                            <w:r>
                              <w:rPr>
                                <w:color w:val="000000"/>
                                <w:spacing w:val="-9"/>
                              </w:rPr>
                              <w:t xml:space="preserve"> </w:t>
                            </w:r>
                            <w:r>
                              <w:rPr>
                                <w:color w:val="000000"/>
                              </w:rPr>
                              <w:t>rights,</w:t>
                            </w:r>
                            <w:r>
                              <w:rPr>
                                <w:color w:val="000000"/>
                                <w:spacing w:val="-9"/>
                              </w:rPr>
                              <w:t xml:space="preserve"> </w:t>
                            </w:r>
                            <w:r>
                              <w:rPr>
                                <w:color w:val="000000"/>
                              </w:rPr>
                              <w:t>including</w:t>
                            </w:r>
                            <w:r>
                              <w:rPr>
                                <w:color w:val="000000"/>
                                <w:spacing w:val="-7"/>
                              </w:rPr>
                              <w:t xml:space="preserve"> </w:t>
                            </w:r>
                            <w:r>
                              <w:rPr>
                                <w:color w:val="000000"/>
                              </w:rPr>
                              <w:t>all</w:t>
                            </w:r>
                            <w:r>
                              <w:rPr>
                                <w:color w:val="000000"/>
                                <w:spacing w:val="-9"/>
                              </w:rPr>
                              <w:t xml:space="preserve"> </w:t>
                            </w:r>
                            <w:r>
                              <w:rPr>
                                <w:color w:val="000000"/>
                              </w:rPr>
                              <w:t>the</w:t>
                            </w:r>
                            <w:r>
                              <w:rPr>
                                <w:color w:val="000000"/>
                                <w:spacing w:val="-9"/>
                              </w:rPr>
                              <w:t xml:space="preserve"> </w:t>
                            </w:r>
                            <w:r>
                              <w:rPr>
                                <w:color w:val="000000"/>
                              </w:rPr>
                              <w:t>rights</w:t>
                            </w:r>
                            <w:r>
                              <w:rPr>
                                <w:color w:val="000000"/>
                                <w:spacing w:val="-6"/>
                              </w:rPr>
                              <w:t xml:space="preserve"> </w:t>
                            </w:r>
                            <w:r>
                              <w:rPr>
                                <w:color w:val="000000"/>
                              </w:rPr>
                              <w:t>recommended</w:t>
                            </w:r>
                            <w:r>
                              <w:rPr>
                                <w:color w:val="000000"/>
                                <w:spacing w:val="-7"/>
                              </w:rPr>
                              <w:t xml:space="preserve"> </w:t>
                            </w:r>
                            <w:r>
                              <w:rPr>
                                <w:color w:val="000000"/>
                              </w:rPr>
                              <w:t>for</w:t>
                            </w:r>
                            <w:r>
                              <w:rPr>
                                <w:color w:val="000000"/>
                                <w:spacing w:val="-9"/>
                              </w:rPr>
                              <w:t xml:space="preserve"> </w:t>
                            </w:r>
                            <w:r>
                              <w:rPr>
                                <w:color w:val="000000"/>
                              </w:rPr>
                              <w:t>inclusion</w:t>
                            </w:r>
                            <w:r>
                              <w:rPr>
                                <w:color w:val="000000"/>
                                <w:spacing w:val="-10"/>
                              </w:rPr>
                              <w:t xml:space="preserve"> </w:t>
                            </w:r>
                            <w:r>
                              <w:rPr>
                                <w:color w:val="000000"/>
                              </w:rPr>
                              <w:t>in</w:t>
                            </w:r>
                            <w:r>
                              <w:rPr>
                                <w:color w:val="000000"/>
                                <w:spacing w:val="-10"/>
                              </w:rPr>
                              <w:t xml:space="preserve"> </w:t>
                            </w:r>
                            <w:r>
                              <w:rPr>
                                <w:color w:val="000000"/>
                              </w:rPr>
                              <w:t>the</w:t>
                            </w:r>
                            <w:r>
                              <w:rPr>
                                <w:color w:val="000000"/>
                                <w:spacing w:val="-9"/>
                              </w:rPr>
                              <w:t xml:space="preserve"> </w:t>
                            </w:r>
                            <w:r>
                              <w:rPr>
                                <w:color w:val="000000"/>
                              </w:rPr>
                              <w:t>TLRI</w:t>
                            </w:r>
                            <w:r>
                              <w:rPr>
                                <w:color w:val="000000"/>
                                <w:spacing w:val="-9"/>
                              </w:rPr>
                              <w:t xml:space="preserve"> </w:t>
                            </w:r>
                            <w:r>
                              <w:rPr>
                                <w:color w:val="000000"/>
                              </w:rPr>
                              <w:t>2007</w:t>
                            </w:r>
                            <w:r>
                              <w:rPr>
                                <w:color w:val="000000"/>
                                <w:spacing w:val="-7"/>
                              </w:rPr>
                              <w:t xml:space="preserve"> </w:t>
                            </w:r>
                            <w:r>
                              <w:rPr>
                                <w:color w:val="000000"/>
                              </w:rPr>
                              <w:t xml:space="preserve">Final </w:t>
                            </w:r>
                            <w:r>
                              <w:rPr>
                                <w:color w:val="000000"/>
                                <w:spacing w:val="-2"/>
                              </w:rPr>
                              <w:t>Report.</w:t>
                            </w:r>
                          </w:p>
                        </w:txbxContent>
                      </wps:txbx>
                      <wps:bodyPr wrap="square" lIns="0" tIns="0" rIns="0" bIns="0" rtlCol="0">
                        <a:noAutofit/>
                      </wps:bodyPr>
                    </wps:wsp>
                  </a:graphicData>
                </a:graphic>
              </wp:inline>
            </w:drawing>
          </mc:Choice>
          <mc:Fallback>
            <w:pict>
              <v:shape w14:anchorId="7CB26671" id="Textbox 124" o:spid="_x0000_s1033" type="#_x0000_t202" style="width:450.95pt;height:22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" fillcolor="#e8e8e8" stroked="f">
                <v:textbox inset="0,0,0,0">
                  <w:txbxContent>
                    <w:p w14:paraId="7CB26774" w14:textId="77777777" w:rsidR="008A4099" w:rsidRDefault="006A6EE2">
                      <w:pPr>
                        <w:spacing w:before="220"/>
                        <w:ind w:left="108"/>
                        <w:jc w:val="both"/>
                        <w:rPr>
                          <w:b/>
                          <w:color w:val="000000"/>
                          <w:sz w:val="23"/>
                        </w:rPr>
                      </w:pPr>
                      <w:r>
                        <w:rPr>
                          <w:b/>
                          <w:color w:val="000000"/>
                          <w:sz w:val="23"/>
                        </w:rPr>
                        <w:t>Recommendation</w:t>
                      </w:r>
                      <w:r>
                        <w:rPr>
                          <w:b/>
                          <w:color w:val="000000"/>
                          <w:spacing w:val="-6"/>
                          <w:sz w:val="23"/>
                        </w:rPr>
                        <w:t xml:space="preserve"> </w:t>
                      </w:r>
                      <w:r>
                        <w:rPr>
                          <w:b/>
                          <w:color w:val="000000"/>
                          <w:sz w:val="23"/>
                        </w:rPr>
                        <w:t>7</w:t>
                      </w:r>
                      <w:r>
                        <w:rPr>
                          <w:b/>
                          <w:color w:val="000000"/>
                          <w:spacing w:val="-2"/>
                          <w:sz w:val="23"/>
                        </w:rPr>
                        <w:t xml:space="preserve"> </w:t>
                      </w:r>
                      <w:r>
                        <w:rPr>
                          <w:b/>
                          <w:color w:val="000000"/>
                          <w:sz w:val="23"/>
                        </w:rPr>
                        <w:t>–</w:t>
                      </w:r>
                      <w:r>
                        <w:rPr>
                          <w:b/>
                          <w:color w:val="000000"/>
                          <w:spacing w:val="-2"/>
                          <w:sz w:val="23"/>
                        </w:rPr>
                        <w:t xml:space="preserve"> </w:t>
                      </w:r>
                      <w:r>
                        <w:rPr>
                          <w:b/>
                          <w:color w:val="000000"/>
                          <w:sz w:val="23"/>
                        </w:rPr>
                        <w:t>Inclusion</w:t>
                      </w:r>
                      <w:r>
                        <w:rPr>
                          <w:b/>
                          <w:color w:val="000000"/>
                          <w:spacing w:val="-3"/>
                          <w:sz w:val="23"/>
                        </w:rPr>
                        <w:t xml:space="preserve"> </w:t>
                      </w:r>
                      <w:r>
                        <w:rPr>
                          <w:b/>
                          <w:color w:val="000000"/>
                          <w:sz w:val="23"/>
                        </w:rPr>
                        <w:t>of</w:t>
                      </w:r>
                      <w:r>
                        <w:rPr>
                          <w:b/>
                          <w:color w:val="000000"/>
                          <w:spacing w:val="-3"/>
                          <w:sz w:val="23"/>
                        </w:rPr>
                        <w:t xml:space="preserve"> </w:t>
                      </w:r>
                      <w:r>
                        <w:rPr>
                          <w:b/>
                          <w:color w:val="000000"/>
                          <w:sz w:val="23"/>
                        </w:rPr>
                        <w:t>Economic,</w:t>
                      </w:r>
                      <w:r>
                        <w:rPr>
                          <w:b/>
                          <w:color w:val="000000"/>
                          <w:spacing w:val="-2"/>
                          <w:sz w:val="23"/>
                        </w:rPr>
                        <w:t xml:space="preserve"> </w:t>
                      </w:r>
                      <w:r>
                        <w:rPr>
                          <w:b/>
                          <w:color w:val="000000"/>
                          <w:sz w:val="23"/>
                        </w:rPr>
                        <w:t>Social,</w:t>
                      </w:r>
                      <w:r>
                        <w:rPr>
                          <w:b/>
                          <w:color w:val="000000"/>
                          <w:spacing w:val="-2"/>
                          <w:sz w:val="23"/>
                        </w:rPr>
                        <w:t xml:space="preserve"> </w:t>
                      </w:r>
                      <w:r>
                        <w:rPr>
                          <w:b/>
                          <w:color w:val="000000"/>
                          <w:sz w:val="23"/>
                        </w:rPr>
                        <w:t>and</w:t>
                      </w:r>
                      <w:r>
                        <w:rPr>
                          <w:b/>
                          <w:color w:val="000000"/>
                          <w:spacing w:val="-3"/>
                          <w:sz w:val="23"/>
                        </w:rPr>
                        <w:t xml:space="preserve"> </w:t>
                      </w:r>
                      <w:r>
                        <w:rPr>
                          <w:b/>
                          <w:color w:val="000000"/>
                          <w:sz w:val="23"/>
                        </w:rPr>
                        <w:t>Cultural</w:t>
                      </w:r>
                      <w:r>
                        <w:rPr>
                          <w:b/>
                          <w:color w:val="000000"/>
                          <w:spacing w:val="-2"/>
                          <w:sz w:val="23"/>
                        </w:rPr>
                        <w:t xml:space="preserve"> Rights</w:t>
                      </w:r>
                    </w:p>
                    <w:p w14:paraId="7CB26775" w14:textId="77777777" w:rsidR="008A4099" w:rsidRDefault="006A6EE2">
                      <w:pPr>
                        <w:pStyle w:val="BodyText"/>
                        <w:spacing w:before="239"/>
                        <w:ind w:left="108" w:right="227"/>
                        <w:jc w:val="both"/>
                        <w:rPr>
                          <w:color w:val="000000"/>
                        </w:rPr>
                      </w:pPr>
                      <w:r>
                        <w:rPr>
                          <w:color w:val="000000"/>
                        </w:rPr>
                        <w:t>That the rights protected in the Tasmanian Human Rights Act or Charter extend beyond civil and political rights.</w:t>
                      </w:r>
                    </w:p>
                    <w:p w14:paraId="7CB26776" w14:textId="77777777" w:rsidR="008A4099" w:rsidRDefault="006A6EE2">
                      <w:pPr>
                        <w:pStyle w:val="BodyText"/>
                        <w:spacing w:before="120"/>
                        <w:ind w:left="108" w:right="227"/>
                        <w:jc w:val="both"/>
                        <w:rPr>
                          <w:color w:val="000000"/>
                        </w:rPr>
                      </w:pPr>
                      <w:r>
                        <w:rPr>
                          <w:color w:val="000000"/>
                        </w:rPr>
                        <w:t>Specifically, the specific rights outlined in the 2007 Final Report (Recommendation 16, see Appendix A) should be adopted in a Tasmanian human rights enactment.</w:t>
                      </w:r>
                    </w:p>
                    <w:p w14:paraId="7CB26777" w14:textId="77777777" w:rsidR="008A4099" w:rsidRDefault="006A6EE2">
                      <w:pPr>
                        <w:pStyle w:val="BodyText"/>
                        <w:spacing w:before="119"/>
                        <w:ind w:left="108" w:right="222"/>
                        <w:jc w:val="both"/>
                        <w:rPr>
                          <w:color w:val="000000"/>
                        </w:rPr>
                      </w:pPr>
                      <w:r>
                        <w:rPr>
                          <w:color w:val="000000"/>
                        </w:rPr>
                        <w:t>If</w:t>
                      </w:r>
                      <w:r>
                        <w:rPr>
                          <w:color w:val="000000"/>
                          <w:spacing w:val="-2"/>
                        </w:rPr>
                        <w:t xml:space="preserve"> </w:t>
                      </w:r>
                      <w:r>
                        <w:rPr>
                          <w:color w:val="000000"/>
                        </w:rPr>
                        <w:t>all</w:t>
                      </w:r>
                      <w:r>
                        <w:rPr>
                          <w:color w:val="000000"/>
                          <w:spacing w:val="-2"/>
                        </w:rPr>
                        <w:t xml:space="preserve"> </w:t>
                      </w:r>
                      <w:r>
                        <w:rPr>
                          <w:color w:val="000000"/>
                        </w:rPr>
                        <w:t>of</w:t>
                      </w:r>
                      <w:r>
                        <w:rPr>
                          <w:color w:val="000000"/>
                          <w:spacing w:val="-4"/>
                        </w:rPr>
                        <w:t xml:space="preserve"> </w:t>
                      </w:r>
                      <w:r>
                        <w:rPr>
                          <w:color w:val="000000"/>
                        </w:rPr>
                        <w:t>the</w:t>
                      </w:r>
                      <w:r>
                        <w:rPr>
                          <w:color w:val="000000"/>
                          <w:spacing w:val="-4"/>
                        </w:rPr>
                        <w:t xml:space="preserve"> </w:t>
                      </w:r>
                      <w:r>
                        <w:rPr>
                          <w:color w:val="000000"/>
                        </w:rPr>
                        <w:t>economic,</w:t>
                      </w:r>
                      <w:r>
                        <w:rPr>
                          <w:color w:val="000000"/>
                          <w:spacing w:val="-4"/>
                        </w:rPr>
                        <w:t xml:space="preserve"> </w:t>
                      </w:r>
                      <w:r>
                        <w:rPr>
                          <w:color w:val="000000"/>
                        </w:rPr>
                        <w:t>social,</w:t>
                      </w:r>
                      <w:r>
                        <w:rPr>
                          <w:color w:val="000000"/>
                          <w:spacing w:val="-2"/>
                        </w:rPr>
                        <w:t xml:space="preserve"> </w:t>
                      </w:r>
                      <w:r>
                        <w:rPr>
                          <w:color w:val="000000"/>
                        </w:rPr>
                        <w:t>and</w:t>
                      </w:r>
                      <w:r>
                        <w:rPr>
                          <w:color w:val="000000"/>
                          <w:spacing w:val="-2"/>
                        </w:rPr>
                        <w:t xml:space="preserve"> </w:t>
                      </w:r>
                      <w:r>
                        <w:rPr>
                          <w:color w:val="000000"/>
                        </w:rPr>
                        <w:t>cultural</w:t>
                      </w:r>
                      <w:r>
                        <w:rPr>
                          <w:color w:val="000000"/>
                          <w:spacing w:val="-3"/>
                        </w:rPr>
                        <w:t xml:space="preserve"> </w:t>
                      </w:r>
                      <w:r>
                        <w:rPr>
                          <w:color w:val="000000"/>
                        </w:rPr>
                        <w:t>rights</w:t>
                      </w:r>
                      <w:r>
                        <w:rPr>
                          <w:color w:val="000000"/>
                          <w:spacing w:val="-4"/>
                        </w:rPr>
                        <w:t xml:space="preserve"> </w:t>
                      </w:r>
                      <w:r>
                        <w:rPr>
                          <w:color w:val="000000"/>
                        </w:rPr>
                        <w:t>that</w:t>
                      </w:r>
                      <w:r>
                        <w:rPr>
                          <w:color w:val="000000"/>
                          <w:spacing w:val="-4"/>
                        </w:rPr>
                        <w:t xml:space="preserve"> </w:t>
                      </w:r>
                      <w:r>
                        <w:rPr>
                          <w:color w:val="000000"/>
                        </w:rPr>
                        <w:t>the</w:t>
                      </w:r>
                      <w:r>
                        <w:rPr>
                          <w:color w:val="000000"/>
                          <w:spacing w:val="-2"/>
                        </w:rPr>
                        <w:t xml:space="preserve"> </w:t>
                      </w:r>
                      <w:r>
                        <w:rPr>
                          <w:color w:val="000000"/>
                        </w:rPr>
                        <w:t>TLRI</w:t>
                      </w:r>
                      <w:r>
                        <w:rPr>
                          <w:color w:val="000000"/>
                          <w:spacing w:val="-4"/>
                        </w:rPr>
                        <w:t xml:space="preserve"> </w:t>
                      </w:r>
                      <w:r>
                        <w:rPr>
                          <w:color w:val="000000"/>
                        </w:rPr>
                        <w:t>2007</w:t>
                      </w:r>
                      <w:r>
                        <w:rPr>
                          <w:color w:val="000000"/>
                          <w:spacing w:val="-5"/>
                        </w:rPr>
                        <w:t xml:space="preserve"> </w:t>
                      </w:r>
                      <w:r>
                        <w:rPr>
                          <w:color w:val="000000"/>
                        </w:rPr>
                        <w:t>Final</w:t>
                      </w:r>
                      <w:r>
                        <w:rPr>
                          <w:color w:val="000000"/>
                          <w:spacing w:val="-3"/>
                        </w:rPr>
                        <w:t xml:space="preserve"> </w:t>
                      </w:r>
                      <w:r>
                        <w:rPr>
                          <w:color w:val="000000"/>
                        </w:rPr>
                        <w:t>Report</w:t>
                      </w:r>
                      <w:r>
                        <w:rPr>
                          <w:color w:val="000000"/>
                          <w:spacing w:val="-4"/>
                        </w:rPr>
                        <w:t xml:space="preserve"> </w:t>
                      </w:r>
                      <w:r>
                        <w:rPr>
                          <w:color w:val="000000"/>
                        </w:rPr>
                        <w:t>recommended</w:t>
                      </w:r>
                      <w:r>
                        <w:rPr>
                          <w:color w:val="000000"/>
                          <w:spacing w:val="-4"/>
                        </w:rPr>
                        <w:t xml:space="preserve"> </w:t>
                      </w:r>
                      <w:r>
                        <w:rPr>
                          <w:color w:val="000000"/>
                        </w:rPr>
                        <w:t>be included in a Tasmanian human rights enactment are not initially included, then the economic, social, and cultural rights currently protected in other jurisdictions with human rights enactments (cultural rights of Aboriginal and Torres Strait Islander people, the right to education, the health rights, and the right to work) should be included.</w:t>
                      </w:r>
                    </w:p>
                    <w:p w14:paraId="7CB26778" w14:textId="77777777" w:rsidR="008A4099" w:rsidRDefault="006A6EE2">
                      <w:pPr>
                        <w:pStyle w:val="BodyText"/>
                        <w:spacing w:before="122"/>
                        <w:ind w:left="108" w:right="222"/>
                        <w:jc w:val="both"/>
                        <w:rPr>
                          <w:color w:val="000000"/>
                        </w:rPr>
                      </w:pPr>
                      <w:r>
                        <w:rPr>
                          <w:color w:val="000000"/>
                        </w:rPr>
                        <w:t>Further, if economic, social, and cultural rights are not initially included in a Tasmanian human rights enactment, then it should explicitly require the first review to consider the inclusion of additional</w:t>
                      </w:r>
                      <w:r>
                        <w:rPr>
                          <w:color w:val="000000"/>
                          <w:spacing w:val="-8"/>
                        </w:rPr>
                        <w:t xml:space="preserve"> </w:t>
                      </w:r>
                      <w:r>
                        <w:rPr>
                          <w:color w:val="000000"/>
                        </w:rPr>
                        <w:t>human</w:t>
                      </w:r>
                      <w:r>
                        <w:rPr>
                          <w:color w:val="000000"/>
                          <w:spacing w:val="-9"/>
                        </w:rPr>
                        <w:t xml:space="preserve"> </w:t>
                      </w:r>
                      <w:r>
                        <w:rPr>
                          <w:color w:val="000000"/>
                        </w:rPr>
                        <w:t>rights,</w:t>
                      </w:r>
                      <w:r>
                        <w:rPr>
                          <w:color w:val="000000"/>
                          <w:spacing w:val="-9"/>
                        </w:rPr>
                        <w:t xml:space="preserve"> </w:t>
                      </w:r>
                      <w:r>
                        <w:rPr>
                          <w:color w:val="000000"/>
                        </w:rPr>
                        <w:t>including</w:t>
                      </w:r>
                      <w:r>
                        <w:rPr>
                          <w:color w:val="000000"/>
                          <w:spacing w:val="-7"/>
                        </w:rPr>
                        <w:t xml:space="preserve"> </w:t>
                      </w:r>
                      <w:r>
                        <w:rPr>
                          <w:color w:val="000000"/>
                        </w:rPr>
                        <w:t>all</w:t>
                      </w:r>
                      <w:r>
                        <w:rPr>
                          <w:color w:val="000000"/>
                          <w:spacing w:val="-9"/>
                        </w:rPr>
                        <w:t xml:space="preserve"> </w:t>
                      </w:r>
                      <w:r>
                        <w:rPr>
                          <w:color w:val="000000"/>
                        </w:rPr>
                        <w:t>the</w:t>
                      </w:r>
                      <w:r>
                        <w:rPr>
                          <w:color w:val="000000"/>
                          <w:spacing w:val="-9"/>
                        </w:rPr>
                        <w:t xml:space="preserve"> </w:t>
                      </w:r>
                      <w:r>
                        <w:rPr>
                          <w:color w:val="000000"/>
                        </w:rPr>
                        <w:t>rights</w:t>
                      </w:r>
                      <w:r>
                        <w:rPr>
                          <w:color w:val="000000"/>
                          <w:spacing w:val="-6"/>
                        </w:rPr>
                        <w:t xml:space="preserve"> </w:t>
                      </w:r>
                      <w:r>
                        <w:rPr>
                          <w:color w:val="000000"/>
                        </w:rPr>
                        <w:t>recommended</w:t>
                      </w:r>
                      <w:r>
                        <w:rPr>
                          <w:color w:val="000000"/>
                          <w:spacing w:val="-7"/>
                        </w:rPr>
                        <w:t xml:space="preserve"> </w:t>
                      </w:r>
                      <w:r>
                        <w:rPr>
                          <w:color w:val="000000"/>
                        </w:rPr>
                        <w:t>for</w:t>
                      </w:r>
                      <w:r>
                        <w:rPr>
                          <w:color w:val="000000"/>
                          <w:spacing w:val="-9"/>
                        </w:rPr>
                        <w:t xml:space="preserve"> </w:t>
                      </w:r>
                      <w:r>
                        <w:rPr>
                          <w:color w:val="000000"/>
                        </w:rPr>
                        <w:t>inclusion</w:t>
                      </w:r>
                      <w:r>
                        <w:rPr>
                          <w:color w:val="000000"/>
                          <w:spacing w:val="-10"/>
                        </w:rPr>
                        <w:t xml:space="preserve"> </w:t>
                      </w:r>
                      <w:r>
                        <w:rPr>
                          <w:color w:val="000000"/>
                        </w:rPr>
                        <w:t>in</w:t>
                      </w:r>
                      <w:r>
                        <w:rPr>
                          <w:color w:val="000000"/>
                          <w:spacing w:val="-10"/>
                        </w:rPr>
                        <w:t xml:space="preserve"> </w:t>
                      </w:r>
                      <w:r>
                        <w:rPr>
                          <w:color w:val="000000"/>
                        </w:rPr>
                        <w:t>the</w:t>
                      </w:r>
                      <w:r>
                        <w:rPr>
                          <w:color w:val="000000"/>
                          <w:spacing w:val="-9"/>
                        </w:rPr>
                        <w:t xml:space="preserve"> </w:t>
                      </w:r>
                      <w:r>
                        <w:rPr>
                          <w:color w:val="000000"/>
                        </w:rPr>
                        <w:t>TLRI</w:t>
                      </w:r>
                      <w:r>
                        <w:rPr>
                          <w:color w:val="000000"/>
                          <w:spacing w:val="-9"/>
                        </w:rPr>
                        <w:t xml:space="preserve"> </w:t>
                      </w:r>
                      <w:r>
                        <w:rPr>
                          <w:color w:val="000000"/>
                        </w:rPr>
                        <w:t>2007</w:t>
                      </w:r>
                      <w:r>
                        <w:rPr>
                          <w:color w:val="000000"/>
                          <w:spacing w:val="-7"/>
                        </w:rPr>
                        <w:t xml:space="preserve"> </w:t>
                      </w:r>
                      <w:r>
                        <w:rPr>
                          <w:color w:val="000000"/>
                        </w:rPr>
                        <w:t xml:space="preserve">Final </w:t>
                      </w:r>
                      <w:r>
                        <w:rPr>
                          <w:color w:val="000000"/>
                          <w:spacing w:val="-2"/>
                        </w:rPr>
                        <w:t>Report.</w:t>
                      </w:r>
                    </w:p>
                  </w:txbxContent>
                </v:textbox>
                <w10:anchorlock/>
              </v:shape>
            </w:pict>
          </mc:Fallback>
        </mc:AlternateContent>
      </w:r>
    </w:p>
    <w:p w14:paraId="7CB261D9" w14:textId="77777777" w:rsidR="008A4099" w:rsidRDefault="008A4099">
      <w:pPr>
        <w:pStyle w:val="BodyText"/>
        <w:spacing w:before="250"/>
        <w:rPr>
          <w:sz w:val="32"/>
        </w:rPr>
      </w:pPr>
    </w:p>
    <w:p w14:paraId="7CB261DA" w14:textId="77777777" w:rsidR="008A4099" w:rsidRDefault="006A6EE2">
      <w:pPr>
        <w:pStyle w:val="Heading2"/>
        <w:numPr>
          <w:ilvl w:val="1"/>
          <w:numId w:val="3"/>
        </w:numPr>
        <w:tabs>
          <w:tab w:val="left" w:pos="878"/>
        </w:tabs>
        <w:ind w:left="878" w:hanging="718"/>
        <w:jc w:val="both"/>
      </w:pPr>
      <w:bookmarkStart w:id="44" w:name="_TOC_250016"/>
      <w:r>
        <w:t>Role</w:t>
      </w:r>
      <w:r>
        <w:rPr>
          <w:spacing w:val="-6"/>
        </w:rPr>
        <w:t xml:space="preserve"> </w:t>
      </w:r>
      <w:r>
        <w:t>of</w:t>
      </w:r>
      <w:r>
        <w:rPr>
          <w:spacing w:val="-5"/>
        </w:rPr>
        <w:t xml:space="preserve"> </w:t>
      </w:r>
      <w:bookmarkEnd w:id="44"/>
      <w:r>
        <w:rPr>
          <w:spacing w:val="-2"/>
        </w:rPr>
        <w:t>Parliament</w:t>
      </w:r>
    </w:p>
    <w:p w14:paraId="7CB261DB" w14:textId="77777777" w:rsidR="008A4099" w:rsidRDefault="006A6EE2">
      <w:pPr>
        <w:pStyle w:val="Heading4"/>
      </w:pPr>
      <w:bookmarkStart w:id="45" w:name="_TOC_250015"/>
      <w:r>
        <w:t>Scrutiny:</w:t>
      </w:r>
      <w:r>
        <w:rPr>
          <w:spacing w:val="-3"/>
        </w:rPr>
        <w:t xml:space="preserve"> </w:t>
      </w:r>
      <w:r>
        <w:t>Preparation</w:t>
      </w:r>
      <w:r>
        <w:rPr>
          <w:spacing w:val="-4"/>
        </w:rPr>
        <w:t xml:space="preserve"> </w:t>
      </w:r>
      <w:r>
        <w:t>of</w:t>
      </w:r>
      <w:r>
        <w:rPr>
          <w:spacing w:val="-5"/>
        </w:rPr>
        <w:t xml:space="preserve"> </w:t>
      </w:r>
      <w:r>
        <w:t>statements</w:t>
      </w:r>
      <w:r>
        <w:rPr>
          <w:spacing w:val="-4"/>
        </w:rPr>
        <w:t xml:space="preserve"> </w:t>
      </w:r>
      <w:r>
        <w:t>of</w:t>
      </w:r>
      <w:r>
        <w:rPr>
          <w:spacing w:val="-3"/>
        </w:rPr>
        <w:t xml:space="preserve"> </w:t>
      </w:r>
      <w:r>
        <w:t>compatibility</w:t>
      </w:r>
      <w:r>
        <w:rPr>
          <w:spacing w:val="4"/>
        </w:rPr>
        <w:t xml:space="preserve"> </w:t>
      </w:r>
      <w:r>
        <w:t>and</w:t>
      </w:r>
      <w:r>
        <w:rPr>
          <w:spacing w:val="-2"/>
        </w:rPr>
        <w:t xml:space="preserve"> </w:t>
      </w:r>
      <w:r>
        <w:t>Human</w:t>
      </w:r>
      <w:r>
        <w:rPr>
          <w:spacing w:val="-4"/>
        </w:rPr>
        <w:t xml:space="preserve"> </w:t>
      </w:r>
      <w:r>
        <w:t>Rights</w:t>
      </w:r>
      <w:r>
        <w:rPr>
          <w:spacing w:val="-2"/>
        </w:rPr>
        <w:t xml:space="preserve"> </w:t>
      </w:r>
      <w:bookmarkEnd w:id="45"/>
      <w:r>
        <w:rPr>
          <w:spacing w:val="-4"/>
        </w:rPr>
        <w:t>Unit</w:t>
      </w:r>
    </w:p>
    <w:p w14:paraId="7CB261DC" w14:textId="77777777" w:rsidR="008A4099" w:rsidRDefault="008A4099">
      <w:pPr>
        <w:pStyle w:val="BodyText"/>
        <w:spacing w:before="16"/>
        <w:rPr>
          <w:b/>
          <w:i/>
          <w:sz w:val="23"/>
        </w:rPr>
      </w:pPr>
    </w:p>
    <w:p w14:paraId="7CB261DD" w14:textId="77777777" w:rsidR="008A4099" w:rsidRDefault="006A6EE2">
      <w:pPr>
        <w:pStyle w:val="Heading3"/>
      </w:pPr>
      <w:bookmarkStart w:id="46" w:name="_TOC_250014"/>
      <w:r>
        <w:t>2007</w:t>
      </w:r>
      <w:r>
        <w:rPr>
          <w:spacing w:val="-3"/>
        </w:rPr>
        <w:t xml:space="preserve"> </w:t>
      </w:r>
      <w:r>
        <w:t>Final</w:t>
      </w:r>
      <w:r>
        <w:rPr>
          <w:spacing w:val="-3"/>
        </w:rPr>
        <w:t xml:space="preserve"> </w:t>
      </w:r>
      <w:r>
        <w:t>Report</w:t>
      </w:r>
      <w:r>
        <w:rPr>
          <w:spacing w:val="-3"/>
        </w:rPr>
        <w:t xml:space="preserve"> </w:t>
      </w:r>
      <w:r>
        <w:t>and</w:t>
      </w:r>
      <w:r>
        <w:rPr>
          <w:spacing w:val="-2"/>
        </w:rPr>
        <w:t xml:space="preserve"> </w:t>
      </w:r>
      <w:r>
        <w:t>subsequent</w:t>
      </w:r>
      <w:bookmarkEnd w:id="46"/>
      <w:r>
        <w:rPr>
          <w:spacing w:val="-2"/>
        </w:rPr>
        <w:t xml:space="preserve"> developments</w:t>
      </w:r>
    </w:p>
    <w:p w14:paraId="7CB261DE" w14:textId="77777777" w:rsidR="008A4099" w:rsidRDefault="006A6EE2">
      <w:pPr>
        <w:pStyle w:val="ListParagraph"/>
        <w:numPr>
          <w:ilvl w:val="2"/>
          <w:numId w:val="3"/>
        </w:numPr>
        <w:tabs>
          <w:tab w:val="left" w:pos="879"/>
        </w:tabs>
        <w:spacing w:before="259"/>
        <w:ind w:right="674" w:firstLine="0"/>
        <w:jc w:val="both"/>
      </w:pPr>
      <w:r>
        <w:t>In</w:t>
      </w:r>
      <w:r>
        <w:rPr>
          <w:spacing w:val="-2"/>
        </w:rPr>
        <w:t xml:space="preserve"> </w:t>
      </w:r>
      <w:r>
        <w:t>the</w:t>
      </w:r>
      <w:r>
        <w:rPr>
          <w:spacing w:val="-2"/>
        </w:rPr>
        <w:t xml:space="preserve"> </w:t>
      </w:r>
      <w:r>
        <w:t>2007</w:t>
      </w:r>
      <w:r>
        <w:rPr>
          <w:spacing w:val="-2"/>
        </w:rPr>
        <w:t xml:space="preserve"> </w:t>
      </w:r>
      <w:r>
        <w:t>Final</w:t>
      </w:r>
      <w:r>
        <w:rPr>
          <w:spacing w:val="-3"/>
        </w:rPr>
        <w:t xml:space="preserve"> </w:t>
      </w:r>
      <w:r>
        <w:t>Report,</w:t>
      </w:r>
      <w:r>
        <w:rPr>
          <w:spacing w:val="-5"/>
        </w:rPr>
        <w:t xml:space="preserve"> </w:t>
      </w:r>
      <w:r>
        <w:t>the</w:t>
      </w:r>
      <w:r>
        <w:rPr>
          <w:spacing w:val="-2"/>
        </w:rPr>
        <w:t xml:space="preserve"> </w:t>
      </w:r>
      <w:r>
        <w:t>TLRI</w:t>
      </w:r>
      <w:r>
        <w:rPr>
          <w:spacing w:val="-4"/>
        </w:rPr>
        <w:t xml:space="preserve"> </w:t>
      </w:r>
      <w:r>
        <w:t>recommended</w:t>
      </w:r>
      <w:r>
        <w:rPr>
          <w:spacing w:val="-2"/>
        </w:rPr>
        <w:t xml:space="preserve"> </w:t>
      </w:r>
      <w:r>
        <w:t>that</w:t>
      </w:r>
      <w:r>
        <w:rPr>
          <w:spacing w:val="-6"/>
        </w:rPr>
        <w:t xml:space="preserve"> </w:t>
      </w:r>
      <w:r>
        <w:t>statements</w:t>
      </w:r>
      <w:r>
        <w:rPr>
          <w:spacing w:val="-2"/>
        </w:rPr>
        <w:t xml:space="preserve"> </w:t>
      </w:r>
      <w:r>
        <w:t>of</w:t>
      </w:r>
      <w:r>
        <w:rPr>
          <w:spacing w:val="-2"/>
        </w:rPr>
        <w:t xml:space="preserve"> </w:t>
      </w:r>
      <w:r>
        <w:t>compatibility</w:t>
      </w:r>
      <w:r>
        <w:rPr>
          <w:spacing w:val="-5"/>
        </w:rPr>
        <w:t xml:space="preserve"> </w:t>
      </w:r>
      <w:r>
        <w:t>be prepared by the Members of Parliament and government departments that will have responsibility for implementing and administering the new legislation.</w:t>
      </w:r>
      <w:r>
        <w:rPr>
          <w:position w:val="7"/>
          <w:sz w:val="13"/>
        </w:rPr>
        <w:t>439</w:t>
      </w:r>
      <w:r>
        <w:rPr>
          <w:spacing w:val="40"/>
          <w:position w:val="7"/>
          <w:sz w:val="13"/>
        </w:rPr>
        <w:t xml:space="preserve"> </w:t>
      </w:r>
      <w:r>
        <w:t>The TLRI considered that a de-centralised model</w:t>
      </w:r>
      <w:r>
        <w:rPr>
          <w:spacing w:val="-11"/>
        </w:rPr>
        <w:t xml:space="preserve"> </w:t>
      </w:r>
      <w:r>
        <w:t>would</w:t>
      </w:r>
      <w:r>
        <w:rPr>
          <w:spacing w:val="-14"/>
        </w:rPr>
        <w:t xml:space="preserve"> </w:t>
      </w:r>
      <w:r>
        <w:t>help</w:t>
      </w:r>
      <w:r>
        <w:rPr>
          <w:spacing w:val="-14"/>
        </w:rPr>
        <w:t xml:space="preserve"> </w:t>
      </w:r>
      <w:r>
        <w:t>to</w:t>
      </w:r>
      <w:r>
        <w:rPr>
          <w:spacing w:val="-13"/>
        </w:rPr>
        <w:t xml:space="preserve"> </w:t>
      </w:r>
      <w:r>
        <w:t>embed</w:t>
      </w:r>
      <w:r>
        <w:rPr>
          <w:spacing w:val="-14"/>
        </w:rPr>
        <w:t xml:space="preserve"> </w:t>
      </w:r>
      <w:r>
        <w:t>a</w:t>
      </w:r>
      <w:r>
        <w:rPr>
          <w:spacing w:val="-12"/>
        </w:rPr>
        <w:t xml:space="preserve"> </w:t>
      </w:r>
      <w:r>
        <w:t>whole</w:t>
      </w:r>
      <w:r>
        <w:rPr>
          <w:spacing w:val="-14"/>
        </w:rPr>
        <w:t xml:space="preserve"> </w:t>
      </w:r>
      <w:r>
        <w:t>of</w:t>
      </w:r>
      <w:r>
        <w:rPr>
          <w:spacing w:val="-13"/>
        </w:rPr>
        <w:t xml:space="preserve"> </w:t>
      </w:r>
      <w:r>
        <w:t>government</w:t>
      </w:r>
      <w:r>
        <w:rPr>
          <w:spacing w:val="-11"/>
        </w:rPr>
        <w:t xml:space="preserve"> </w:t>
      </w:r>
      <w:r>
        <w:t>human</w:t>
      </w:r>
      <w:r>
        <w:rPr>
          <w:spacing w:val="-14"/>
        </w:rPr>
        <w:t xml:space="preserve"> </w:t>
      </w:r>
      <w:r>
        <w:t>rights</w:t>
      </w:r>
      <w:r>
        <w:rPr>
          <w:spacing w:val="-14"/>
        </w:rPr>
        <w:t xml:space="preserve"> </w:t>
      </w:r>
      <w:r>
        <w:t>culture</w:t>
      </w:r>
      <w:r>
        <w:rPr>
          <w:spacing w:val="-11"/>
        </w:rPr>
        <w:t xml:space="preserve"> </w:t>
      </w:r>
      <w:r>
        <w:t>and</w:t>
      </w:r>
      <w:r>
        <w:rPr>
          <w:spacing w:val="-12"/>
        </w:rPr>
        <w:t xml:space="preserve"> </w:t>
      </w:r>
      <w:r>
        <w:t>encourage</w:t>
      </w:r>
      <w:r>
        <w:rPr>
          <w:spacing w:val="-14"/>
        </w:rPr>
        <w:t xml:space="preserve"> </w:t>
      </w:r>
      <w:r>
        <w:t>dialogue</w:t>
      </w:r>
      <w:r>
        <w:rPr>
          <w:spacing w:val="-14"/>
        </w:rPr>
        <w:t xml:space="preserve"> </w:t>
      </w:r>
      <w:r>
        <w:t>within and</w:t>
      </w:r>
      <w:r>
        <w:rPr>
          <w:spacing w:val="-14"/>
        </w:rPr>
        <w:t xml:space="preserve"> </w:t>
      </w:r>
      <w:r>
        <w:t>between</w:t>
      </w:r>
      <w:r>
        <w:rPr>
          <w:spacing w:val="-14"/>
        </w:rPr>
        <w:t xml:space="preserve"> </w:t>
      </w:r>
      <w:r>
        <w:t>departments</w:t>
      </w:r>
      <w:r>
        <w:rPr>
          <w:spacing w:val="-14"/>
        </w:rPr>
        <w:t xml:space="preserve"> </w:t>
      </w:r>
      <w:r>
        <w:t>regarding</w:t>
      </w:r>
      <w:r>
        <w:rPr>
          <w:spacing w:val="-13"/>
        </w:rPr>
        <w:t xml:space="preserve"> </w:t>
      </w:r>
      <w:r>
        <w:t>human</w:t>
      </w:r>
      <w:r>
        <w:rPr>
          <w:spacing w:val="-14"/>
        </w:rPr>
        <w:t xml:space="preserve"> </w:t>
      </w:r>
      <w:r>
        <w:t>rights.</w:t>
      </w:r>
      <w:r>
        <w:rPr>
          <w:spacing w:val="-14"/>
        </w:rPr>
        <w:t xml:space="preserve"> </w:t>
      </w:r>
      <w:r>
        <w:t>The</w:t>
      </w:r>
      <w:r>
        <w:rPr>
          <w:spacing w:val="-14"/>
        </w:rPr>
        <w:t xml:space="preserve"> </w:t>
      </w:r>
      <w:r>
        <w:t>disadvantage</w:t>
      </w:r>
      <w:r>
        <w:rPr>
          <w:spacing w:val="-13"/>
        </w:rPr>
        <w:t xml:space="preserve"> </w:t>
      </w:r>
      <w:r>
        <w:t>of</w:t>
      </w:r>
      <w:r>
        <w:rPr>
          <w:spacing w:val="-14"/>
        </w:rPr>
        <w:t xml:space="preserve"> </w:t>
      </w:r>
      <w:r>
        <w:t>this</w:t>
      </w:r>
      <w:r>
        <w:rPr>
          <w:spacing w:val="-14"/>
        </w:rPr>
        <w:t xml:space="preserve"> </w:t>
      </w:r>
      <w:r>
        <w:t>model</w:t>
      </w:r>
      <w:r>
        <w:rPr>
          <w:spacing w:val="-14"/>
        </w:rPr>
        <w:t xml:space="preserve"> </w:t>
      </w:r>
      <w:r>
        <w:t>is</w:t>
      </w:r>
      <w:r>
        <w:rPr>
          <w:spacing w:val="-13"/>
        </w:rPr>
        <w:t xml:space="preserve"> </w:t>
      </w:r>
      <w:r>
        <w:t>potential</w:t>
      </w:r>
      <w:r>
        <w:rPr>
          <w:spacing w:val="-14"/>
        </w:rPr>
        <w:t xml:space="preserve"> </w:t>
      </w:r>
      <w:r>
        <w:t>variability in the quality of the assessment of compatibility and the potential partisanship of the analysis.</w:t>
      </w:r>
    </w:p>
    <w:p w14:paraId="7CB261DF" w14:textId="77777777" w:rsidR="008A4099" w:rsidRDefault="006A6EE2">
      <w:pPr>
        <w:pStyle w:val="ListParagraph"/>
        <w:numPr>
          <w:ilvl w:val="2"/>
          <w:numId w:val="3"/>
        </w:numPr>
        <w:tabs>
          <w:tab w:val="left" w:pos="879"/>
        </w:tabs>
        <w:spacing w:before="217"/>
        <w:ind w:right="682" w:firstLine="0"/>
        <w:jc w:val="both"/>
        <w:rPr>
          <w:sz w:val="13"/>
        </w:rPr>
      </w:pPr>
      <w:r>
        <w:t>The TLRI also recommended establishing a dedicated Human Rights Unit within the Department</w:t>
      </w:r>
      <w:r>
        <w:rPr>
          <w:spacing w:val="-8"/>
        </w:rPr>
        <w:t xml:space="preserve"> </w:t>
      </w:r>
      <w:r>
        <w:t>of</w:t>
      </w:r>
      <w:r>
        <w:rPr>
          <w:spacing w:val="-9"/>
        </w:rPr>
        <w:t xml:space="preserve"> </w:t>
      </w:r>
      <w:r>
        <w:t>Justice</w:t>
      </w:r>
      <w:r>
        <w:rPr>
          <w:spacing w:val="-9"/>
        </w:rPr>
        <w:t xml:space="preserve"> </w:t>
      </w:r>
      <w:r>
        <w:t>to</w:t>
      </w:r>
      <w:r>
        <w:rPr>
          <w:spacing w:val="-10"/>
        </w:rPr>
        <w:t xml:space="preserve"> </w:t>
      </w:r>
      <w:r>
        <w:t>assist</w:t>
      </w:r>
      <w:r>
        <w:rPr>
          <w:spacing w:val="-9"/>
        </w:rPr>
        <w:t xml:space="preserve"> </w:t>
      </w:r>
      <w:r>
        <w:t>in</w:t>
      </w:r>
      <w:r>
        <w:rPr>
          <w:spacing w:val="-10"/>
        </w:rPr>
        <w:t xml:space="preserve"> </w:t>
      </w:r>
      <w:r>
        <w:t>the</w:t>
      </w:r>
      <w:r>
        <w:rPr>
          <w:spacing w:val="-9"/>
        </w:rPr>
        <w:t xml:space="preserve"> </w:t>
      </w:r>
      <w:r>
        <w:t>preparation</w:t>
      </w:r>
      <w:r>
        <w:rPr>
          <w:spacing w:val="-10"/>
        </w:rPr>
        <w:t xml:space="preserve"> </w:t>
      </w:r>
      <w:r>
        <w:t>of</w:t>
      </w:r>
      <w:r>
        <w:rPr>
          <w:spacing w:val="-9"/>
        </w:rPr>
        <w:t xml:space="preserve"> </w:t>
      </w:r>
      <w:r>
        <w:t>statements</w:t>
      </w:r>
      <w:r>
        <w:rPr>
          <w:spacing w:val="-6"/>
        </w:rPr>
        <w:t xml:space="preserve"> </w:t>
      </w:r>
      <w:r>
        <w:t>of</w:t>
      </w:r>
      <w:r>
        <w:rPr>
          <w:spacing w:val="-9"/>
        </w:rPr>
        <w:t xml:space="preserve"> </w:t>
      </w:r>
      <w:r>
        <w:t>compatibility</w:t>
      </w:r>
      <w:r>
        <w:rPr>
          <w:spacing w:val="-10"/>
        </w:rPr>
        <w:t xml:space="preserve"> </w:t>
      </w:r>
      <w:r>
        <w:t>in</w:t>
      </w:r>
      <w:r>
        <w:rPr>
          <w:spacing w:val="-10"/>
        </w:rPr>
        <w:t xml:space="preserve"> </w:t>
      </w:r>
      <w:r>
        <w:t>consultation</w:t>
      </w:r>
      <w:r>
        <w:rPr>
          <w:spacing w:val="-7"/>
        </w:rPr>
        <w:t xml:space="preserve"> </w:t>
      </w:r>
      <w:r>
        <w:t>with</w:t>
      </w:r>
      <w:r>
        <w:rPr>
          <w:spacing w:val="-10"/>
        </w:rPr>
        <w:t xml:space="preserve"> </w:t>
      </w:r>
      <w:r>
        <w:t>the responsible agencies.</w:t>
      </w:r>
      <w:r>
        <w:rPr>
          <w:position w:val="7"/>
          <w:sz w:val="13"/>
        </w:rPr>
        <w:t>440</w:t>
      </w:r>
    </w:p>
    <w:p w14:paraId="7CB261E0" w14:textId="77777777" w:rsidR="008A4099" w:rsidRDefault="006A6EE2">
      <w:pPr>
        <w:pStyle w:val="ListParagraph"/>
        <w:numPr>
          <w:ilvl w:val="2"/>
          <w:numId w:val="3"/>
        </w:numPr>
        <w:tabs>
          <w:tab w:val="left" w:pos="879"/>
        </w:tabs>
        <w:spacing w:before="218" w:line="237" w:lineRule="auto"/>
        <w:ind w:right="680" w:firstLine="0"/>
        <w:jc w:val="both"/>
      </w:pPr>
      <w:r>
        <w:t>In the ACT and New Zealand, all compatibility statements are prepared by Justice Departments.</w:t>
      </w:r>
      <w:r>
        <w:rPr>
          <w:position w:val="7"/>
          <w:sz w:val="13"/>
        </w:rPr>
        <w:t>441</w:t>
      </w:r>
      <w:r>
        <w:rPr>
          <w:spacing w:val="22"/>
          <w:position w:val="7"/>
          <w:sz w:val="13"/>
        </w:rPr>
        <w:t xml:space="preserve"> </w:t>
      </w:r>
      <w:r>
        <w:t>Where</w:t>
      </w:r>
      <w:r>
        <w:rPr>
          <w:spacing w:val="-2"/>
        </w:rPr>
        <w:t xml:space="preserve"> </w:t>
      </w:r>
      <w:r>
        <w:t>an initial</w:t>
      </w:r>
      <w:r>
        <w:rPr>
          <w:spacing w:val="-1"/>
        </w:rPr>
        <w:t xml:space="preserve"> </w:t>
      </w:r>
      <w:r>
        <w:t>review</w:t>
      </w:r>
      <w:r>
        <w:rPr>
          <w:spacing w:val="-1"/>
        </w:rPr>
        <w:t xml:space="preserve"> </w:t>
      </w:r>
      <w:r>
        <w:t>identifies that</w:t>
      </w:r>
      <w:r>
        <w:rPr>
          <w:spacing w:val="-1"/>
        </w:rPr>
        <w:t xml:space="preserve"> </w:t>
      </w:r>
      <w:r>
        <w:t>a</w:t>
      </w:r>
      <w:r>
        <w:rPr>
          <w:spacing w:val="-2"/>
        </w:rPr>
        <w:t xml:space="preserve"> </w:t>
      </w:r>
      <w:r>
        <w:t>proposed law</w:t>
      </w:r>
      <w:r>
        <w:rPr>
          <w:spacing w:val="-1"/>
        </w:rPr>
        <w:t xml:space="preserve"> </w:t>
      </w:r>
      <w:r>
        <w:t>is</w:t>
      </w:r>
      <w:r>
        <w:rPr>
          <w:spacing w:val="-2"/>
        </w:rPr>
        <w:t xml:space="preserve"> </w:t>
      </w:r>
      <w:r>
        <w:t>potentially</w:t>
      </w:r>
      <w:r>
        <w:rPr>
          <w:spacing w:val="-2"/>
        </w:rPr>
        <w:t xml:space="preserve"> </w:t>
      </w:r>
      <w:r>
        <w:t>incompatible with human rights, a detailed explanatory statement is required.</w:t>
      </w:r>
    </w:p>
    <w:p w14:paraId="7CB261E1" w14:textId="77777777" w:rsidR="008A4099" w:rsidRDefault="006A6EE2">
      <w:pPr>
        <w:pStyle w:val="ListParagraph"/>
        <w:numPr>
          <w:ilvl w:val="2"/>
          <w:numId w:val="3"/>
        </w:numPr>
        <w:tabs>
          <w:tab w:val="left" w:pos="879"/>
        </w:tabs>
        <w:spacing w:before="225" w:line="237" w:lineRule="auto"/>
        <w:ind w:right="678" w:firstLine="0"/>
        <w:jc w:val="both"/>
      </w:pPr>
      <w:r>
        <w:t>In contrast, Queensland, Victoria, and the Commonwealth require compatibility statements to be prepared by the proponents of the laws – in practice, the relevant administering department. For private members’ Bills, statements are prepared by the members themselves.</w:t>
      </w:r>
    </w:p>
    <w:p w14:paraId="7CB261E2" w14:textId="77777777" w:rsidR="008A4099" w:rsidRDefault="006A6EE2">
      <w:pPr>
        <w:pStyle w:val="ListParagraph"/>
        <w:numPr>
          <w:ilvl w:val="2"/>
          <w:numId w:val="3"/>
        </w:numPr>
        <w:tabs>
          <w:tab w:val="left" w:pos="879"/>
        </w:tabs>
        <w:spacing w:before="224" w:line="235" w:lineRule="auto"/>
        <w:ind w:right="680" w:firstLine="0"/>
        <w:jc w:val="both"/>
      </w:pPr>
      <w:r>
        <w:t>The</w:t>
      </w:r>
      <w:r>
        <w:rPr>
          <w:spacing w:val="-11"/>
        </w:rPr>
        <w:t xml:space="preserve"> </w:t>
      </w:r>
      <w:r>
        <w:t>advantage</w:t>
      </w:r>
      <w:r>
        <w:rPr>
          <w:spacing w:val="-10"/>
        </w:rPr>
        <w:t xml:space="preserve"> </w:t>
      </w:r>
      <w:r>
        <w:t>of</w:t>
      </w:r>
      <w:r>
        <w:rPr>
          <w:spacing w:val="-10"/>
        </w:rPr>
        <w:t xml:space="preserve"> </w:t>
      </w:r>
      <w:r>
        <w:t>giving</w:t>
      </w:r>
      <w:r>
        <w:rPr>
          <w:spacing w:val="-11"/>
        </w:rPr>
        <w:t xml:space="preserve"> </w:t>
      </w:r>
      <w:r>
        <w:t>Justice</w:t>
      </w:r>
      <w:r>
        <w:rPr>
          <w:spacing w:val="-10"/>
        </w:rPr>
        <w:t xml:space="preserve"> </w:t>
      </w:r>
      <w:r>
        <w:t>Departments</w:t>
      </w:r>
      <w:r>
        <w:rPr>
          <w:spacing w:val="-13"/>
        </w:rPr>
        <w:t xml:space="preserve"> </w:t>
      </w:r>
      <w:r>
        <w:t>responsibility</w:t>
      </w:r>
      <w:r>
        <w:rPr>
          <w:spacing w:val="-11"/>
        </w:rPr>
        <w:t xml:space="preserve"> </w:t>
      </w:r>
      <w:r>
        <w:t>for</w:t>
      </w:r>
      <w:r>
        <w:rPr>
          <w:spacing w:val="-12"/>
        </w:rPr>
        <w:t xml:space="preserve"> </w:t>
      </w:r>
      <w:r>
        <w:t>the</w:t>
      </w:r>
      <w:r>
        <w:rPr>
          <w:spacing w:val="-13"/>
        </w:rPr>
        <w:t xml:space="preserve"> </w:t>
      </w:r>
      <w:r>
        <w:t>preparation</w:t>
      </w:r>
      <w:r>
        <w:rPr>
          <w:spacing w:val="-11"/>
        </w:rPr>
        <w:t xml:space="preserve"> </w:t>
      </w:r>
      <w:r>
        <w:t>of</w:t>
      </w:r>
      <w:r>
        <w:rPr>
          <w:spacing w:val="-10"/>
        </w:rPr>
        <w:t xml:space="preserve"> </w:t>
      </w:r>
      <w:r>
        <w:t>compatibility statements</w:t>
      </w:r>
      <w:r>
        <w:rPr>
          <w:spacing w:val="-3"/>
        </w:rPr>
        <w:t xml:space="preserve"> </w:t>
      </w:r>
      <w:r>
        <w:t>is</w:t>
      </w:r>
      <w:r>
        <w:rPr>
          <w:spacing w:val="-3"/>
        </w:rPr>
        <w:t xml:space="preserve"> </w:t>
      </w:r>
      <w:r>
        <w:t>that</w:t>
      </w:r>
      <w:r>
        <w:rPr>
          <w:spacing w:val="-2"/>
        </w:rPr>
        <w:t xml:space="preserve"> </w:t>
      </w:r>
      <w:r>
        <w:t>it</w:t>
      </w:r>
      <w:r>
        <w:rPr>
          <w:spacing w:val="-2"/>
        </w:rPr>
        <w:t xml:space="preserve"> </w:t>
      </w:r>
      <w:r>
        <w:t>fosters</w:t>
      </w:r>
      <w:r>
        <w:rPr>
          <w:spacing w:val="-5"/>
        </w:rPr>
        <w:t xml:space="preserve"> </w:t>
      </w:r>
      <w:r>
        <w:t>the</w:t>
      </w:r>
      <w:r>
        <w:rPr>
          <w:spacing w:val="-3"/>
        </w:rPr>
        <w:t xml:space="preserve"> </w:t>
      </w:r>
      <w:r>
        <w:t>development</w:t>
      </w:r>
      <w:r>
        <w:rPr>
          <w:spacing w:val="-2"/>
        </w:rPr>
        <w:t xml:space="preserve"> </w:t>
      </w:r>
      <w:r>
        <w:t>of departmental</w:t>
      </w:r>
      <w:r>
        <w:rPr>
          <w:spacing w:val="-2"/>
        </w:rPr>
        <w:t xml:space="preserve"> </w:t>
      </w:r>
      <w:r>
        <w:t>expertise</w:t>
      </w:r>
      <w:r>
        <w:rPr>
          <w:spacing w:val="-3"/>
        </w:rPr>
        <w:t xml:space="preserve"> </w:t>
      </w:r>
      <w:r>
        <w:t>and</w:t>
      </w:r>
      <w:r>
        <w:rPr>
          <w:spacing w:val="-3"/>
        </w:rPr>
        <w:t xml:space="preserve"> </w:t>
      </w:r>
      <w:r>
        <w:t>promotes</w:t>
      </w:r>
      <w:r>
        <w:rPr>
          <w:spacing w:val="-3"/>
        </w:rPr>
        <w:t xml:space="preserve"> </w:t>
      </w:r>
      <w:r>
        <w:t>consistency</w:t>
      </w:r>
      <w:r>
        <w:rPr>
          <w:spacing w:val="-6"/>
        </w:rPr>
        <w:t xml:space="preserve"> </w:t>
      </w:r>
      <w:r>
        <w:t>in</w:t>
      </w:r>
      <w:r>
        <w:rPr>
          <w:spacing w:val="-3"/>
        </w:rPr>
        <w:t xml:space="preserve"> </w:t>
      </w:r>
      <w:r>
        <w:t>the</w:t>
      </w:r>
    </w:p>
    <w:p w14:paraId="7CB261E3" w14:textId="77777777" w:rsidR="008A4099" w:rsidRDefault="006A6EE2">
      <w:pPr>
        <w:pStyle w:val="BodyText"/>
        <w:spacing w:before="11"/>
        <w:rPr>
          <w:sz w:val="19"/>
        </w:rPr>
      </w:pPr>
      <w:r>
        <w:rPr>
          <w:noProof/>
        </w:rPr>
        <mc:AlternateContent>
          <mc:Choice Requires="wps">
            <w:drawing>
              <wp:anchor distT="0" distB="0" distL="0" distR="0" simplePos="0" relativeHeight="487627264" behindDoc="1" locked="0" layoutInCell="1" allowOverlap="1" wp14:anchorId="7CB26673" wp14:editId="7CB26674">
                <wp:simplePos x="0" y="0"/>
                <wp:positionH relativeFrom="page">
                  <wp:posOffset>914704</wp:posOffset>
                </wp:positionH>
                <wp:positionV relativeFrom="paragraph">
                  <wp:posOffset>161177</wp:posOffset>
                </wp:positionV>
                <wp:extent cx="1829435" cy="762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FF7E17" id="Graphic 125" o:spid="_x0000_s1026" style="position:absolute;margin-left:1in;margin-top:12.7pt;width:144.05pt;height:.6pt;z-index:-15689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" path="m1829054,l,,,7619r1829054,l1829054,xe" fillcolor="black" stroked="f">
                <v:path arrowok="t"/>
                <w10:wrap type="topAndBottom" anchorx="page"/>
              </v:shape>
            </w:pict>
          </mc:Fallback>
        </mc:AlternateContent>
      </w:r>
    </w:p>
    <w:p w14:paraId="7CB261E4" w14:textId="77777777" w:rsidR="008A4099" w:rsidRDefault="006A6EE2">
      <w:pPr>
        <w:spacing w:before="112"/>
        <w:ind w:left="160"/>
        <w:jc w:val="both"/>
        <w:rPr>
          <w:sz w:val="18"/>
        </w:rPr>
      </w:pPr>
      <w:r>
        <w:rPr>
          <w:sz w:val="18"/>
          <w:vertAlign w:val="superscript"/>
        </w:rPr>
        <w:t>439</w:t>
      </w:r>
      <w:r>
        <w:rPr>
          <w:sz w:val="18"/>
        </w:rPr>
        <w:t xml:space="preserve"> TLRI</w:t>
      </w:r>
      <w:r>
        <w:rPr>
          <w:spacing w:val="1"/>
          <w:sz w:val="18"/>
        </w:rPr>
        <w:t xml:space="preserve"> </w:t>
      </w:r>
      <w:r>
        <w:rPr>
          <w:sz w:val="18"/>
        </w:rPr>
        <w:t>2007</w:t>
      </w:r>
      <w:r>
        <w:rPr>
          <w:spacing w:val="2"/>
          <w:sz w:val="18"/>
        </w:rPr>
        <w:t xml:space="preserve"> </w:t>
      </w:r>
      <w:r>
        <w:rPr>
          <w:sz w:val="18"/>
        </w:rPr>
        <w:t>Final Report,</w:t>
      </w:r>
      <w:r>
        <w:rPr>
          <w:spacing w:val="-1"/>
          <w:sz w:val="18"/>
        </w:rPr>
        <w:t xml:space="preserve"> </w:t>
      </w:r>
      <w:r>
        <w:rPr>
          <w:sz w:val="18"/>
        </w:rPr>
        <w:t>Recommendations</w:t>
      </w:r>
      <w:r>
        <w:rPr>
          <w:spacing w:val="-2"/>
          <w:sz w:val="18"/>
        </w:rPr>
        <w:t xml:space="preserve"> </w:t>
      </w:r>
      <w:r>
        <w:rPr>
          <w:sz w:val="18"/>
        </w:rPr>
        <w:t>10</w:t>
      </w:r>
      <w:r>
        <w:rPr>
          <w:spacing w:val="-1"/>
          <w:sz w:val="18"/>
        </w:rPr>
        <w:t xml:space="preserve"> </w:t>
      </w:r>
      <w:r>
        <w:rPr>
          <w:sz w:val="18"/>
        </w:rPr>
        <w:t xml:space="preserve">and </w:t>
      </w:r>
      <w:r>
        <w:rPr>
          <w:spacing w:val="-5"/>
          <w:sz w:val="18"/>
        </w:rPr>
        <w:t>13.</w:t>
      </w:r>
    </w:p>
    <w:p w14:paraId="7CB261E5" w14:textId="77777777" w:rsidR="008A4099" w:rsidRDefault="006A6EE2">
      <w:pPr>
        <w:spacing w:before="24"/>
        <w:ind w:left="160"/>
        <w:jc w:val="both"/>
        <w:rPr>
          <w:sz w:val="18"/>
        </w:rPr>
      </w:pPr>
      <w:r>
        <w:rPr>
          <w:sz w:val="18"/>
          <w:vertAlign w:val="superscript"/>
        </w:rPr>
        <w:t>440</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22.</w:t>
      </w:r>
    </w:p>
    <w:p w14:paraId="7CB261E6" w14:textId="77777777" w:rsidR="008A4099" w:rsidRDefault="006A6EE2">
      <w:pPr>
        <w:spacing w:before="23" w:line="242" w:lineRule="auto"/>
        <w:ind w:left="160" w:right="675"/>
        <w:jc w:val="both"/>
        <w:rPr>
          <w:sz w:val="18"/>
        </w:rPr>
      </w:pPr>
      <w:r>
        <w:rPr>
          <w:sz w:val="18"/>
          <w:vertAlign w:val="superscript"/>
        </w:rPr>
        <w:t>441</w:t>
      </w:r>
      <w:r>
        <w:rPr>
          <w:spacing w:val="-6"/>
          <w:sz w:val="18"/>
        </w:rPr>
        <w:t xml:space="preserve"> </w:t>
      </w:r>
      <w:r>
        <w:rPr>
          <w:sz w:val="18"/>
        </w:rPr>
        <w:t>In</w:t>
      </w:r>
      <w:r>
        <w:rPr>
          <w:spacing w:val="-7"/>
          <w:sz w:val="18"/>
        </w:rPr>
        <w:t xml:space="preserve"> </w:t>
      </w:r>
      <w:r>
        <w:rPr>
          <w:sz w:val="18"/>
        </w:rPr>
        <w:t>practice,</w:t>
      </w:r>
      <w:r>
        <w:rPr>
          <w:spacing w:val="-5"/>
          <w:sz w:val="18"/>
        </w:rPr>
        <w:t xml:space="preserve"> </w:t>
      </w:r>
      <w:r>
        <w:rPr>
          <w:sz w:val="18"/>
        </w:rPr>
        <w:t>the</w:t>
      </w:r>
      <w:r>
        <w:rPr>
          <w:spacing w:val="-6"/>
          <w:sz w:val="18"/>
        </w:rPr>
        <w:t xml:space="preserve"> </w:t>
      </w:r>
      <w:r>
        <w:rPr>
          <w:sz w:val="18"/>
        </w:rPr>
        <w:t>Human</w:t>
      </w:r>
      <w:r>
        <w:rPr>
          <w:spacing w:val="-5"/>
          <w:sz w:val="18"/>
        </w:rPr>
        <w:t xml:space="preserve"> </w:t>
      </w:r>
      <w:r>
        <w:rPr>
          <w:sz w:val="18"/>
        </w:rPr>
        <w:t>Rights</w:t>
      </w:r>
      <w:r>
        <w:rPr>
          <w:spacing w:val="-6"/>
          <w:sz w:val="18"/>
        </w:rPr>
        <w:t xml:space="preserve"> </w:t>
      </w:r>
      <w:r>
        <w:rPr>
          <w:sz w:val="18"/>
        </w:rPr>
        <w:t>Unit</w:t>
      </w:r>
      <w:r>
        <w:rPr>
          <w:spacing w:val="-5"/>
          <w:sz w:val="18"/>
        </w:rPr>
        <w:t xml:space="preserve"> </w:t>
      </w:r>
      <w:r>
        <w:rPr>
          <w:sz w:val="18"/>
        </w:rPr>
        <w:t>within</w:t>
      </w:r>
      <w:r>
        <w:rPr>
          <w:spacing w:val="-7"/>
          <w:sz w:val="18"/>
        </w:rPr>
        <w:t xml:space="preserve"> </w:t>
      </w:r>
      <w:r>
        <w:rPr>
          <w:sz w:val="18"/>
        </w:rPr>
        <w:t>the</w:t>
      </w:r>
      <w:r>
        <w:rPr>
          <w:spacing w:val="-9"/>
          <w:sz w:val="18"/>
        </w:rPr>
        <w:t xml:space="preserve"> </w:t>
      </w:r>
      <w:r>
        <w:rPr>
          <w:sz w:val="18"/>
        </w:rPr>
        <w:t>Legislation,</w:t>
      </w:r>
      <w:r>
        <w:rPr>
          <w:spacing w:val="-7"/>
          <w:sz w:val="18"/>
        </w:rPr>
        <w:t xml:space="preserve"> </w:t>
      </w:r>
      <w:r>
        <w:rPr>
          <w:sz w:val="18"/>
        </w:rPr>
        <w:t>Policy</w:t>
      </w:r>
      <w:r>
        <w:rPr>
          <w:spacing w:val="-7"/>
          <w:sz w:val="18"/>
        </w:rPr>
        <w:t xml:space="preserve"> </w:t>
      </w:r>
      <w:r>
        <w:rPr>
          <w:sz w:val="18"/>
        </w:rPr>
        <w:t>and</w:t>
      </w:r>
      <w:r>
        <w:rPr>
          <w:spacing w:val="-7"/>
          <w:sz w:val="18"/>
        </w:rPr>
        <w:t xml:space="preserve"> </w:t>
      </w:r>
      <w:r>
        <w:rPr>
          <w:sz w:val="18"/>
        </w:rPr>
        <w:t>Programs</w:t>
      </w:r>
      <w:r>
        <w:rPr>
          <w:spacing w:val="-6"/>
          <w:sz w:val="18"/>
        </w:rPr>
        <w:t xml:space="preserve"> </w:t>
      </w:r>
      <w:r>
        <w:rPr>
          <w:sz w:val="18"/>
        </w:rPr>
        <w:t>branch</w:t>
      </w:r>
      <w:r>
        <w:rPr>
          <w:spacing w:val="-7"/>
          <w:sz w:val="18"/>
        </w:rPr>
        <w:t xml:space="preserve"> </w:t>
      </w:r>
      <w:r>
        <w:rPr>
          <w:sz w:val="18"/>
        </w:rPr>
        <w:t>of</w:t>
      </w:r>
      <w:r>
        <w:rPr>
          <w:spacing w:val="-8"/>
          <w:sz w:val="18"/>
        </w:rPr>
        <w:t xml:space="preserve"> </w:t>
      </w:r>
      <w:r>
        <w:rPr>
          <w:sz w:val="18"/>
        </w:rPr>
        <w:t>the</w:t>
      </w:r>
      <w:r>
        <w:rPr>
          <w:spacing w:val="-6"/>
          <w:sz w:val="18"/>
        </w:rPr>
        <w:t xml:space="preserve"> </w:t>
      </w:r>
      <w:r>
        <w:rPr>
          <w:sz w:val="18"/>
        </w:rPr>
        <w:t>ACT</w:t>
      </w:r>
      <w:r>
        <w:rPr>
          <w:spacing w:val="-6"/>
          <w:sz w:val="18"/>
        </w:rPr>
        <w:t xml:space="preserve"> </w:t>
      </w:r>
      <w:r>
        <w:rPr>
          <w:sz w:val="18"/>
        </w:rPr>
        <w:t>Justice</w:t>
      </w:r>
      <w:r>
        <w:rPr>
          <w:spacing w:val="-7"/>
          <w:sz w:val="18"/>
        </w:rPr>
        <w:t xml:space="preserve"> </w:t>
      </w:r>
      <w:r>
        <w:rPr>
          <w:sz w:val="18"/>
        </w:rPr>
        <w:t>and</w:t>
      </w:r>
      <w:r>
        <w:rPr>
          <w:spacing w:val="-7"/>
          <w:sz w:val="18"/>
        </w:rPr>
        <w:t xml:space="preserve"> </w:t>
      </w:r>
      <w:r>
        <w:rPr>
          <w:sz w:val="18"/>
        </w:rPr>
        <w:t>Community Safety Directorate conducts an initial assessment: &lt;https://justice.act.gov.au/legislation-and-policy&gt;. In New Zealand, the Ministry initially vets the laws and issues a statement of compatibility where no significant issues are identified. Where satisfied</w:t>
      </w:r>
      <w:r>
        <w:rPr>
          <w:spacing w:val="-1"/>
          <w:sz w:val="18"/>
        </w:rPr>
        <w:t xml:space="preserve"> </w:t>
      </w:r>
      <w:r>
        <w:rPr>
          <w:sz w:val="18"/>
        </w:rPr>
        <w:t>a</w:t>
      </w:r>
      <w:r>
        <w:rPr>
          <w:spacing w:val="-3"/>
          <w:sz w:val="18"/>
        </w:rPr>
        <w:t xml:space="preserve"> </w:t>
      </w:r>
      <w:r>
        <w:rPr>
          <w:sz w:val="18"/>
        </w:rPr>
        <w:t>Bill</w:t>
      </w:r>
      <w:r>
        <w:rPr>
          <w:spacing w:val="-4"/>
          <w:sz w:val="18"/>
        </w:rPr>
        <w:t xml:space="preserve"> </w:t>
      </w:r>
      <w:r>
        <w:rPr>
          <w:sz w:val="18"/>
        </w:rPr>
        <w:t>is</w:t>
      </w:r>
      <w:r>
        <w:rPr>
          <w:spacing w:val="-4"/>
          <w:sz w:val="18"/>
        </w:rPr>
        <w:t xml:space="preserve"> </w:t>
      </w:r>
      <w:r>
        <w:rPr>
          <w:sz w:val="18"/>
        </w:rPr>
        <w:t>potentially</w:t>
      </w:r>
      <w:r>
        <w:rPr>
          <w:spacing w:val="-3"/>
          <w:sz w:val="18"/>
        </w:rPr>
        <w:t xml:space="preserve"> </w:t>
      </w:r>
      <w:r>
        <w:rPr>
          <w:sz w:val="18"/>
        </w:rPr>
        <w:t>incompatible</w:t>
      </w:r>
      <w:r>
        <w:rPr>
          <w:spacing w:val="-2"/>
          <w:sz w:val="18"/>
        </w:rPr>
        <w:t xml:space="preserve"> </w:t>
      </w:r>
      <w:r>
        <w:rPr>
          <w:sz w:val="18"/>
        </w:rPr>
        <w:t>with</w:t>
      </w:r>
      <w:r>
        <w:rPr>
          <w:spacing w:val="-3"/>
          <w:sz w:val="18"/>
        </w:rPr>
        <w:t xml:space="preserve"> </w:t>
      </w:r>
      <w:r>
        <w:rPr>
          <w:sz w:val="18"/>
        </w:rPr>
        <w:t>human</w:t>
      </w:r>
      <w:r>
        <w:rPr>
          <w:spacing w:val="-3"/>
          <w:sz w:val="18"/>
        </w:rPr>
        <w:t xml:space="preserve"> </w:t>
      </w:r>
      <w:r>
        <w:rPr>
          <w:sz w:val="18"/>
        </w:rPr>
        <w:t>rights,</w:t>
      </w:r>
      <w:r>
        <w:rPr>
          <w:spacing w:val="-4"/>
          <w:sz w:val="18"/>
        </w:rPr>
        <w:t xml:space="preserve"> </w:t>
      </w:r>
      <w:r>
        <w:rPr>
          <w:sz w:val="18"/>
        </w:rPr>
        <w:t>the</w:t>
      </w:r>
      <w:r>
        <w:rPr>
          <w:spacing w:val="-5"/>
          <w:sz w:val="18"/>
        </w:rPr>
        <w:t xml:space="preserve"> </w:t>
      </w:r>
      <w:r>
        <w:rPr>
          <w:sz w:val="18"/>
        </w:rPr>
        <w:t>Bill</w:t>
      </w:r>
      <w:r>
        <w:rPr>
          <w:spacing w:val="-2"/>
          <w:sz w:val="18"/>
        </w:rPr>
        <w:t xml:space="preserve"> </w:t>
      </w:r>
      <w:r>
        <w:rPr>
          <w:sz w:val="18"/>
        </w:rPr>
        <w:t>is</w:t>
      </w:r>
      <w:r>
        <w:rPr>
          <w:spacing w:val="-2"/>
          <w:sz w:val="18"/>
        </w:rPr>
        <w:t xml:space="preserve"> </w:t>
      </w:r>
      <w:r>
        <w:rPr>
          <w:sz w:val="18"/>
        </w:rPr>
        <w:t>referred</w:t>
      </w:r>
      <w:r>
        <w:rPr>
          <w:spacing w:val="-3"/>
          <w:sz w:val="18"/>
        </w:rPr>
        <w:t xml:space="preserve"> </w:t>
      </w:r>
      <w:r>
        <w:rPr>
          <w:sz w:val="18"/>
        </w:rPr>
        <w:t>to</w:t>
      </w:r>
      <w:r>
        <w:rPr>
          <w:spacing w:val="-3"/>
          <w:sz w:val="18"/>
        </w:rPr>
        <w:t xml:space="preserve"> </w:t>
      </w:r>
      <w:r>
        <w:rPr>
          <w:sz w:val="18"/>
        </w:rPr>
        <w:t>the</w:t>
      </w:r>
      <w:r>
        <w:rPr>
          <w:spacing w:val="-5"/>
          <w:sz w:val="18"/>
        </w:rPr>
        <w:t xml:space="preserve"> </w:t>
      </w:r>
      <w:r>
        <w:rPr>
          <w:sz w:val="18"/>
        </w:rPr>
        <w:t>Attorney-General</w:t>
      </w:r>
      <w:r>
        <w:rPr>
          <w:spacing w:val="-2"/>
          <w:sz w:val="18"/>
        </w:rPr>
        <w:t xml:space="preserve"> </w:t>
      </w:r>
      <w:r>
        <w:rPr>
          <w:sz w:val="18"/>
        </w:rPr>
        <w:t>to</w:t>
      </w:r>
      <w:r>
        <w:rPr>
          <w:spacing w:val="-3"/>
          <w:sz w:val="18"/>
        </w:rPr>
        <w:t xml:space="preserve"> </w:t>
      </w:r>
      <w:r>
        <w:rPr>
          <w:sz w:val="18"/>
        </w:rPr>
        <w:t>prepare</w:t>
      </w:r>
      <w:r>
        <w:rPr>
          <w:spacing w:val="-3"/>
          <w:sz w:val="18"/>
        </w:rPr>
        <w:t xml:space="preserve"> </w:t>
      </w:r>
      <w:r>
        <w:rPr>
          <w:sz w:val="18"/>
        </w:rPr>
        <w:t>a</w:t>
      </w:r>
      <w:r>
        <w:rPr>
          <w:spacing w:val="-5"/>
          <w:sz w:val="18"/>
        </w:rPr>
        <w:t xml:space="preserve"> </w:t>
      </w:r>
      <w:r>
        <w:rPr>
          <w:sz w:val="18"/>
        </w:rPr>
        <w:t>detailed ‘Section 7 Report’, as occurred with the New Zealand Safe Access Bill.</w:t>
      </w:r>
    </w:p>
    <w:p w14:paraId="7CB261E7" w14:textId="77777777" w:rsidR="008A4099" w:rsidRDefault="008A4099">
      <w:pPr>
        <w:spacing w:line="242" w:lineRule="auto"/>
        <w:jc w:val="both"/>
        <w:rPr>
          <w:sz w:val="18"/>
        </w:rPr>
        <w:sectPr w:rsidR="008A4099" w:rsidSect="00D43B2D">
          <w:pgSz w:w="11910" w:h="16840"/>
          <w:pgMar w:top="980" w:right="760" w:bottom="940" w:left="1280" w:header="718" w:footer="753" w:gutter="0"/>
          <w:cols w:space="720"/>
        </w:sectPr>
      </w:pPr>
    </w:p>
    <w:p w14:paraId="7CB261E8" w14:textId="77777777" w:rsidR="008A4099" w:rsidRDefault="008A4099">
      <w:pPr>
        <w:pStyle w:val="BodyText"/>
        <w:spacing w:before="194"/>
      </w:pPr>
    </w:p>
    <w:p w14:paraId="7CB261E9" w14:textId="77777777" w:rsidR="008A4099" w:rsidRDefault="006A6EE2">
      <w:pPr>
        <w:pStyle w:val="BodyText"/>
        <w:ind w:left="160" w:right="675"/>
        <w:jc w:val="both"/>
        <w:rPr>
          <w:sz w:val="13"/>
        </w:rPr>
      </w:pPr>
      <w:r>
        <w:t>quality</w:t>
      </w:r>
      <w:r>
        <w:rPr>
          <w:spacing w:val="-11"/>
        </w:rPr>
        <w:t xml:space="preserve"> </w:t>
      </w:r>
      <w:r>
        <w:t>and</w:t>
      </w:r>
      <w:r>
        <w:rPr>
          <w:spacing w:val="-10"/>
        </w:rPr>
        <w:t xml:space="preserve"> </w:t>
      </w:r>
      <w:r>
        <w:t>independence</w:t>
      </w:r>
      <w:r>
        <w:rPr>
          <w:spacing w:val="-8"/>
        </w:rPr>
        <w:t xml:space="preserve"> </w:t>
      </w:r>
      <w:r>
        <w:t>of</w:t>
      </w:r>
      <w:r>
        <w:rPr>
          <w:spacing w:val="-7"/>
        </w:rPr>
        <w:t xml:space="preserve"> </w:t>
      </w:r>
      <w:r>
        <w:t>assessments.</w:t>
      </w:r>
      <w:r>
        <w:rPr>
          <w:spacing w:val="-5"/>
        </w:rPr>
        <w:t xml:space="preserve"> </w:t>
      </w:r>
      <w:r>
        <w:t>For</w:t>
      </w:r>
      <w:r>
        <w:rPr>
          <w:spacing w:val="-10"/>
        </w:rPr>
        <w:t xml:space="preserve"> </w:t>
      </w:r>
      <w:r>
        <w:t>example,</w:t>
      </w:r>
      <w:r>
        <w:rPr>
          <w:spacing w:val="-9"/>
        </w:rPr>
        <w:t xml:space="preserve"> </w:t>
      </w:r>
      <w:r>
        <w:t>Watchirs,</w:t>
      </w:r>
      <w:r>
        <w:rPr>
          <w:spacing w:val="-7"/>
        </w:rPr>
        <w:t xml:space="preserve"> </w:t>
      </w:r>
      <w:r>
        <w:t>Costello</w:t>
      </w:r>
      <w:r>
        <w:rPr>
          <w:spacing w:val="-8"/>
        </w:rPr>
        <w:t xml:space="preserve"> </w:t>
      </w:r>
      <w:r>
        <w:t>and</w:t>
      </w:r>
      <w:r>
        <w:rPr>
          <w:spacing w:val="-10"/>
        </w:rPr>
        <w:t xml:space="preserve"> </w:t>
      </w:r>
      <w:r>
        <w:t>Thilagaratnam</w:t>
      </w:r>
      <w:r>
        <w:rPr>
          <w:spacing w:val="-7"/>
        </w:rPr>
        <w:t xml:space="preserve"> </w:t>
      </w:r>
      <w:r>
        <w:t>consider the</w:t>
      </w:r>
      <w:r>
        <w:rPr>
          <w:spacing w:val="-1"/>
        </w:rPr>
        <w:t xml:space="preserve"> </w:t>
      </w:r>
      <w:r>
        <w:t>ACT</w:t>
      </w:r>
      <w:r>
        <w:rPr>
          <w:spacing w:val="-1"/>
        </w:rPr>
        <w:t xml:space="preserve"> </w:t>
      </w:r>
      <w:r>
        <w:t>system</w:t>
      </w:r>
      <w:r>
        <w:rPr>
          <w:spacing w:val="-3"/>
        </w:rPr>
        <w:t xml:space="preserve"> </w:t>
      </w:r>
      <w:r>
        <w:t>is</w:t>
      </w:r>
      <w:r>
        <w:rPr>
          <w:spacing w:val="-1"/>
        </w:rPr>
        <w:t xml:space="preserve"> </w:t>
      </w:r>
      <w:r>
        <w:t>working</w:t>
      </w:r>
      <w:r>
        <w:rPr>
          <w:spacing w:val="-4"/>
        </w:rPr>
        <w:t xml:space="preserve"> </w:t>
      </w:r>
      <w:r>
        <w:t>well,</w:t>
      </w:r>
      <w:r>
        <w:rPr>
          <w:spacing w:val="-1"/>
        </w:rPr>
        <w:t xml:space="preserve"> </w:t>
      </w:r>
      <w:r>
        <w:t>observing that,</w:t>
      </w:r>
      <w:r>
        <w:rPr>
          <w:spacing w:val="-4"/>
        </w:rPr>
        <w:t xml:space="preserve"> </w:t>
      </w:r>
      <w:r>
        <w:t>‘The</w:t>
      </w:r>
      <w:r>
        <w:rPr>
          <w:spacing w:val="-3"/>
        </w:rPr>
        <w:t xml:space="preserve"> </w:t>
      </w:r>
      <w:r>
        <w:t>evidence</w:t>
      </w:r>
      <w:r>
        <w:rPr>
          <w:spacing w:val="-1"/>
        </w:rPr>
        <w:t xml:space="preserve"> </w:t>
      </w:r>
      <w:r>
        <w:t>to</w:t>
      </w:r>
      <w:r>
        <w:rPr>
          <w:spacing w:val="-1"/>
        </w:rPr>
        <w:t xml:space="preserve"> </w:t>
      </w:r>
      <w:r>
        <w:t>date</w:t>
      </w:r>
      <w:r>
        <w:rPr>
          <w:spacing w:val="-1"/>
        </w:rPr>
        <w:t xml:space="preserve"> </w:t>
      </w:r>
      <w:r>
        <w:t>suggests</w:t>
      </w:r>
      <w:r>
        <w:rPr>
          <w:spacing w:val="-1"/>
        </w:rPr>
        <w:t xml:space="preserve"> </w:t>
      </w:r>
      <w:r>
        <w:t>that the</w:t>
      </w:r>
      <w:r>
        <w:rPr>
          <w:spacing w:val="-1"/>
        </w:rPr>
        <w:t xml:space="preserve"> </w:t>
      </w:r>
      <w:r>
        <w:t>Compatibility Statement requirement is being taken seriously and that it is not being treated as a mere box ticking exercise’.</w:t>
      </w:r>
      <w:r>
        <w:rPr>
          <w:position w:val="7"/>
          <w:sz w:val="13"/>
        </w:rPr>
        <w:t>442</w:t>
      </w:r>
      <w:r>
        <w:rPr>
          <w:spacing w:val="26"/>
          <w:position w:val="7"/>
          <w:sz w:val="13"/>
        </w:rPr>
        <w:t xml:space="preserve"> </w:t>
      </w:r>
      <w:r>
        <w:t>During the Review Period, no Bills in the ACT have been introduced with a Statement of Incompatibility. Watchirs et al argue that this indicates a strong human rights culture in which human rights</w:t>
      </w:r>
      <w:r>
        <w:rPr>
          <w:spacing w:val="-5"/>
        </w:rPr>
        <w:t xml:space="preserve"> </w:t>
      </w:r>
      <w:r>
        <w:t>are</w:t>
      </w:r>
      <w:r>
        <w:rPr>
          <w:spacing w:val="-6"/>
        </w:rPr>
        <w:t xml:space="preserve"> </w:t>
      </w:r>
      <w:r>
        <w:t>considered</w:t>
      </w:r>
      <w:r>
        <w:rPr>
          <w:spacing w:val="-6"/>
        </w:rPr>
        <w:t xml:space="preserve"> </w:t>
      </w:r>
      <w:r>
        <w:t>in</w:t>
      </w:r>
      <w:r>
        <w:rPr>
          <w:spacing w:val="-6"/>
        </w:rPr>
        <w:t xml:space="preserve"> </w:t>
      </w:r>
      <w:r>
        <w:t>the</w:t>
      </w:r>
      <w:r>
        <w:rPr>
          <w:spacing w:val="-8"/>
        </w:rPr>
        <w:t xml:space="preserve"> </w:t>
      </w:r>
      <w:r>
        <w:t>legislative</w:t>
      </w:r>
      <w:r>
        <w:rPr>
          <w:spacing w:val="-6"/>
        </w:rPr>
        <w:t xml:space="preserve"> </w:t>
      </w:r>
      <w:r>
        <w:t>development</w:t>
      </w:r>
      <w:r>
        <w:rPr>
          <w:spacing w:val="-3"/>
        </w:rPr>
        <w:t xml:space="preserve"> </w:t>
      </w:r>
      <w:r>
        <w:t>process</w:t>
      </w:r>
      <w:r>
        <w:rPr>
          <w:spacing w:val="-5"/>
        </w:rPr>
        <w:t xml:space="preserve"> </w:t>
      </w:r>
      <w:r>
        <w:t>to</w:t>
      </w:r>
      <w:r>
        <w:rPr>
          <w:spacing w:val="-6"/>
        </w:rPr>
        <w:t xml:space="preserve"> </w:t>
      </w:r>
      <w:r>
        <w:t>ensure</w:t>
      </w:r>
      <w:r>
        <w:rPr>
          <w:spacing w:val="-6"/>
        </w:rPr>
        <w:t xml:space="preserve"> </w:t>
      </w:r>
      <w:r>
        <w:t>that</w:t>
      </w:r>
      <w:r>
        <w:rPr>
          <w:spacing w:val="-3"/>
        </w:rPr>
        <w:t xml:space="preserve"> </w:t>
      </w:r>
      <w:r>
        <w:t>the</w:t>
      </w:r>
      <w:r>
        <w:rPr>
          <w:spacing w:val="-3"/>
        </w:rPr>
        <w:t xml:space="preserve"> </w:t>
      </w:r>
      <w:r>
        <w:t>final</w:t>
      </w:r>
      <w:r>
        <w:rPr>
          <w:spacing w:val="-5"/>
        </w:rPr>
        <w:t xml:space="preserve"> </w:t>
      </w:r>
      <w:r>
        <w:t>Bill is</w:t>
      </w:r>
      <w:r>
        <w:rPr>
          <w:spacing w:val="-6"/>
        </w:rPr>
        <w:t xml:space="preserve"> </w:t>
      </w:r>
      <w:r>
        <w:t>human</w:t>
      </w:r>
      <w:r>
        <w:rPr>
          <w:spacing w:val="-6"/>
        </w:rPr>
        <w:t xml:space="preserve"> </w:t>
      </w:r>
      <w:r>
        <w:t>rights compatible.</w:t>
      </w:r>
      <w:r>
        <w:rPr>
          <w:position w:val="7"/>
          <w:sz w:val="13"/>
        </w:rPr>
        <w:t>443</w:t>
      </w:r>
      <w:r>
        <w:rPr>
          <w:spacing w:val="40"/>
          <w:position w:val="7"/>
          <w:sz w:val="13"/>
        </w:rPr>
        <w:t xml:space="preserve"> </w:t>
      </w:r>
      <w:r>
        <w:t>The Human Rights Unit within the ACT Justice and Community Safety Directorate works with the agency responsible for introducing the Bill to identify and rectify any potential human rights issues before the Bill is tabled.</w:t>
      </w:r>
      <w:r>
        <w:rPr>
          <w:position w:val="7"/>
          <w:sz w:val="13"/>
        </w:rPr>
        <w:t>444</w:t>
      </w:r>
    </w:p>
    <w:p w14:paraId="7CB261EA" w14:textId="77777777" w:rsidR="008A4099" w:rsidRDefault="006A6EE2">
      <w:pPr>
        <w:pStyle w:val="ListParagraph"/>
        <w:numPr>
          <w:ilvl w:val="2"/>
          <w:numId w:val="3"/>
        </w:numPr>
        <w:tabs>
          <w:tab w:val="left" w:pos="879"/>
        </w:tabs>
        <w:ind w:right="672" w:firstLine="0"/>
        <w:jc w:val="both"/>
        <w:rPr>
          <w:sz w:val="13"/>
        </w:rPr>
      </w:pPr>
      <w:r>
        <w:t>In contrast, while only two statements of compatibility prepared in Queensland in 2020-2021 identified potential incompatibility with human rights, portfolio committees found approximately half of</w:t>
      </w:r>
      <w:r>
        <w:rPr>
          <w:spacing w:val="-12"/>
        </w:rPr>
        <w:t xml:space="preserve"> </w:t>
      </w:r>
      <w:r>
        <w:t>the</w:t>
      </w:r>
      <w:r>
        <w:rPr>
          <w:spacing w:val="-12"/>
        </w:rPr>
        <w:t xml:space="preserve"> </w:t>
      </w:r>
      <w:r>
        <w:t>statements</w:t>
      </w:r>
      <w:r>
        <w:rPr>
          <w:spacing w:val="-12"/>
        </w:rPr>
        <w:t xml:space="preserve"> </w:t>
      </w:r>
      <w:r>
        <w:t>of</w:t>
      </w:r>
      <w:r>
        <w:rPr>
          <w:spacing w:val="-11"/>
        </w:rPr>
        <w:t xml:space="preserve"> </w:t>
      </w:r>
      <w:r>
        <w:t>compatibility</w:t>
      </w:r>
      <w:r>
        <w:rPr>
          <w:spacing w:val="-14"/>
        </w:rPr>
        <w:t xml:space="preserve"> </w:t>
      </w:r>
      <w:r>
        <w:t>failed</w:t>
      </w:r>
      <w:r>
        <w:rPr>
          <w:spacing w:val="-12"/>
        </w:rPr>
        <w:t xml:space="preserve"> </w:t>
      </w:r>
      <w:r>
        <w:t>to</w:t>
      </w:r>
      <w:r>
        <w:rPr>
          <w:spacing w:val="-12"/>
        </w:rPr>
        <w:t xml:space="preserve"> </w:t>
      </w:r>
      <w:r>
        <w:t>address</w:t>
      </w:r>
      <w:r>
        <w:rPr>
          <w:spacing w:val="-12"/>
        </w:rPr>
        <w:t xml:space="preserve"> </w:t>
      </w:r>
      <w:r>
        <w:t>relevant</w:t>
      </w:r>
      <w:r>
        <w:rPr>
          <w:spacing w:val="-12"/>
        </w:rPr>
        <w:t xml:space="preserve"> </w:t>
      </w:r>
      <w:r>
        <w:t>human</w:t>
      </w:r>
      <w:r>
        <w:rPr>
          <w:spacing w:val="-12"/>
        </w:rPr>
        <w:t xml:space="preserve"> </w:t>
      </w:r>
      <w:r>
        <w:t>rights</w:t>
      </w:r>
      <w:r>
        <w:rPr>
          <w:spacing w:val="-12"/>
        </w:rPr>
        <w:t xml:space="preserve"> </w:t>
      </w:r>
      <w:r>
        <w:t>adequately</w:t>
      </w:r>
      <w:r>
        <w:rPr>
          <w:spacing w:val="-9"/>
        </w:rPr>
        <w:t xml:space="preserve"> </w:t>
      </w:r>
      <w:r>
        <w:t>and</w:t>
      </w:r>
      <w:r>
        <w:rPr>
          <w:spacing w:val="-14"/>
        </w:rPr>
        <w:t xml:space="preserve"> </w:t>
      </w:r>
      <w:r>
        <w:t>to</w:t>
      </w:r>
      <w:r>
        <w:rPr>
          <w:spacing w:val="-12"/>
        </w:rPr>
        <w:t xml:space="preserve"> </w:t>
      </w:r>
      <w:r>
        <w:t>explain</w:t>
      </w:r>
      <w:r>
        <w:rPr>
          <w:spacing w:val="-12"/>
        </w:rPr>
        <w:t xml:space="preserve"> </w:t>
      </w:r>
      <w:r>
        <w:t>how the proposed limitations on rights were reasonable or proportionate.</w:t>
      </w:r>
      <w:r>
        <w:rPr>
          <w:position w:val="7"/>
          <w:sz w:val="13"/>
        </w:rPr>
        <w:t>445</w:t>
      </w:r>
    </w:p>
    <w:p w14:paraId="7CB261EB" w14:textId="77777777" w:rsidR="008A4099" w:rsidRDefault="006A6EE2">
      <w:pPr>
        <w:pStyle w:val="ListParagraph"/>
        <w:numPr>
          <w:ilvl w:val="2"/>
          <w:numId w:val="3"/>
        </w:numPr>
        <w:tabs>
          <w:tab w:val="left" w:pos="879"/>
        </w:tabs>
        <w:spacing w:before="216"/>
        <w:ind w:right="681" w:firstLine="0"/>
        <w:jc w:val="both"/>
      </w:pPr>
      <w:r>
        <w:t>In relation</w:t>
      </w:r>
      <w:r>
        <w:rPr>
          <w:spacing w:val="-3"/>
        </w:rPr>
        <w:t xml:space="preserve"> </w:t>
      </w:r>
      <w:r>
        <w:t>to</w:t>
      </w:r>
      <w:r>
        <w:rPr>
          <w:spacing w:val="-5"/>
        </w:rPr>
        <w:t xml:space="preserve"> </w:t>
      </w:r>
      <w:r>
        <w:t>the</w:t>
      </w:r>
      <w:r>
        <w:rPr>
          <w:spacing w:val="-2"/>
        </w:rPr>
        <w:t xml:space="preserve"> </w:t>
      </w:r>
      <w:r>
        <w:t>Commonwealth</w:t>
      </w:r>
      <w:r>
        <w:rPr>
          <w:spacing w:val="-2"/>
        </w:rPr>
        <w:t xml:space="preserve"> </w:t>
      </w:r>
      <w:r>
        <w:t>approach,</w:t>
      </w:r>
      <w:r>
        <w:rPr>
          <w:spacing w:val="-3"/>
        </w:rPr>
        <w:t xml:space="preserve"> </w:t>
      </w:r>
      <w:r>
        <w:t>Williams</w:t>
      </w:r>
      <w:r>
        <w:rPr>
          <w:spacing w:val="-2"/>
        </w:rPr>
        <w:t xml:space="preserve"> </w:t>
      </w:r>
      <w:r>
        <w:t>and Reynolds</w:t>
      </w:r>
      <w:r>
        <w:rPr>
          <w:spacing w:val="-2"/>
        </w:rPr>
        <w:t xml:space="preserve"> </w:t>
      </w:r>
      <w:r>
        <w:t>have</w:t>
      </w:r>
      <w:r>
        <w:rPr>
          <w:spacing w:val="-2"/>
        </w:rPr>
        <w:t xml:space="preserve"> </w:t>
      </w:r>
      <w:r>
        <w:t>expressed doubt</w:t>
      </w:r>
      <w:r>
        <w:rPr>
          <w:spacing w:val="-1"/>
        </w:rPr>
        <w:t xml:space="preserve"> </w:t>
      </w:r>
      <w:r>
        <w:t>that human rights are taken seriously, where there are no direct implications for non-compliance.</w:t>
      </w:r>
    </w:p>
    <w:p w14:paraId="7CB261EC" w14:textId="77777777" w:rsidR="008A4099" w:rsidRDefault="006A6EE2">
      <w:pPr>
        <w:pStyle w:val="BodyText"/>
        <w:spacing w:before="239" w:line="276" w:lineRule="auto"/>
        <w:ind w:left="868" w:right="1340"/>
        <w:jc w:val="both"/>
        <w:rPr>
          <w:sz w:val="13"/>
        </w:rPr>
      </w:pPr>
      <w:r>
        <w:t>Although</w:t>
      </w:r>
      <w:r>
        <w:rPr>
          <w:spacing w:val="-14"/>
        </w:rPr>
        <w:t xml:space="preserve"> </w:t>
      </w:r>
      <w:r>
        <w:t>in</w:t>
      </w:r>
      <w:r>
        <w:rPr>
          <w:spacing w:val="-14"/>
        </w:rPr>
        <w:t xml:space="preserve"> </w:t>
      </w:r>
      <w:r>
        <w:t>[statements</w:t>
      </w:r>
      <w:r>
        <w:rPr>
          <w:spacing w:val="-14"/>
        </w:rPr>
        <w:t xml:space="preserve"> </w:t>
      </w:r>
      <w:r>
        <w:t>of</w:t>
      </w:r>
      <w:r>
        <w:rPr>
          <w:spacing w:val="-13"/>
        </w:rPr>
        <w:t xml:space="preserve"> </w:t>
      </w:r>
      <w:r>
        <w:t>compatibility]</w:t>
      </w:r>
      <w:r>
        <w:rPr>
          <w:spacing w:val="-12"/>
        </w:rPr>
        <w:t xml:space="preserve"> </w:t>
      </w:r>
      <w:r>
        <w:t>and</w:t>
      </w:r>
      <w:r>
        <w:rPr>
          <w:spacing w:val="-14"/>
        </w:rPr>
        <w:t xml:space="preserve"> </w:t>
      </w:r>
      <w:r>
        <w:t>via</w:t>
      </w:r>
      <w:r>
        <w:rPr>
          <w:spacing w:val="-13"/>
        </w:rPr>
        <w:t xml:space="preserve"> </w:t>
      </w:r>
      <w:r>
        <w:t>direct</w:t>
      </w:r>
      <w:r>
        <w:rPr>
          <w:spacing w:val="-12"/>
        </w:rPr>
        <w:t xml:space="preserve"> </w:t>
      </w:r>
      <w:r>
        <w:t>correspondence,</w:t>
      </w:r>
      <w:r>
        <w:rPr>
          <w:spacing w:val="-13"/>
        </w:rPr>
        <w:t xml:space="preserve"> </w:t>
      </w:r>
      <w:r>
        <w:t>Ministers</w:t>
      </w:r>
      <w:r>
        <w:rPr>
          <w:spacing w:val="-14"/>
        </w:rPr>
        <w:t xml:space="preserve"> </w:t>
      </w:r>
      <w:r>
        <w:t>have started justifying their policies through a human rights lens, there is no evidence that this burgeoning ‘culture of justification’ has in fact led to better laws. On the contrary, there is evidence that recent years have each seen extraordinarily high numbers of rights-infringing Bills passed into law.</w:t>
      </w:r>
      <w:r>
        <w:rPr>
          <w:position w:val="7"/>
          <w:sz w:val="13"/>
        </w:rPr>
        <w:t>446</w:t>
      </w:r>
    </w:p>
    <w:p w14:paraId="7CB261ED" w14:textId="77777777" w:rsidR="008A4099" w:rsidRDefault="006A6EE2">
      <w:pPr>
        <w:pStyle w:val="ListParagraph"/>
        <w:numPr>
          <w:ilvl w:val="2"/>
          <w:numId w:val="3"/>
        </w:numPr>
        <w:tabs>
          <w:tab w:val="left" w:pos="879"/>
        </w:tabs>
        <w:spacing w:before="238"/>
        <w:ind w:right="675" w:firstLine="0"/>
        <w:jc w:val="both"/>
        <w:rPr>
          <w:sz w:val="13"/>
        </w:rPr>
      </w:pPr>
      <w:r>
        <w:t>The</w:t>
      </w:r>
      <w:r>
        <w:rPr>
          <w:spacing w:val="-12"/>
        </w:rPr>
        <w:t xml:space="preserve"> </w:t>
      </w:r>
      <w:r>
        <w:t>Human</w:t>
      </w:r>
      <w:r>
        <w:rPr>
          <w:spacing w:val="-12"/>
        </w:rPr>
        <w:t xml:space="preserve"> </w:t>
      </w:r>
      <w:r>
        <w:t>Rights</w:t>
      </w:r>
      <w:r>
        <w:rPr>
          <w:spacing w:val="-11"/>
        </w:rPr>
        <w:t xml:space="preserve"> </w:t>
      </w:r>
      <w:r>
        <w:t>Watch</w:t>
      </w:r>
      <w:r>
        <w:rPr>
          <w:spacing w:val="-12"/>
        </w:rPr>
        <w:t xml:space="preserve"> </w:t>
      </w:r>
      <w:r>
        <w:t>assessment</w:t>
      </w:r>
      <w:r>
        <w:rPr>
          <w:spacing w:val="-11"/>
        </w:rPr>
        <w:t xml:space="preserve"> </w:t>
      </w:r>
      <w:r>
        <w:t>of</w:t>
      </w:r>
      <w:r>
        <w:rPr>
          <w:spacing w:val="-11"/>
        </w:rPr>
        <w:t xml:space="preserve"> </w:t>
      </w:r>
      <w:r>
        <w:t>the</w:t>
      </w:r>
      <w:r>
        <w:rPr>
          <w:spacing w:val="-12"/>
        </w:rPr>
        <w:t xml:space="preserve"> </w:t>
      </w:r>
      <w:r>
        <w:t>human</w:t>
      </w:r>
      <w:r>
        <w:rPr>
          <w:spacing w:val="-12"/>
        </w:rPr>
        <w:t xml:space="preserve"> </w:t>
      </w:r>
      <w:r>
        <w:t>rights</w:t>
      </w:r>
      <w:r>
        <w:rPr>
          <w:spacing w:val="-11"/>
        </w:rPr>
        <w:t xml:space="preserve"> </w:t>
      </w:r>
      <w:r>
        <w:t>implications</w:t>
      </w:r>
      <w:r>
        <w:rPr>
          <w:spacing w:val="-11"/>
        </w:rPr>
        <w:t xml:space="preserve"> </w:t>
      </w:r>
      <w:r>
        <w:t>of</w:t>
      </w:r>
      <w:r>
        <w:rPr>
          <w:spacing w:val="-11"/>
        </w:rPr>
        <w:t xml:space="preserve"> </w:t>
      </w:r>
      <w:r>
        <w:t>Commonwealth</w:t>
      </w:r>
      <w:r>
        <w:rPr>
          <w:spacing w:val="-12"/>
        </w:rPr>
        <w:t xml:space="preserve"> </w:t>
      </w:r>
      <w:r>
        <w:t>laws enacted in response to COVID-19 also raised concerns that rights-infringing laws are more readily enacted when human rights assessments are perfunctory, rather than embedded in decision-making.</w:t>
      </w:r>
      <w:r>
        <w:rPr>
          <w:position w:val="7"/>
          <w:sz w:val="13"/>
        </w:rPr>
        <w:t>447</w:t>
      </w:r>
    </w:p>
    <w:p w14:paraId="7CB261EE" w14:textId="77777777" w:rsidR="008A4099" w:rsidRDefault="006A6EE2">
      <w:pPr>
        <w:pStyle w:val="ListParagraph"/>
        <w:numPr>
          <w:ilvl w:val="2"/>
          <w:numId w:val="3"/>
        </w:numPr>
        <w:tabs>
          <w:tab w:val="left" w:pos="879"/>
        </w:tabs>
        <w:spacing w:before="217"/>
        <w:ind w:right="674" w:firstLine="0"/>
        <w:jc w:val="both"/>
        <w:rPr>
          <w:sz w:val="13"/>
        </w:rPr>
      </w:pPr>
      <w:r>
        <w:t>An</w:t>
      </w:r>
      <w:r>
        <w:rPr>
          <w:spacing w:val="-16"/>
        </w:rPr>
        <w:t xml:space="preserve"> </w:t>
      </w:r>
      <w:r>
        <w:t>issue</w:t>
      </w:r>
      <w:r>
        <w:rPr>
          <w:spacing w:val="-14"/>
        </w:rPr>
        <w:t xml:space="preserve"> </w:t>
      </w:r>
      <w:r>
        <w:t>that</w:t>
      </w:r>
      <w:r>
        <w:rPr>
          <w:spacing w:val="-14"/>
        </w:rPr>
        <w:t xml:space="preserve"> </w:t>
      </w:r>
      <w:r>
        <w:t>has</w:t>
      </w:r>
      <w:r>
        <w:rPr>
          <w:spacing w:val="-13"/>
        </w:rPr>
        <w:t xml:space="preserve"> </w:t>
      </w:r>
      <w:r>
        <w:t>arisen</w:t>
      </w:r>
      <w:r>
        <w:rPr>
          <w:spacing w:val="-14"/>
        </w:rPr>
        <w:t xml:space="preserve"> </w:t>
      </w:r>
      <w:r>
        <w:t>since</w:t>
      </w:r>
      <w:r>
        <w:rPr>
          <w:spacing w:val="-14"/>
        </w:rPr>
        <w:t xml:space="preserve"> </w:t>
      </w:r>
      <w:r>
        <w:t>Australian</w:t>
      </w:r>
      <w:r>
        <w:rPr>
          <w:spacing w:val="-14"/>
        </w:rPr>
        <w:t xml:space="preserve"> </w:t>
      </w:r>
      <w:r>
        <w:t>jurisdictions</w:t>
      </w:r>
      <w:r>
        <w:rPr>
          <w:spacing w:val="-13"/>
        </w:rPr>
        <w:t xml:space="preserve"> </w:t>
      </w:r>
      <w:r>
        <w:t>enacted</w:t>
      </w:r>
      <w:r>
        <w:rPr>
          <w:spacing w:val="-14"/>
        </w:rPr>
        <w:t xml:space="preserve"> </w:t>
      </w:r>
      <w:r>
        <w:t>human</w:t>
      </w:r>
      <w:r>
        <w:rPr>
          <w:spacing w:val="-14"/>
        </w:rPr>
        <w:t xml:space="preserve"> </w:t>
      </w:r>
      <w:r>
        <w:t>rights</w:t>
      </w:r>
      <w:r>
        <w:rPr>
          <w:spacing w:val="-14"/>
        </w:rPr>
        <w:t xml:space="preserve"> </w:t>
      </w:r>
      <w:r>
        <w:t>legislation</w:t>
      </w:r>
      <w:r>
        <w:rPr>
          <w:spacing w:val="-13"/>
        </w:rPr>
        <w:t xml:space="preserve"> </w:t>
      </w:r>
      <w:r>
        <w:t xml:space="preserve">requiring Bills to be assessed for their rights compliance is that amendments made during Parliamentary debate may have significant human rights implications but will not be subject to detailed human rights assessment. An example of this type of situation occurred in Tasmania, in relation to amendments to the </w:t>
      </w:r>
      <w:r>
        <w:rPr>
          <w:i/>
        </w:rPr>
        <w:t>Justice and Related Legislation (Marriage and Gender Amendments) Bill 2019</w:t>
      </w:r>
      <w:r>
        <w:t>, which raised significant new questions about human rights.</w:t>
      </w:r>
      <w:r>
        <w:rPr>
          <w:position w:val="7"/>
          <w:sz w:val="13"/>
        </w:rPr>
        <w:t>448</w:t>
      </w:r>
    </w:p>
    <w:p w14:paraId="7CB261EF" w14:textId="77777777" w:rsidR="008A4099" w:rsidRDefault="006A6EE2">
      <w:pPr>
        <w:pStyle w:val="Heading3"/>
        <w:spacing w:before="234"/>
        <w:jc w:val="both"/>
      </w:pPr>
      <w:r>
        <w:t>TLRI’s</w:t>
      </w:r>
      <w:r>
        <w:rPr>
          <w:spacing w:val="-4"/>
        </w:rPr>
        <w:t xml:space="preserve"> </w:t>
      </w:r>
      <w:r>
        <w:t>current</w:t>
      </w:r>
      <w:r>
        <w:rPr>
          <w:spacing w:val="-3"/>
        </w:rPr>
        <w:t xml:space="preserve"> </w:t>
      </w:r>
      <w:r>
        <w:t>views</w:t>
      </w:r>
      <w:r>
        <w:rPr>
          <w:spacing w:val="-4"/>
        </w:rPr>
        <w:t xml:space="preserve"> </w:t>
      </w:r>
      <w:r>
        <w:t>and</w:t>
      </w:r>
      <w:r>
        <w:rPr>
          <w:spacing w:val="-2"/>
        </w:rPr>
        <w:t xml:space="preserve"> recommendations</w:t>
      </w:r>
    </w:p>
    <w:p w14:paraId="7CB261F0" w14:textId="77777777" w:rsidR="008A4099" w:rsidRDefault="006A6EE2">
      <w:pPr>
        <w:pStyle w:val="ListParagraph"/>
        <w:numPr>
          <w:ilvl w:val="2"/>
          <w:numId w:val="3"/>
        </w:numPr>
        <w:tabs>
          <w:tab w:val="left" w:pos="879"/>
        </w:tabs>
        <w:spacing w:before="264" w:line="237" w:lineRule="auto"/>
        <w:ind w:right="675" w:firstLine="0"/>
        <w:jc w:val="both"/>
      </w:pPr>
      <w:r>
        <w:t>The TLRI remains of the view that statements of compatibility should accompany all Bills introduced into Parliament. This is in accordance with Recommendation 10 of the 2007 Final Report (See</w:t>
      </w:r>
      <w:r>
        <w:rPr>
          <w:spacing w:val="-9"/>
        </w:rPr>
        <w:t xml:space="preserve"> </w:t>
      </w:r>
      <w:r>
        <w:t>Appendix</w:t>
      </w:r>
      <w:r>
        <w:rPr>
          <w:spacing w:val="-9"/>
        </w:rPr>
        <w:t xml:space="preserve"> </w:t>
      </w:r>
      <w:r>
        <w:t>A).</w:t>
      </w:r>
      <w:r>
        <w:rPr>
          <w:spacing w:val="-10"/>
        </w:rPr>
        <w:t xml:space="preserve"> </w:t>
      </w:r>
      <w:r>
        <w:t>In</w:t>
      </w:r>
      <w:r>
        <w:rPr>
          <w:spacing w:val="-10"/>
        </w:rPr>
        <w:t xml:space="preserve"> </w:t>
      </w:r>
      <w:r>
        <w:t>addition,</w:t>
      </w:r>
      <w:r>
        <w:rPr>
          <w:spacing w:val="-10"/>
        </w:rPr>
        <w:t xml:space="preserve"> </w:t>
      </w:r>
      <w:r>
        <w:t>the</w:t>
      </w:r>
      <w:r>
        <w:rPr>
          <w:spacing w:val="-9"/>
        </w:rPr>
        <w:t xml:space="preserve"> </w:t>
      </w:r>
      <w:r>
        <w:t>TLRI</w:t>
      </w:r>
      <w:r>
        <w:rPr>
          <w:spacing w:val="-11"/>
        </w:rPr>
        <w:t xml:space="preserve"> </w:t>
      </w:r>
      <w:r>
        <w:t>is</w:t>
      </w:r>
      <w:r>
        <w:rPr>
          <w:spacing w:val="-9"/>
        </w:rPr>
        <w:t xml:space="preserve"> </w:t>
      </w:r>
      <w:r>
        <w:t>of</w:t>
      </w:r>
      <w:r>
        <w:rPr>
          <w:spacing w:val="-11"/>
        </w:rPr>
        <w:t xml:space="preserve"> </w:t>
      </w:r>
      <w:r>
        <w:t>the</w:t>
      </w:r>
      <w:r>
        <w:rPr>
          <w:spacing w:val="-12"/>
        </w:rPr>
        <w:t xml:space="preserve"> </w:t>
      </w:r>
      <w:r>
        <w:t>view</w:t>
      </w:r>
      <w:r>
        <w:rPr>
          <w:spacing w:val="-12"/>
        </w:rPr>
        <w:t xml:space="preserve"> </w:t>
      </w:r>
      <w:r>
        <w:t>that</w:t>
      </w:r>
      <w:r>
        <w:rPr>
          <w:spacing w:val="-8"/>
        </w:rPr>
        <w:t xml:space="preserve"> </w:t>
      </w:r>
      <w:r>
        <w:t>human</w:t>
      </w:r>
      <w:r>
        <w:rPr>
          <w:spacing w:val="-10"/>
        </w:rPr>
        <w:t xml:space="preserve"> </w:t>
      </w:r>
      <w:r>
        <w:t>rights</w:t>
      </w:r>
      <w:r>
        <w:rPr>
          <w:spacing w:val="-9"/>
        </w:rPr>
        <w:t xml:space="preserve"> </w:t>
      </w:r>
      <w:r>
        <w:t>assessment</w:t>
      </w:r>
      <w:r>
        <w:rPr>
          <w:spacing w:val="-9"/>
        </w:rPr>
        <w:t xml:space="preserve"> </w:t>
      </w:r>
      <w:r>
        <w:t>should</w:t>
      </w:r>
      <w:r>
        <w:rPr>
          <w:spacing w:val="-10"/>
        </w:rPr>
        <w:t xml:space="preserve"> </w:t>
      </w:r>
      <w:r>
        <w:t>be</w:t>
      </w:r>
      <w:r>
        <w:rPr>
          <w:spacing w:val="-9"/>
        </w:rPr>
        <w:t xml:space="preserve"> </w:t>
      </w:r>
      <w:r>
        <w:t>iterative and</w:t>
      </w:r>
      <w:r>
        <w:rPr>
          <w:spacing w:val="39"/>
        </w:rPr>
        <w:t xml:space="preserve"> </w:t>
      </w:r>
      <w:r>
        <w:t>that</w:t>
      </w:r>
      <w:r>
        <w:rPr>
          <w:spacing w:val="37"/>
        </w:rPr>
        <w:t xml:space="preserve"> </w:t>
      </w:r>
      <w:r>
        <w:t>any</w:t>
      </w:r>
      <w:r>
        <w:rPr>
          <w:spacing w:val="36"/>
        </w:rPr>
        <w:t xml:space="preserve"> </w:t>
      </w:r>
      <w:r>
        <w:t>amendments</w:t>
      </w:r>
      <w:r>
        <w:rPr>
          <w:spacing w:val="36"/>
        </w:rPr>
        <w:t xml:space="preserve"> </w:t>
      </w:r>
      <w:r>
        <w:t>made</w:t>
      </w:r>
      <w:r>
        <w:rPr>
          <w:spacing w:val="39"/>
        </w:rPr>
        <w:t xml:space="preserve"> </w:t>
      </w:r>
      <w:r>
        <w:t>during</w:t>
      </w:r>
      <w:r>
        <w:rPr>
          <w:spacing w:val="38"/>
        </w:rPr>
        <w:t xml:space="preserve"> </w:t>
      </w:r>
      <w:r>
        <w:t>Parliamentary</w:t>
      </w:r>
      <w:r>
        <w:rPr>
          <w:spacing w:val="38"/>
        </w:rPr>
        <w:t xml:space="preserve"> </w:t>
      </w:r>
      <w:r>
        <w:t>debate</w:t>
      </w:r>
      <w:r>
        <w:rPr>
          <w:spacing w:val="39"/>
        </w:rPr>
        <w:t xml:space="preserve"> </w:t>
      </w:r>
      <w:r>
        <w:t>should</w:t>
      </w:r>
      <w:r>
        <w:rPr>
          <w:spacing w:val="36"/>
        </w:rPr>
        <w:t xml:space="preserve"> </w:t>
      </w:r>
      <w:r>
        <w:t>be</w:t>
      </w:r>
      <w:r>
        <w:rPr>
          <w:spacing w:val="36"/>
        </w:rPr>
        <w:t xml:space="preserve"> </w:t>
      </w:r>
      <w:r>
        <w:t>re-examined</w:t>
      </w:r>
      <w:r>
        <w:rPr>
          <w:spacing w:val="36"/>
        </w:rPr>
        <w:t xml:space="preserve"> </w:t>
      </w:r>
      <w:r>
        <w:t>to</w:t>
      </w:r>
      <w:r>
        <w:rPr>
          <w:spacing w:val="38"/>
        </w:rPr>
        <w:t xml:space="preserve"> </w:t>
      </w:r>
      <w:r>
        <w:t>determine</w:t>
      </w:r>
    </w:p>
    <w:p w14:paraId="7CB261F1" w14:textId="77777777" w:rsidR="008A4099" w:rsidRDefault="006A6EE2">
      <w:pPr>
        <w:pStyle w:val="BodyText"/>
        <w:spacing w:before="6"/>
        <w:rPr>
          <w:sz w:val="20"/>
        </w:rPr>
      </w:pPr>
      <w:r>
        <w:rPr>
          <w:noProof/>
        </w:rPr>
        <mc:AlternateContent>
          <mc:Choice Requires="wps">
            <w:drawing>
              <wp:anchor distT="0" distB="0" distL="0" distR="0" simplePos="0" relativeHeight="487627776" behindDoc="1" locked="0" layoutInCell="1" allowOverlap="1" wp14:anchorId="7CB26675" wp14:editId="7CB26676">
                <wp:simplePos x="0" y="0"/>
                <wp:positionH relativeFrom="page">
                  <wp:posOffset>914704</wp:posOffset>
                </wp:positionH>
                <wp:positionV relativeFrom="paragraph">
                  <wp:posOffset>165656</wp:posOffset>
                </wp:positionV>
                <wp:extent cx="1829435" cy="762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6B7DFB" id="Graphic 126" o:spid="_x0000_s1026" style="position:absolute;margin-left:1in;margin-top:13.05pt;width:144.05pt;height:.6pt;z-index:-156887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" path="m1829054,l,,,7620r1829054,l1829054,xe" fillcolor="black" stroked="f">
                <v:path arrowok="t"/>
                <w10:wrap type="topAndBottom" anchorx="page"/>
              </v:shape>
            </w:pict>
          </mc:Fallback>
        </mc:AlternateContent>
      </w:r>
    </w:p>
    <w:p w14:paraId="7CB261F2" w14:textId="77777777" w:rsidR="008A4099" w:rsidRDefault="006A6EE2">
      <w:pPr>
        <w:spacing w:before="113"/>
        <w:ind w:left="160"/>
        <w:jc w:val="both"/>
        <w:rPr>
          <w:sz w:val="18"/>
        </w:rPr>
      </w:pPr>
      <w:r>
        <w:rPr>
          <w:sz w:val="18"/>
          <w:vertAlign w:val="superscript"/>
        </w:rPr>
        <w:t>442</w:t>
      </w:r>
      <w:r>
        <w:rPr>
          <w:spacing w:val="-2"/>
          <w:sz w:val="18"/>
        </w:rPr>
        <w:t xml:space="preserve"> </w:t>
      </w:r>
      <w:r>
        <w:rPr>
          <w:sz w:val="18"/>
        </w:rPr>
        <w:t>Watchirs,</w:t>
      </w:r>
      <w:r>
        <w:rPr>
          <w:spacing w:val="-1"/>
          <w:sz w:val="18"/>
        </w:rPr>
        <w:t xml:space="preserve"> </w:t>
      </w:r>
      <w:r>
        <w:rPr>
          <w:sz w:val="18"/>
        </w:rPr>
        <w:t>Costello and Thilagaratnam,</w:t>
      </w:r>
      <w:r>
        <w:rPr>
          <w:spacing w:val="-1"/>
          <w:sz w:val="18"/>
        </w:rPr>
        <w:t xml:space="preserve"> </w:t>
      </w:r>
      <w:r>
        <w:rPr>
          <w:sz w:val="18"/>
        </w:rPr>
        <w:t>‘Human Rights</w:t>
      </w:r>
      <w:r>
        <w:rPr>
          <w:spacing w:val="-3"/>
          <w:sz w:val="18"/>
        </w:rPr>
        <w:t xml:space="preserve"> </w:t>
      </w:r>
      <w:r>
        <w:rPr>
          <w:sz w:val="18"/>
        </w:rPr>
        <w:t>Scrutiny</w:t>
      </w:r>
      <w:r>
        <w:rPr>
          <w:spacing w:val="-2"/>
          <w:sz w:val="18"/>
        </w:rPr>
        <w:t xml:space="preserve"> </w:t>
      </w:r>
      <w:r>
        <w:rPr>
          <w:sz w:val="18"/>
        </w:rPr>
        <w:t>under</w:t>
      </w:r>
      <w:r>
        <w:rPr>
          <w:spacing w:val="-1"/>
          <w:sz w:val="18"/>
        </w:rPr>
        <w:t xml:space="preserve"> </w:t>
      </w:r>
      <w:r>
        <w:rPr>
          <w:sz w:val="18"/>
        </w:rPr>
        <w:t>the</w:t>
      </w:r>
      <w:r>
        <w:rPr>
          <w:spacing w:val="-2"/>
          <w:sz w:val="18"/>
        </w:rPr>
        <w:t xml:space="preserve"> </w:t>
      </w:r>
      <w:r>
        <w:rPr>
          <w:sz w:val="18"/>
        </w:rPr>
        <w:t>Human</w:t>
      </w:r>
      <w:r>
        <w:rPr>
          <w:spacing w:val="-2"/>
          <w:sz w:val="18"/>
        </w:rPr>
        <w:t xml:space="preserve"> </w:t>
      </w:r>
      <w:r>
        <w:rPr>
          <w:sz w:val="18"/>
        </w:rPr>
        <w:t>Rights</w:t>
      </w:r>
      <w:r>
        <w:rPr>
          <w:spacing w:val="-2"/>
          <w:sz w:val="18"/>
        </w:rPr>
        <w:t xml:space="preserve"> </w:t>
      </w:r>
      <w:r>
        <w:rPr>
          <w:sz w:val="18"/>
        </w:rPr>
        <w:t>Act</w:t>
      </w:r>
      <w:r>
        <w:rPr>
          <w:spacing w:val="-1"/>
          <w:sz w:val="18"/>
        </w:rPr>
        <w:t xml:space="preserve"> </w:t>
      </w:r>
      <w:r>
        <w:rPr>
          <w:sz w:val="18"/>
        </w:rPr>
        <w:t>2004 (ACT)’</w:t>
      </w:r>
      <w:r>
        <w:rPr>
          <w:spacing w:val="-1"/>
          <w:sz w:val="18"/>
        </w:rPr>
        <w:t xml:space="preserve"> </w:t>
      </w:r>
      <w:r>
        <w:rPr>
          <w:spacing w:val="-2"/>
          <w:sz w:val="18"/>
        </w:rPr>
        <w:t>[6.150].</w:t>
      </w:r>
    </w:p>
    <w:p w14:paraId="7CB261F3" w14:textId="77777777" w:rsidR="008A4099" w:rsidRDefault="006A6EE2">
      <w:pPr>
        <w:spacing w:before="23"/>
        <w:ind w:left="160" w:right="674"/>
        <w:jc w:val="both"/>
        <w:rPr>
          <w:sz w:val="18"/>
        </w:rPr>
      </w:pPr>
      <w:r>
        <w:rPr>
          <w:sz w:val="18"/>
          <w:vertAlign w:val="superscript"/>
        </w:rPr>
        <w:t>443</w:t>
      </w:r>
      <w:r>
        <w:rPr>
          <w:sz w:val="18"/>
        </w:rPr>
        <w:t xml:space="preserve"> Ibid [6.10]; see also ACT Human Rights and Discrimination Commissioner, </w:t>
      </w:r>
      <w:r>
        <w:rPr>
          <w:i/>
          <w:sz w:val="18"/>
        </w:rPr>
        <w:t xml:space="preserve">Look Who’s Talking – A Snapshot of Ten Years of Dialogue Under the Human Rights Act 2004 </w:t>
      </w:r>
      <w:r>
        <w:rPr>
          <w:sz w:val="18"/>
        </w:rPr>
        <w:t>(Report, 2014) 16. As noted at [4.6.5], the ACT Human Rights Commissioner</w:t>
      </w:r>
      <w:r>
        <w:rPr>
          <w:spacing w:val="-2"/>
          <w:sz w:val="18"/>
        </w:rPr>
        <w:t xml:space="preserve"> </w:t>
      </w:r>
      <w:r>
        <w:rPr>
          <w:sz w:val="18"/>
        </w:rPr>
        <w:t>regularly</w:t>
      </w:r>
      <w:r>
        <w:rPr>
          <w:spacing w:val="-3"/>
          <w:sz w:val="18"/>
        </w:rPr>
        <w:t xml:space="preserve"> </w:t>
      </w:r>
      <w:r>
        <w:rPr>
          <w:sz w:val="18"/>
        </w:rPr>
        <w:t>reviews</w:t>
      </w:r>
      <w:r>
        <w:rPr>
          <w:spacing w:val="-5"/>
          <w:sz w:val="18"/>
        </w:rPr>
        <w:t xml:space="preserve"> </w:t>
      </w:r>
      <w:r>
        <w:rPr>
          <w:sz w:val="18"/>
        </w:rPr>
        <w:t>draft</w:t>
      </w:r>
      <w:r>
        <w:rPr>
          <w:spacing w:val="-2"/>
          <w:sz w:val="18"/>
        </w:rPr>
        <w:t xml:space="preserve"> </w:t>
      </w:r>
      <w:r>
        <w:rPr>
          <w:sz w:val="18"/>
        </w:rPr>
        <w:t>legislation</w:t>
      </w:r>
      <w:r>
        <w:rPr>
          <w:spacing w:val="-3"/>
          <w:sz w:val="18"/>
        </w:rPr>
        <w:t xml:space="preserve"> </w:t>
      </w:r>
      <w:r>
        <w:rPr>
          <w:sz w:val="18"/>
        </w:rPr>
        <w:t>prior</w:t>
      </w:r>
      <w:r>
        <w:rPr>
          <w:spacing w:val="-4"/>
          <w:sz w:val="18"/>
        </w:rPr>
        <w:t xml:space="preserve"> </w:t>
      </w:r>
      <w:r>
        <w:rPr>
          <w:sz w:val="18"/>
        </w:rPr>
        <w:t>to</w:t>
      </w:r>
      <w:r>
        <w:rPr>
          <w:spacing w:val="-1"/>
          <w:sz w:val="18"/>
        </w:rPr>
        <w:t xml:space="preserve"> </w:t>
      </w:r>
      <w:r>
        <w:rPr>
          <w:sz w:val="18"/>
        </w:rPr>
        <w:t>its</w:t>
      </w:r>
      <w:r>
        <w:rPr>
          <w:spacing w:val="-5"/>
          <w:sz w:val="18"/>
        </w:rPr>
        <w:t xml:space="preserve"> </w:t>
      </w:r>
      <w:r>
        <w:rPr>
          <w:sz w:val="18"/>
        </w:rPr>
        <w:t>consideration</w:t>
      </w:r>
      <w:r>
        <w:rPr>
          <w:spacing w:val="-3"/>
          <w:sz w:val="18"/>
        </w:rPr>
        <w:t xml:space="preserve"> </w:t>
      </w:r>
      <w:r>
        <w:rPr>
          <w:sz w:val="18"/>
        </w:rPr>
        <w:t>by</w:t>
      </w:r>
      <w:r>
        <w:rPr>
          <w:spacing w:val="-3"/>
          <w:sz w:val="18"/>
        </w:rPr>
        <w:t xml:space="preserve"> </w:t>
      </w:r>
      <w:r>
        <w:rPr>
          <w:sz w:val="18"/>
        </w:rPr>
        <w:t>Cabinet,</w:t>
      </w:r>
      <w:r>
        <w:rPr>
          <w:spacing w:val="-1"/>
          <w:sz w:val="18"/>
        </w:rPr>
        <w:t xml:space="preserve"> </w:t>
      </w:r>
      <w:r>
        <w:rPr>
          <w:sz w:val="18"/>
        </w:rPr>
        <w:t>strengthening</w:t>
      </w:r>
      <w:r>
        <w:rPr>
          <w:spacing w:val="-6"/>
          <w:sz w:val="18"/>
        </w:rPr>
        <w:t xml:space="preserve"> </w:t>
      </w:r>
      <w:r>
        <w:rPr>
          <w:sz w:val="18"/>
        </w:rPr>
        <w:t>the</w:t>
      </w:r>
      <w:r>
        <w:rPr>
          <w:spacing w:val="-3"/>
          <w:sz w:val="18"/>
        </w:rPr>
        <w:t xml:space="preserve"> </w:t>
      </w:r>
      <w:r>
        <w:rPr>
          <w:sz w:val="18"/>
        </w:rPr>
        <w:t>quality</w:t>
      </w:r>
      <w:r>
        <w:rPr>
          <w:spacing w:val="-3"/>
          <w:sz w:val="18"/>
        </w:rPr>
        <w:t xml:space="preserve"> </w:t>
      </w:r>
      <w:r>
        <w:rPr>
          <w:sz w:val="18"/>
        </w:rPr>
        <w:t>of</w:t>
      </w:r>
      <w:r>
        <w:rPr>
          <w:spacing w:val="-2"/>
          <w:sz w:val="18"/>
        </w:rPr>
        <w:t xml:space="preserve"> </w:t>
      </w:r>
      <w:r>
        <w:rPr>
          <w:sz w:val="18"/>
        </w:rPr>
        <w:t>legislation introduced to Parliament.</w:t>
      </w:r>
    </w:p>
    <w:p w14:paraId="7CB261F4" w14:textId="77777777" w:rsidR="008A4099" w:rsidRDefault="006A6EE2">
      <w:pPr>
        <w:spacing w:before="25" w:line="242" w:lineRule="auto"/>
        <w:ind w:left="160" w:right="674"/>
        <w:jc w:val="both"/>
        <w:rPr>
          <w:sz w:val="18"/>
        </w:rPr>
      </w:pPr>
      <w:r>
        <w:rPr>
          <w:sz w:val="18"/>
          <w:vertAlign w:val="superscript"/>
        </w:rPr>
        <w:t>444</w:t>
      </w:r>
      <w:r>
        <w:rPr>
          <w:spacing w:val="-4"/>
          <w:sz w:val="18"/>
        </w:rPr>
        <w:t xml:space="preserve"> </w:t>
      </w:r>
      <w:r>
        <w:rPr>
          <w:sz w:val="18"/>
        </w:rPr>
        <w:t>See</w:t>
      </w:r>
      <w:r>
        <w:rPr>
          <w:spacing w:val="-5"/>
          <w:sz w:val="18"/>
        </w:rPr>
        <w:t xml:space="preserve"> </w:t>
      </w:r>
      <w:r>
        <w:rPr>
          <w:sz w:val="18"/>
        </w:rPr>
        <w:t>ACT</w:t>
      </w:r>
      <w:r>
        <w:rPr>
          <w:spacing w:val="-4"/>
          <w:sz w:val="18"/>
        </w:rPr>
        <w:t xml:space="preserve"> </w:t>
      </w:r>
      <w:r>
        <w:rPr>
          <w:sz w:val="18"/>
        </w:rPr>
        <w:t>Auditor-General,</w:t>
      </w:r>
      <w:r>
        <w:rPr>
          <w:spacing w:val="-3"/>
          <w:sz w:val="18"/>
        </w:rPr>
        <w:t xml:space="preserve"> </w:t>
      </w:r>
      <w:r>
        <w:rPr>
          <w:i/>
          <w:sz w:val="18"/>
        </w:rPr>
        <w:t>Recognition</w:t>
      </w:r>
      <w:r>
        <w:rPr>
          <w:i/>
          <w:spacing w:val="-6"/>
          <w:sz w:val="18"/>
        </w:rPr>
        <w:t xml:space="preserve"> </w:t>
      </w:r>
      <w:r>
        <w:rPr>
          <w:i/>
          <w:sz w:val="18"/>
        </w:rPr>
        <w:t>and</w:t>
      </w:r>
      <w:r>
        <w:rPr>
          <w:i/>
          <w:spacing w:val="-6"/>
          <w:sz w:val="18"/>
        </w:rPr>
        <w:t xml:space="preserve"> </w:t>
      </w:r>
      <w:r>
        <w:rPr>
          <w:i/>
          <w:sz w:val="18"/>
        </w:rPr>
        <w:t>Implementation</w:t>
      </w:r>
      <w:r>
        <w:rPr>
          <w:i/>
          <w:spacing w:val="-6"/>
          <w:sz w:val="18"/>
        </w:rPr>
        <w:t xml:space="preserve"> </w:t>
      </w:r>
      <w:r>
        <w:rPr>
          <w:i/>
          <w:sz w:val="18"/>
        </w:rPr>
        <w:t>of</w:t>
      </w:r>
      <w:r>
        <w:rPr>
          <w:i/>
          <w:spacing w:val="-4"/>
          <w:sz w:val="18"/>
        </w:rPr>
        <w:t xml:space="preserve"> </w:t>
      </w:r>
      <w:r>
        <w:rPr>
          <w:i/>
          <w:sz w:val="18"/>
        </w:rPr>
        <w:t>Obligations</w:t>
      </w:r>
      <w:r>
        <w:rPr>
          <w:i/>
          <w:spacing w:val="-5"/>
          <w:sz w:val="18"/>
        </w:rPr>
        <w:t xml:space="preserve"> </w:t>
      </w:r>
      <w:r>
        <w:rPr>
          <w:i/>
          <w:sz w:val="18"/>
        </w:rPr>
        <w:t>Under</w:t>
      </w:r>
      <w:r>
        <w:rPr>
          <w:i/>
          <w:spacing w:val="-5"/>
          <w:sz w:val="18"/>
        </w:rPr>
        <w:t xml:space="preserve"> </w:t>
      </w:r>
      <w:r>
        <w:rPr>
          <w:i/>
          <w:sz w:val="18"/>
        </w:rPr>
        <w:t>the</w:t>
      </w:r>
      <w:r>
        <w:rPr>
          <w:i/>
          <w:spacing w:val="-5"/>
          <w:sz w:val="18"/>
        </w:rPr>
        <w:t xml:space="preserve"> </w:t>
      </w:r>
      <w:r>
        <w:rPr>
          <w:i/>
          <w:sz w:val="18"/>
        </w:rPr>
        <w:t>Human</w:t>
      </w:r>
      <w:r>
        <w:rPr>
          <w:i/>
          <w:spacing w:val="-6"/>
          <w:sz w:val="18"/>
        </w:rPr>
        <w:t xml:space="preserve"> </w:t>
      </w:r>
      <w:r>
        <w:rPr>
          <w:i/>
          <w:sz w:val="18"/>
        </w:rPr>
        <w:t>Rights</w:t>
      </w:r>
      <w:r>
        <w:rPr>
          <w:i/>
          <w:spacing w:val="-5"/>
          <w:sz w:val="18"/>
        </w:rPr>
        <w:t xml:space="preserve"> </w:t>
      </w:r>
      <w:r>
        <w:rPr>
          <w:i/>
          <w:sz w:val="18"/>
        </w:rPr>
        <w:t>Act</w:t>
      </w:r>
      <w:r>
        <w:rPr>
          <w:i/>
          <w:spacing w:val="-4"/>
          <w:sz w:val="18"/>
        </w:rPr>
        <w:t xml:space="preserve"> </w:t>
      </w:r>
      <w:r>
        <w:rPr>
          <w:i/>
          <w:sz w:val="18"/>
        </w:rPr>
        <w:t xml:space="preserve">2004 </w:t>
      </w:r>
      <w:r>
        <w:rPr>
          <w:sz w:val="18"/>
        </w:rPr>
        <w:t>(Report</w:t>
      </w:r>
      <w:r>
        <w:rPr>
          <w:spacing w:val="-4"/>
          <w:sz w:val="18"/>
        </w:rPr>
        <w:t xml:space="preserve"> </w:t>
      </w:r>
      <w:r>
        <w:rPr>
          <w:sz w:val="18"/>
        </w:rPr>
        <w:t>No 2, 2019) [2.5]–[2.8]. The Human Rights Unit has developed a Human Rights Scrutiny Assessment document to help in the assessment of Bills. Ibid [2.9].</w:t>
      </w:r>
    </w:p>
    <w:p w14:paraId="7CB261F5" w14:textId="77777777" w:rsidR="008A4099" w:rsidRDefault="006A6EE2">
      <w:pPr>
        <w:spacing w:before="16"/>
        <w:ind w:left="160"/>
        <w:rPr>
          <w:sz w:val="18"/>
        </w:rPr>
      </w:pPr>
      <w:r>
        <w:rPr>
          <w:sz w:val="18"/>
          <w:vertAlign w:val="superscript"/>
        </w:rPr>
        <w:t>445</w:t>
      </w:r>
      <w:r>
        <w:rPr>
          <w:sz w:val="18"/>
        </w:rPr>
        <w:t xml:space="preserve"> Queensland</w:t>
      </w:r>
      <w:r>
        <w:rPr>
          <w:spacing w:val="2"/>
          <w:sz w:val="18"/>
        </w:rPr>
        <w:t xml:space="preserve"> </w:t>
      </w:r>
      <w:r>
        <w:rPr>
          <w:sz w:val="18"/>
        </w:rPr>
        <w:t>Human</w:t>
      </w:r>
      <w:r>
        <w:rPr>
          <w:spacing w:val="1"/>
          <w:sz w:val="18"/>
        </w:rPr>
        <w:t xml:space="preserve"> </w:t>
      </w:r>
      <w:r>
        <w:rPr>
          <w:sz w:val="18"/>
        </w:rPr>
        <w:t>Rights</w:t>
      </w:r>
      <w:r>
        <w:rPr>
          <w:spacing w:val="1"/>
          <w:sz w:val="18"/>
        </w:rPr>
        <w:t xml:space="preserve"> </w:t>
      </w:r>
      <w:r>
        <w:rPr>
          <w:sz w:val="18"/>
        </w:rPr>
        <w:t>Commission,</w:t>
      </w:r>
      <w:r>
        <w:rPr>
          <w:spacing w:val="3"/>
          <w:sz w:val="18"/>
        </w:rPr>
        <w:t xml:space="preserve"> </w:t>
      </w:r>
      <w:r>
        <w:rPr>
          <w:i/>
          <w:sz w:val="18"/>
        </w:rPr>
        <w:t>Annual</w:t>
      </w:r>
      <w:r>
        <w:rPr>
          <w:i/>
          <w:spacing w:val="-1"/>
          <w:sz w:val="18"/>
        </w:rPr>
        <w:t xml:space="preserve"> </w:t>
      </w:r>
      <w:r>
        <w:rPr>
          <w:i/>
          <w:sz w:val="18"/>
        </w:rPr>
        <w:t>Report 2020-</w:t>
      </w:r>
      <w:r>
        <w:rPr>
          <w:i/>
          <w:spacing w:val="-5"/>
          <w:sz w:val="18"/>
        </w:rPr>
        <w:t>21</w:t>
      </w:r>
      <w:r>
        <w:rPr>
          <w:spacing w:val="-5"/>
          <w:sz w:val="18"/>
        </w:rPr>
        <w:t>.</w:t>
      </w:r>
    </w:p>
    <w:p w14:paraId="7CB261F6" w14:textId="77777777" w:rsidR="008A4099" w:rsidRDefault="006A6EE2">
      <w:pPr>
        <w:spacing w:before="23"/>
        <w:ind w:left="160"/>
        <w:rPr>
          <w:sz w:val="18"/>
        </w:rPr>
      </w:pPr>
      <w:r>
        <w:rPr>
          <w:sz w:val="18"/>
          <w:vertAlign w:val="superscript"/>
        </w:rPr>
        <w:t>446</w:t>
      </w:r>
      <w:r>
        <w:rPr>
          <w:spacing w:val="-4"/>
          <w:sz w:val="18"/>
        </w:rPr>
        <w:t xml:space="preserve"> </w:t>
      </w:r>
      <w:r>
        <w:rPr>
          <w:sz w:val="18"/>
        </w:rPr>
        <w:t>Williams</w:t>
      </w:r>
      <w:r>
        <w:rPr>
          <w:spacing w:val="-4"/>
          <w:sz w:val="18"/>
        </w:rPr>
        <w:t xml:space="preserve"> </w:t>
      </w:r>
      <w:r>
        <w:rPr>
          <w:sz w:val="18"/>
        </w:rPr>
        <w:t>and</w:t>
      </w:r>
      <w:r>
        <w:rPr>
          <w:spacing w:val="-5"/>
          <w:sz w:val="18"/>
        </w:rPr>
        <w:t xml:space="preserve"> </w:t>
      </w:r>
      <w:r>
        <w:rPr>
          <w:sz w:val="18"/>
        </w:rPr>
        <w:t>Reynolds,</w:t>
      </w:r>
      <w:r>
        <w:rPr>
          <w:spacing w:val="-5"/>
          <w:sz w:val="18"/>
        </w:rPr>
        <w:t xml:space="preserve"> </w:t>
      </w:r>
      <w:r>
        <w:rPr>
          <w:sz w:val="18"/>
        </w:rPr>
        <w:t>‘The</w:t>
      </w:r>
      <w:r>
        <w:rPr>
          <w:spacing w:val="-6"/>
          <w:sz w:val="18"/>
        </w:rPr>
        <w:t xml:space="preserve"> </w:t>
      </w:r>
      <w:r>
        <w:rPr>
          <w:sz w:val="18"/>
        </w:rPr>
        <w:t>Operation</w:t>
      </w:r>
      <w:r>
        <w:rPr>
          <w:spacing w:val="-2"/>
          <w:sz w:val="18"/>
        </w:rPr>
        <w:t xml:space="preserve"> </w:t>
      </w:r>
      <w:r>
        <w:rPr>
          <w:sz w:val="18"/>
        </w:rPr>
        <w:t>and</w:t>
      </w:r>
      <w:r>
        <w:rPr>
          <w:spacing w:val="-5"/>
          <w:sz w:val="18"/>
        </w:rPr>
        <w:t xml:space="preserve"> </w:t>
      </w:r>
      <w:r>
        <w:rPr>
          <w:sz w:val="18"/>
        </w:rPr>
        <w:t>Impact</w:t>
      </w:r>
      <w:r>
        <w:rPr>
          <w:spacing w:val="-5"/>
          <w:sz w:val="18"/>
        </w:rPr>
        <w:t xml:space="preserve"> </w:t>
      </w:r>
      <w:r>
        <w:rPr>
          <w:sz w:val="18"/>
        </w:rPr>
        <w:t>of</w:t>
      </w:r>
      <w:r>
        <w:rPr>
          <w:spacing w:val="-6"/>
          <w:sz w:val="18"/>
        </w:rPr>
        <w:t xml:space="preserve"> </w:t>
      </w:r>
      <w:r>
        <w:rPr>
          <w:sz w:val="18"/>
        </w:rPr>
        <w:t>Australia’s</w:t>
      </w:r>
      <w:r>
        <w:rPr>
          <w:spacing w:val="-6"/>
          <w:sz w:val="18"/>
        </w:rPr>
        <w:t xml:space="preserve"> </w:t>
      </w:r>
      <w:r>
        <w:rPr>
          <w:sz w:val="18"/>
        </w:rPr>
        <w:t>Parliamentary</w:t>
      </w:r>
      <w:r>
        <w:rPr>
          <w:spacing w:val="-3"/>
          <w:sz w:val="18"/>
        </w:rPr>
        <w:t xml:space="preserve"> </w:t>
      </w:r>
      <w:r>
        <w:rPr>
          <w:sz w:val="18"/>
        </w:rPr>
        <w:t>Scrutiny</w:t>
      </w:r>
      <w:r>
        <w:rPr>
          <w:spacing w:val="-6"/>
          <w:sz w:val="18"/>
        </w:rPr>
        <w:t xml:space="preserve"> </w:t>
      </w:r>
      <w:r>
        <w:rPr>
          <w:sz w:val="18"/>
        </w:rPr>
        <w:t>Regime</w:t>
      </w:r>
      <w:r>
        <w:rPr>
          <w:spacing w:val="-5"/>
          <w:sz w:val="18"/>
        </w:rPr>
        <w:t xml:space="preserve"> </w:t>
      </w:r>
      <w:r>
        <w:rPr>
          <w:sz w:val="18"/>
        </w:rPr>
        <w:t>for</w:t>
      </w:r>
      <w:r>
        <w:rPr>
          <w:spacing w:val="-3"/>
          <w:sz w:val="18"/>
        </w:rPr>
        <w:t xml:space="preserve"> </w:t>
      </w:r>
      <w:r>
        <w:rPr>
          <w:sz w:val="18"/>
        </w:rPr>
        <w:t>Human</w:t>
      </w:r>
      <w:r>
        <w:rPr>
          <w:spacing w:val="-5"/>
          <w:sz w:val="18"/>
        </w:rPr>
        <w:t xml:space="preserve"> </w:t>
      </w:r>
      <w:r>
        <w:rPr>
          <w:sz w:val="18"/>
        </w:rPr>
        <w:t>Rights’</w:t>
      </w:r>
      <w:r>
        <w:rPr>
          <w:spacing w:val="-6"/>
          <w:sz w:val="18"/>
        </w:rPr>
        <w:t xml:space="preserve"> </w:t>
      </w:r>
      <w:r>
        <w:rPr>
          <w:spacing w:val="-4"/>
          <w:sz w:val="18"/>
        </w:rPr>
        <w:t>506.</w:t>
      </w:r>
    </w:p>
    <w:p w14:paraId="7CB261F7" w14:textId="77777777" w:rsidR="008A4099" w:rsidRDefault="006A6EE2">
      <w:pPr>
        <w:spacing w:before="23"/>
        <w:ind w:left="160"/>
        <w:rPr>
          <w:sz w:val="18"/>
        </w:rPr>
      </w:pPr>
      <w:r>
        <w:rPr>
          <w:sz w:val="18"/>
          <w:vertAlign w:val="superscript"/>
        </w:rPr>
        <w:t>447</w:t>
      </w:r>
      <w:r>
        <w:rPr>
          <w:spacing w:val="-1"/>
          <w:sz w:val="18"/>
        </w:rPr>
        <w:t xml:space="preserve"> </w:t>
      </w:r>
      <w:r>
        <w:rPr>
          <w:sz w:val="18"/>
        </w:rPr>
        <w:t>Human</w:t>
      </w:r>
      <w:r>
        <w:rPr>
          <w:spacing w:val="1"/>
          <w:sz w:val="18"/>
        </w:rPr>
        <w:t xml:space="preserve"> </w:t>
      </w:r>
      <w:r>
        <w:rPr>
          <w:sz w:val="18"/>
        </w:rPr>
        <w:t>Rights Watch,</w:t>
      </w:r>
      <w:r>
        <w:rPr>
          <w:spacing w:val="2"/>
          <w:sz w:val="18"/>
        </w:rPr>
        <w:t xml:space="preserve"> </w:t>
      </w:r>
      <w:r>
        <w:rPr>
          <w:i/>
          <w:sz w:val="18"/>
        </w:rPr>
        <w:t>World</w:t>
      </w:r>
      <w:r>
        <w:rPr>
          <w:i/>
          <w:spacing w:val="-1"/>
          <w:sz w:val="18"/>
        </w:rPr>
        <w:t xml:space="preserve"> </w:t>
      </w:r>
      <w:r>
        <w:rPr>
          <w:i/>
          <w:sz w:val="18"/>
        </w:rPr>
        <w:t>Report</w:t>
      </w:r>
      <w:r>
        <w:rPr>
          <w:i/>
          <w:spacing w:val="-2"/>
          <w:sz w:val="18"/>
        </w:rPr>
        <w:t xml:space="preserve"> </w:t>
      </w:r>
      <w:r>
        <w:rPr>
          <w:i/>
          <w:sz w:val="18"/>
        </w:rPr>
        <w:t>2022</w:t>
      </w:r>
      <w:r>
        <w:rPr>
          <w:i/>
          <w:spacing w:val="3"/>
          <w:sz w:val="18"/>
        </w:rPr>
        <w:t xml:space="preserve"> </w:t>
      </w:r>
      <w:r>
        <w:rPr>
          <w:sz w:val="18"/>
        </w:rPr>
        <w:t>(Report, 2022)</w:t>
      </w:r>
      <w:r>
        <w:rPr>
          <w:spacing w:val="-2"/>
          <w:sz w:val="18"/>
        </w:rPr>
        <w:t xml:space="preserve"> </w:t>
      </w:r>
      <w:r>
        <w:rPr>
          <w:sz w:val="18"/>
        </w:rPr>
        <w:t>55</w:t>
      </w:r>
      <w:r>
        <w:rPr>
          <w:spacing w:val="1"/>
          <w:sz w:val="18"/>
        </w:rPr>
        <w:t xml:space="preserve"> </w:t>
      </w:r>
      <w:r>
        <w:rPr>
          <w:sz w:val="18"/>
        </w:rPr>
        <w:t>&lt;https://</w:t>
      </w:r>
      <w:hyperlink r:id="rId153">
        <w:r>
          <w:rPr>
            <w:sz w:val="18"/>
          </w:rPr>
          <w:t>www.hrw.org/world-</w:t>
        </w:r>
        <w:r>
          <w:rPr>
            <w:spacing w:val="-2"/>
            <w:sz w:val="18"/>
          </w:rPr>
          <w:t>report/2022</w:t>
        </w:r>
      </w:hyperlink>
      <w:r>
        <w:rPr>
          <w:spacing w:val="-2"/>
          <w:sz w:val="18"/>
        </w:rPr>
        <w:t>&gt;.</w:t>
      </w:r>
    </w:p>
    <w:p w14:paraId="7CB261F8" w14:textId="77777777" w:rsidR="008A4099" w:rsidRDefault="006A6EE2">
      <w:pPr>
        <w:spacing w:before="21" w:line="244" w:lineRule="auto"/>
        <w:ind w:left="160" w:right="680"/>
        <w:rPr>
          <w:sz w:val="18"/>
        </w:rPr>
      </w:pPr>
      <w:r>
        <w:rPr>
          <w:sz w:val="18"/>
          <w:vertAlign w:val="superscript"/>
        </w:rPr>
        <w:t>448</w:t>
      </w:r>
      <w:r>
        <w:rPr>
          <w:sz w:val="18"/>
        </w:rPr>
        <w:t xml:space="preserve"> These changes were subject to a detailed post-enactment review by the Tasmanian</w:t>
      </w:r>
      <w:r>
        <w:rPr>
          <w:spacing w:val="17"/>
          <w:sz w:val="18"/>
        </w:rPr>
        <w:t xml:space="preserve"> </w:t>
      </w:r>
      <w:r>
        <w:rPr>
          <w:sz w:val="18"/>
        </w:rPr>
        <w:t>Law Reform Institute. TLRI,</w:t>
      </w:r>
      <w:r>
        <w:rPr>
          <w:spacing w:val="18"/>
          <w:sz w:val="18"/>
        </w:rPr>
        <w:t xml:space="preserve"> </w:t>
      </w:r>
      <w:r>
        <w:rPr>
          <w:i/>
          <w:sz w:val="18"/>
        </w:rPr>
        <w:t>Legal</w:t>
      </w:r>
      <w:r>
        <w:rPr>
          <w:i/>
          <w:spacing w:val="40"/>
          <w:sz w:val="18"/>
        </w:rPr>
        <w:t xml:space="preserve"> </w:t>
      </w:r>
      <w:r>
        <w:rPr>
          <w:i/>
          <w:sz w:val="18"/>
        </w:rPr>
        <w:t xml:space="preserve">Recognition of Sex and Gender </w:t>
      </w:r>
      <w:r>
        <w:rPr>
          <w:sz w:val="18"/>
        </w:rPr>
        <w:t>(Final Report No 31, 2020)</w:t>
      </w:r>
    </w:p>
    <w:p w14:paraId="7CB261F9" w14:textId="77777777" w:rsidR="008A4099" w:rsidRDefault="006A6EE2">
      <w:pPr>
        <w:spacing w:line="205" w:lineRule="exact"/>
        <w:ind w:left="160"/>
        <w:rPr>
          <w:sz w:val="18"/>
        </w:rPr>
      </w:pPr>
      <w:r>
        <w:rPr>
          <w:sz w:val="18"/>
        </w:rPr>
        <w:t>&lt;https://</w:t>
      </w:r>
      <w:hyperlink r:id="rId154">
        <w:r>
          <w:rPr>
            <w:sz w:val="18"/>
          </w:rPr>
          <w:t>www.utas.edu.au/</w:t>
        </w:r>
      </w:hyperlink>
      <w:r>
        <w:rPr>
          <w:spacing w:val="36"/>
          <w:sz w:val="18"/>
          <w:u w:val="single"/>
        </w:rPr>
        <w:t xml:space="preserve">  </w:t>
      </w:r>
      <w:r>
        <w:rPr>
          <w:sz w:val="18"/>
        </w:rPr>
        <w:t>data/assets/pdf_file/0018/1342080/tlri-legal-recognition-of-sex-final-</w:t>
      </w:r>
      <w:r>
        <w:rPr>
          <w:spacing w:val="-2"/>
          <w:sz w:val="18"/>
        </w:rPr>
        <w:t>report.pdf&gt;.</w:t>
      </w:r>
    </w:p>
    <w:p w14:paraId="7CB261FA" w14:textId="77777777" w:rsidR="008A4099" w:rsidRDefault="008A4099">
      <w:pPr>
        <w:spacing w:line="205" w:lineRule="exact"/>
        <w:rPr>
          <w:sz w:val="18"/>
        </w:rPr>
        <w:sectPr w:rsidR="008A4099" w:rsidSect="00D43B2D">
          <w:pgSz w:w="11910" w:h="16840"/>
          <w:pgMar w:top="980" w:right="760" w:bottom="940" w:left="1280" w:header="718" w:footer="753" w:gutter="0"/>
          <w:cols w:space="720"/>
        </w:sectPr>
      </w:pPr>
    </w:p>
    <w:p w14:paraId="7CB261FB" w14:textId="77777777" w:rsidR="008A4099" w:rsidRDefault="008A4099">
      <w:pPr>
        <w:pStyle w:val="BodyText"/>
        <w:spacing w:before="194"/>
      </w:pPr>
    </w:p>
    <w:p w14:paraId="7CB261FC" w14:textId="77777777" w:rsidR="008A4099" w:rsidRDefault="006A6EE2">
      <w:pPr>
        <w:pStyle w:val="BodyText"/>
        <w:ind w:left="160" w:right="675"/>
        <w:jc w:val="both"/>
      </w:pPr>
      <w:r>
        <w:t>whether they alter any initial assessment of human rights compatibility. This reflects the views expressed in the 2015 Victorian Review that amendments of a Bill should also have consideration of human</w:t>
      </w:r>
      <w:r>
        <w:rPr>
          <w:spacing w:val="-4"/>
        </w:rPr>
        <w:t xml:space="preserve"> </w:t>
      </w:r>
      <w:r>
        <w:t>rights</w:t>
      </w:r>
      <w:r>
        <w:rPr>
          <w:spacing w:val="-2"/>
        </w:rPr>
        <w:t xml:space="preserve"> </w:t>
      </w:r>
      <w:r>
        <w:t>compatibility</w:t>
      </w:r>
      <w:r>
        <w:rPr>
          <w:spacing w:val="-2"/>
        </w:rPr>
        <w:t xml:space="preserve"> </w:t>
      </w:r>
      <w:r>
        <w:t>to</w:t>
      </w:r>
      <w:r>
        <w:rPr>
          <w:spacing w:val="-2"/>
        </w:rPr>
        <w:t xml:space="preserve"> </w:t>
      </w:r>
      <w:r>
        <w:t>improve human</w:t>
      </w:r>
      <w:r>
        <w:rPr>
          <w:spacing w:val="-2"/>
        </w:rPr>
        <w:t xml:space="preserve"> </w:t>
      </w:r>
      <w:r>
        <w:t>rights scrutiny.</w:t>
      </w:r>
      <w:r>
        <w:rPr>
          <w:position w:val="7"/>
          <w:sz w:val="13"/>
        </w:rPr>
        <w:t>449</w:t>
      </w:r>
      <w:r>
        <w:t>Accordingly,</w:t>
      </w:r>
      <w:r>
        <w:rPr>
          <w:spacing w:val="-3"/>
        </w:rPr>
        <w:t xml:space="preserve"> </w:t>
      </w:r>
      <w:r>
        <w:t>any</w:t>
      </w:r>
      <w:r>
        <w:rPr>
          <w:spacing w:val="-2"/>
        </w:rPr>
        <w:t xml:space="preserve"> </w:t>
      </w:r>
      <w:r>
        <w:t>amendments</w:t>
      </w:r>
      <w:r>
        <w:rPr>
          <w:spacing w:val="-2"/>
        </w:rPr>
        <w:t xml:space="preserve"> </w:t>
      </w:r>
      <w:r>
        <w:t>to Bills made during Parliamentary debate should also be accompanied by further statements of human rights compatibility. Where amendments are introduced and passed in the House of Assembly, the amendments should be referred to the Parliamentary Human Rights Scrutiny Committee for review prior to the amended Bill being introduced in the Legislative Council. This is an addition to the recommendations contained in the 2007 Final Report about the Role of Parliament (Recommendation 10, see Appendix A).</w:t>
      </w:r>
    </w:p>
    <w:p w14:paraId="7CB261FD" w14:textId="77777777" w:rsidR="008A4099" w:rsidRDefault="006A6EE2">
      <w:pPr>
        <w:pStyle w:val="ListParagraph"/>
        <w:numPr>
          <w:ilvl w:val="2"/>
          <w:numId w:val="3"/>
        </w:numPr>
        <w:tabs>
          <w:tab w:val="left" w:pos="879"/>
        </w:tabs>
        <w:ind w:right="673" w:firstLine="0"/>
        <w:jc w:val="both"/>
      </w:pPr>
      <w:r>
        <w:t>Further,</w:t>
      </w:r>
      <w:r>
        <w:rPr>
          <w:spacing w:val="-7"/>
        </w:rPr>
        <w:t xml:space="preserve"> </w:t>
      </w:r>
      <w:r>
        <w:t>on</w:t>
      </w:r>
      <w:r>
        <w:rPr>
          <w:spacing w:val="-7"/>
        </w:rPr>
        <w:t xml:space="preserve"> </w:t>
      </w:r>
      <w:r>
        <w:t>balance</w:t>
      </w:r>
      <w:r>
        <w:rPr>
          <w:spacing w:val="-7"/>
        </w:rPr>
        <w:t xml:space="preserve"> </w:t>
      </w:r>
      <w:r>
        <w:t>and</w:t>
      </w:r>
      <w:r>
        <w:rPr>
          <w:spacing w:val="-7"/>
        </w:rPr>
        <w:t xml:space="preserve"> </w:t>
      </w:r>
      <w:r>
        <w:t>having</w:t>
      </w:r>
      <w:r>
        <w:rPr>
          <w:spacing w:val="-7"/>
        </w:rPr>
        <w:t xml:space="preserve"> </w:t>
      </w:r>
      <w:r>
        <w:t>regard</w:t>
      </w:r>
      <w:r>
        <w:rPr>
          <w:spacing w:val="-7"/>
        </w:rPr>
        <w:t xml:space="preserve"> </w:t>
      </w:r>
      <w:r>
        <w:t>to</w:t>
      </w:r>
      <w:r>
        <w:rPr>
          <w:spacing w:val="-10"/>
        </w:rPr>
        <w:t xml:space="preserve"> </w:t>
      </w:r>
      <w:r>
        <w:t>the</w:t>
      </w:r>
      <w:r>
        <w:rPr>
          <w:spacing w:val="-9"/>
        </w:rPr>
        <w:t xml:space="preserve"> </w:t>
      </w:r>
      <w:r>
        <w:t>size</w:t>
      </w:r>
      <w:r>
        <w:rPr>
          <w:spacing w:val="-7"/>
        </w:rPr>
        <w:t xml:space="preserve"> </w:t>
      </w:r>
      <w:r>
        <w:t>and</w:t>
      </w:r>
      <w:r>
        <w:rPr>
          <w:spacing w:val="-7"/>
        </w:rPr>
        <w:t xml:space="preserve"> </w:t>
      </w:r>
      <w:r>
        <w:t>capacity</w:t>
      </w:r>
      <w:r>
        <w:rPr>
          <w:spacing w:val="-7"/>
        </w:rPr>
        <w:t xml:space="preserve"> </w:t>
      </w:r>
      <w:r>
        <w:t>of</w:t>
      </w:r>
      <w:r>
        <w:rPr>
          <w:spacing w:val="-6"/>
        </w:rPr>
        <w:t xml:space="preserve"> </w:t>
      </w:r>
      <w:r>
        <w:t>the</w:t>
      </w:r>
      <w:r>
        <w:rPr>
          <w:spacing w:val="-7"/>
        </w:rPr>
        <w:t xml:space="preserve"> </w:t>
      </w:r>
      <w:r>
        <w:t>Tasmanian</w:t>
      </w:r>
      <w:r>
        <w:rPr>
          <w:spacing w:val="-9"/>
        </w:rPr>
        <w:t xml:space="preserve"> </w:t>
      </w:r>
      <w:r>
        <w:t>public</w:t>
      </w:r>
      <w:r>
        <w:rPr>
          <w:spacing w:val="-7"/>
        </w:rPr>
        <w:t xml:space="preserve"> </w:t>
      </w:r>
      <w:r>
        <w:t>service, the TLRI adheres to its original view that a dedicated Human Rights Unit should be established</w:t>
      </w:r>
      <w:r>
        <w:rPr>
          <w:position w:val="7"/>
          <w:sz w:val="13"/>
        </w:rPr>
        <w:t>450</w:t>
      </w:r>
      <w:r>
        <w:rPr>
          <w:spacing w:val="33"/>
          <w:position w:val="7"/>
          <w:sz w:val="13"/>
        </w:rPr>
        <w:t xml:space="preserve"> </w:t>
      </w:r>
      <w:r>
        <w:t>to prepare statements of compatibility in consultation with the responsible agencies. Such dialogue will foster human rights discourse across government, while maintaining quality control over these statements. This is consistent with Recommendation 22 of the 2007 Final Report (see Appendix A).</w:t>
      </w:r>
    </w:p>
    <w:p w14:paraId="7CB261FE" w14:textId="77777777" w:rsidR="008A4099" w:rsidRDefault="006A6EE2">
      <w:pPr>
        <w:pStyle w:val="ListParagraph"/>
        <w:numPr>
          <w:ilvl w:val="2"/>
          <w:numId w:val="3"/>
        </w:numPr>
        <w:tabs>
          <w:tab w:val="left" w:pos="879"/>
        </w:tabs>
        <w:spacing w:before="218"/>
        <w:ind w:right="676" w:firstLine="0"/>
        <w:jc w:val="both"/>
      </w:pPr>
      <w:r>
        <w:t>The TLRI notes the recommendation in the Tasmanian Government’s 2010 Directions Paper to establish a Human Rights Advisory Council ‘to provide advice on human rights to all branches of government, and to conduct four-year reviews of the Charter’.</w:t>
      </w:r>
      <w:r>
        <w:rPr>
          <w:position w:val="7"/>
          <w:sz w:val="13"/>
        </w:rPr>
        <w:t>451</w:t>
      </w:r>
      <w:r>
        <w:rPr>
          <w:spacing w:val="40"/>
          <w:position w:val="7"/>
          <w:sz w:val="13"/>
        </w:rPr>
        <w:t xml:space="preserve"> </w:t>
      </w:r>
      <w:r>
        <w:t>The TLRI considers that this role would be performed by the proposed Human Rights Unit but does not oppose the establishment of a separate Advisory Council, if it were preferred to establish a separate body.</w:t>
      </w:r>
    </w:p>
    <w:p w14:paraId="7CB261FF" w14:textId="77777777" w:rsidR="008A4099" w:rsidRDefault="006A6EE2">
      <w:pPr>
        <w:pStyle w:val="ListParagraph"/>
        <w:numPr>
          <w:ilvl w:val="2"/>
          <w:numId w:val="3"/>
        </w:numPr>
        <w:tabs>
          <w:tab w:val="left" w:pos="879"/>
        </w:tabs>
        <w:spacing w:before="214"/>
        <w:ind w:right="680" w:firstLine="0"/>
        <w:jc w:val="both"/>
      </w:pPr>
      <w:r>
        <w:t>Whether</w:t>
      </w:r>
      <w:r>
        <w:rPr>
          <w:spacing w:val="-14"/>
        </w:rPr>
        <w:t xml:space="preserve"> </w:t>
      </w:r>
      <w:r>
        <w:t>or</w:t>
      </w:r>
      <w:r>
        <w:rPr>
          <w:spacing w:val="-14"/>
        </w:rPr>
        <w:t xml:space="preserve"> </w:t>
      </w:r>
      <w:r>
        <w:t>not</w:t>
      </w:r>
      <w:r>
        <w:rPr>
          <w:spacing w:val="-14"/>
        </w:rPr>
        <w:t xml:space="preserve"> </w:t>
      </w:r>
      <w:r>
        <w:t>a</w:t>
      </w:r>
      <w:r>
        <w:rPr>
          <w:spacing w:val="-13"/>
        </w:rPr>
        <w:t xml:space="preserve"> </w:t>
      </w:r>
      <w:r>
        <w:t>separate</w:t>
      </w:r>
      <w:r>
        <w:rPr>
          <w:spacing w:val="-14"/>
        </w:rPr>
        <w:t xml:space="preserve"> </w:t>
      </w:r>
      <w:r>
        <w:t>advisory</w:t>
      </w:r>
      <w:r>
        <w:rPr>
          <w:spacing w:val="-14"/>
        </w:rPr>
        <w:t xml:space="preserve"> </w:t>
      </w:r>
      <w:r>
        <w:t>council</w:t>
      </w:r>
      <w:r>
        <w:rPr>
          <w:spacing w:val="-14"/>
        </w:rPr>
        <w:t xml:space="preserve"> </w:t>
      </w:r>
      <w:r>
        <w:t>is</w:t>
      </w:r>
      <w:r>
        <w:rPr>
          <w:spacing w:val="-13"/>
        </w:rPr>
        <w:t xml:space="preserve"> </w:t>
      </w:r>
      <w:r>
        <w:t>established,</w:t>
      </w:r>
      <w:r>
        <w:rPr>
          <w:spacing w:val="-14"/>
        </w:rPr>
        <w:t xml:space="preserve"> </w:t>
      </w:r>
      <w:r>
        <w:t>the</w:t>
      </w:r>
      <w:r>
        <w:rPr>
          <w:spacing w:val="-14"/>
        </w:rPr>
        <w:t xml:space="preserve"> </w:t>
      </w:r>
      <w:r>
        <w:t>TLRI</w:t>
      </w:r>
      <w:r>
        <w:rPr>
          <w:spacing w:val="-14"/>
        </w:rPr>
        <w:t xml:space="preserve"> </w:t>
      </w:r>
      <w:r>
        <w:t>recommends</w:t>
      </w:r>
      <w:r>
        <w:rPr>
          <w:spacing w:val="-13"/>
        </w:rPr>
        <w:t xml:space="preserve"> </w:t>
      </w:r>
      <w:r>
        <w:t>that</w:t>
      </w:r>
      <w:r>
        <w:rPr>
          <w:spacing w:val="-14"/>
        </w:rPr>
        <w:t xml:space="preserve"> </w:t>
      </w:r>
      <w:r>
        <w:t>guidelines be developed for identifying and assessing human rights implications of proposed legislation. This is consistent with Recommendation 22 of the TLRI 2007 Final Report (see Appendix A).</w:t>
      </w:r>
    </w:p>
    <w:p w14:paraId="7CB26200" w14:textId="77777777" w:rsidR="008A4099" w:rsidRDefault="006A6EE2">
      <w:pPr>
        <w:pStyle w:val="ListParagraph"/>
        <w:numPr>
          <w:ilvl w:val="2"/>
          <w:numId w:val="3"/>
        </w:numPr>
        <w:tabs>
          <w:tab w:val="left" w:pos="879"/>
        </w:tabs>
        <w:spacing w:before="219" w:line="237" w:lineRule="auto"/>
        <w:ind w:right="681" w:firstLine="0"/>
        <w:jc w:val="both"/>
      </w:pPr>
      <w:r>
        <w:t>In addition, any amendments to Bills made during Parliamentary debate should also be accompanied by further statements of human rights compatibility.</w:t>
      </w:r>
    </w:p>
    <w:p w14:paraId="7CB26201" w14:textId="77777777" w:rsidR="008A4099" w:rsidRDefault="006A6EE2">
      <w:pPr>
        <w:pStyle w:val="ListParagraph"/>
        <w:numPr>
          <w:ilvl w:val="2"/>
          <w:numId w:val="3"/>
        </w:numPr>
        <w:tabs>
          <w:tab w:val="left" w:pos="879"/>
        </w:tabs>
        <w:spacing w:before="218"/>
        <w:ind w:right="680" w:firstLine="0"/>
        <w:jc w:val="both"/>
      </w:pPr>
      <w:r>
        <w:t>Further, where amendments are introduced and passed in the House of Assembly, the amendments should be referred to the Parliamentary Human Rights Scrutiny Committee for review prior to the amended Bill being introduced in the Legislative Council.</w:t>
      </w:r>
    </w:p>
    <w:p w14:paraId="7CB26202" w14:textId="77777777" w:rsidR="008A4099" w:rsidRDefault="006A6EE2">
      <w:pPr>
        <w:pStyle w:val="BodyText"/>
        <w:spacing w:before="10"/>
        <w:rPr>
          <w:sz w:val="16"/>
        </w:rPr>
      </w:pPr>
      <w:r>
        <w:rPr>
          <w:noProof/>
        </w:rPr>
        <mc:AlternateContent>
          <mc:Choice Requires="wps">
            <w:drawing>
              <wp:anchor distT="0" distB="0" distL="0" distR="0" simplePos="0" relativeHeight="487628288" behindDoc="1" locked="0" layoutInCell="1" allowOverlap="1" wp14:anchorId="7CB26677" wp14:editId="7CB26678">
                <wp:simplePos x="0" y="0"/>
                <wp:positionH relativeFrom="page">
                  <wp:posOffset>914704</wp:posOffset>
                </wp:positionH>
                <wp:positionV relativeFrom="paragraph">
                  <wp:posOffset>138621</wp:posOffset>
                </wp:positionV>
                <wp:extent cx="5727065" cy="1814195"/>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814195"/>
                        </a:xfrm>
                        <a:prstGeom prst="rect">
                          <a:avLst/>
                        </a:prstGeom>
                        <a:solidFill>
                          <a:srgbClr val="E8E8E8"/>
                        </a:solidFill>
                      </wps:spPr>
                      <wps:txbx>
                        <w:txbxContent>
                          <w:p w14:paraId="7CB26779" w14:textId="77777777" w:rsidR="008A4099" w:rsidRDefault="006A6EE2">
                            <w:pPr>
                              <w:spacing w:before="219"/>
                              <w:ind w:left="108"/>
                              <w:rPr>
                                <w:b/>
                                <w:color w:val="000000"/>
                                <w:sz w:val="23"/>
                              </w:rPr>
                            </w:pPr>
                            <w:r>
                              <w:rPr>
                                <w:b/>
                                <w:color w:val="000000"/>
                                <w:sz w:val="23"/>
                              </w:rPr>
                              <w:t>Recommendation</w:t>
                            </w:r>
                            <w:r>
                              <w:rPr>
                                <w:b/>
                                <w:color w:val="000000"/>
                                <w:spacing w:val="-3"/>
                                <w:sz w:val="23"/>
                              </w:rPr>
                              <w:t xml:space="preserve"> </w:t>
                            </w:r>
                            <w:r>
                              <w:rPr>
                                <w:b/>
                                <w:color w:val="000000"/>
                                <w:sz w:val="23"/>
                              </w:rPr>
                              <w:t>8</w:t>
                            </w:r>
                            <w:r>
                              <w:rPr>
                                <w:b/>
                                <w:color w:val="000000"/>
                                <w:spacing w:val="-2"/>
                                <w:sz w:val="23"/>
                              </w:rPr>
                              <w:t xml:space="preserve"> </w:t>
                            </w:r>
                            <w:r>
                              <w:rPr>
                                <w:b/>
                                <w:color w:val="000000"/>
                                <w:sz w:val="23"/>
                              </w:rPr>
                              <w:t>–</w:t>
                            </w:r>
                            <w:r>
                              <w:rPr>
                                <w:b/>
                                <w:color w:val="000000"/>
                                <w:spacing w:val="-1"/>
                                <w:sz w:val="23"/>
                              </w:rPr>
                              <w:t xml:space="preserve"> </w:t>
                            </w:r>
                            <w:r>
                              <w:rPr>
                                <w:b/>
                                <w:color w:val="000000"/>
                                <w:sz w:val="23"/>
                              </w:rPr>
                              <w:t>Statements</w:t>
                            </w:r>
                            <w:r>
                              <w:rPr>
                                <w:b/>
                                <w:color w:val="000000"/>
                                <w:spacing w:val="-3"/>
                                <w:sz w:val="23"/>
                              </w:rPr>
                              <w:t xml:space="preserve"> </w:t>
                            </w:r>
                            <w:r>
                              <w:rPr>
                                <w:b/>
                                <w:color w:val="000000"/>
                                <w:sz w:val="23"/>
                              </w:rPr>
                              <w:t>of</w:t>
                            </w:r>
                            <w:r>
                              <w:rPr>
                                <w:b/>
                                <w:color w:val="000000"/>
                                <w:spacing w:val="-1"/>
                                <w:sz w:val="23"/>
                              </w:rPr>
                              <w:t xml:space="preserve"> </w:t>
                            </w:r>
                            <w:r>
                              <w:rPr>
                                <w:b/>
                                <w:color w:val="000000"/>
                                <w:spacing w:val="-2"/>
                                <w:sz w:val="23"/>
                              </w:rPr>
                              <w:t>Compatibility</w:t>
                            </w:r>
                          </w:p>
                          <w:p w14:paraId="7CB2677A" w14:textId="77777777" w:rsidR="008A4099" w:rsidRDefault="006A6EE2">
                            <w:pPr>
                              <w:pStyle w:val="BodyText"/>
                              <w:spacing w:before="239"/>
                              <w:ind w:left="108" w:right="700"/>
                              <w:rPr>
                                <w:color w:val="000000"/>
                              </w:rPr>
                            </w:pPr>
                            <w:r>
                              <w:rPr>
                                <w:color w:val="000000"/>
                              </w:rPr>
                              <w:t>That statements of compatibility accompany all Bills and amendments to Bills introduced into Parliament.</w:t>
                            </w:r>
                          </w:p>
                          <w:p w14:paraId="7CB2677B" w14:textId="77777777" w:rsidR="008A4099" w:rsidRDefault="006A6EE2">
                            <w:pPr>
                              <w:pStyle w:val="BodyText"/>
                              <w:spacing w:before="121"/>
                              <w:ind w:left="108" w:right="116"/>
                              <w:rPr>
                                <w:color w:val="000000"/>
                              </w:rPr>
                            </w:pPr>
                            <w:r>
                              <w:rPr>
                                <w:color w:val="000000"/>
                              </w:rPr>
                              <w:t>In</w:t>
                            </w:r>
                            <w:r>
                              <w:rPr>
                                <w:color w:val="000000"/>
                                <w:spacing w:val="-15"/>
                              </w:rPr>
                              <w:t xml:space="preserve"> </w:t>
                            </w:r>
                            <w:r>
                              <w:rPr>
                                <w:color w:val="000000"/>
                              </w:rPr>
                              <w:t>addition,</w:t>
                            </w:r>
                            <w:r>
                              <w:rPr>
                                <w:color w:val="000000"/>
                                <w:spacing w:val="-15"/>
                              </w:rPr>
                              <w:t xml:space="preserve"> </w:t>
                            </w:r>
                            <w:r>
                              <w:rPr>
                                <w:color w:val="000000"/>
                              </w:rPr>
                              <w:t>any</w:t>
                            </w:r>
                            <w:r>
                              <w:rPr>
                                <w:color w:val="000000"/>
                                <w:spacing w:val="-15"/>
                              </w:rPr>
                              <w:t xml:space="preserve"> </w:t>
                            </w:r>
                            <w:r>
                              <w:rPr>
                                <w:color w:val="000000"/>
                              </w:rPr>
                              <w:t>amendments</w:t>
                            </w:r>
                            <w:r>
                              <w:rPr>
                                <w:color w:val="000000"/>
                                <w:spacing w:val="-14"/>
                              </w:rPr>
                              <w:t xml:space="preserve"> </w:t>
                            </w:r>
                            <w:r>
                              <w:rPr>
                                <w:color w:val="000000"/>
                              </w:rPr>
                              <w:t>to</w:t>
                            </w:r>
                            <w:r>
                              <w:rPr>
                                <w:color w:val="000000"/>
                                <w:spacing w:val="-15"/>
                              </w:rPr>
                              <w:t xml:space="preserve"> </w:t>
                            </w:r>
                            <w:r>
                              <w:rPr>
                                <w:color w:val="000000"/>
                              </w:rPr>
                              <w:t>Bills</w:t>
                            </w:r>
                            <w:r>
                              <w:rPr>
                                <w:color w:val="000000"/>
                                <w:spacing w:val="-14"/>
                              </w:rPr>
                              <w:t xml:space="preserve"> </w:t>
                            </w:r>
                            <w:r>
                              <w:rPr>
                                <w:color w:val="000000"/>
                              </w:rPr>
                              <w:t>made</w:t>
                            </w:r>
                            <w:r>
                              <w:rPr>
                                <w:color w:val="000000"/>
                                <w:spacing w:val="-14"/>
                              </w:rPr>
                              <w:t xml:space="preserve"> </w:t>
                            </w:r>
                            <w:r>
                              <w:rPr>
                                <w:color w:val="000000"/>
                              </w:rPr>
                              <w:t>during</w:t>
                            </w:r>
                            <w:r>
                              <w:rPr>
                                <w:color w:val="000000"/>
                                <w:spacing w:val="-15"/>
                              </w:rPr>
                              <w:t xml:space="preserve"> </w:t>
                            </w:r>
                            <w:r>
                              <w:rPr>
                                <w:color w:val="000000"/>
                              </w:rPr>
                              <w:t>Parliamentary</w:t>
                            </w:r>
                            <w:r>
                              <w:rPr>
                                <w:color w:val="000000"/>
                                <w:spacing w:val="-15"/>
                              </w:rPr>
                              <w:t xml:space="preserve"> </w:t>
                            </w:r>
                            <w:r>
                              <w:rPr>
                                <w:color w:val="000000"/>
                              </w:rPr>
                              <w:t>debate</w:t>
                            </w:r>
                            <w:r>
                              <w:rPr>
                                <w:color w:val="000000"/>
                                <w:spacing w:val="-14"/>
                              </w:rPr>
                              <w:t xml:space="preserve"> </w:t>
                            </w:r>
                            <w:r>
                              <w:rPr>
                                <w:color w:val="000000"/>
                              </w:rPr>
                              <w:t>should</w:t>
                            </w:r>
                            <w:r>
                              <w:rPr>
                                <w:color w:val="000000"/>
                                <w:spacing w:val="-15"/>
                              </w:rPr>
                              <w:t xml:space="preserve"> </w:t>
                            </w:r>
                            <w:r>
                              <w:rPr>
                                <w:color w:val="000000"/>
                              </w:rPr>
                              <w:t>also</w:t>
                            </w:r>
                            <w:r>
                              <w:rPr>
                                <w:color w:val="000000"/>
                                <w:spacing w:val="-17"/>
                              </w:rPr>
                              <w:t xml:space="preserve"> </w:t>
                            </w:r>
                            <w:r>
                              <w:rPr>
                                <w:color w:val="000000"/>
                              </w:rPr>
                              <w:t>be</w:t>
                            </w:r>
                            <w:r>
                              <w:rPr>
                                <w:color w:val="000000"/>
                                <w:spacing w:val="-14"/>
                              </w:rPr>
                              <w:t xml:space="preserve"> </w:t>
                            </w:r>
                            <w:r>
                              <w:rPr>
                                <w:color w:val="000000"/>
                              </w:rPr>
                              <w:t>accompanied by further statements of human rights compatibility.</w:t>
                            </w:r>
                          </w:p>
                          <w:p w14:paraId="7CB2677C" w14:textId="77777777" w:rsidR="008A4099" w:rsidRDefault="006A6EE2">
                            <w:pPr>
                              <w:pStyle w:val="BodyText"/>
                              <w:spacing w:before="118" w:line="242" w:lineRule="auto"/>
                              <w:ind w:left="108" w:right="224"/>
                              <w:jc w:val="both"/>
                              <w:rPr>
                                <w:color w:val="000000"/>
                              </w:rPr>
                            </w:pPr>
                            <w:r>
                              <w:rPr>
                                <w:color w:val="000000"/>
                              </w:rPr>
                              <w:t>Further,</w:t>
                            </w:r>
                            <w:r>
                              <w:rPr>
                                <w:color w:val="000000"/>
                                <w:spacing w:val="-2"/>
                              </w:rPr>
                              <w:t xml:space="preserve"> </w:t>
                            </w:r>
                            <w:r>
                              <w:rPr>
                                <w:color w:val="000000"/>
                              </w:rPr>
                              <w:t>where</w:t>
                            </w:r>
                            <w:r>
                              <w:rPr>
                                <w:color w:val="000000"/>
                                <w:spacing w:val="-2"/>
                              </w:rPr>
                              <w:t xml:space="preserve"> </w:t>
                            </w:r>
                            <w:r>
                              <w:rPr>
                                <w:color w:val="000000"/>
                              </w:rPr>
                              <w:t>amendments</w:t>
                            </w:r>
                            <w:r>
                              <w:rPr>
                                <w:color w:val="000000"/>
                                <w:spacing w:val="-2"/>
                              </w:rPr>
                              <w:t xml:space="preserve"> </w:t>
                            </w:r>
                            <w:r>
                              <w:rPr>
                                <w:color w:val="000000"/>
                              </w:rPr>
                              <w:t>are</w:t>
                            </w:r>
                            <w:r>
                              <w:rPr>
                                <w:color w:val="000000"/>
                                <w:spacing w:val="-4"/>
                              </w:rPr>
                              <w:t xml:space="preserve"> </w:t>
                            </w:r>
                            <w:r>
                              <w:rPr>
                                <w:color w:val="000000"/>
                              </w:rPr>
                              <w:t>introduced</w:t>
                            </w:r>
                            <w:r>
                              <w:rPr>
                                <w:color w:val="000000"/>
                                <w:spacing w:val="-5"/>
                              </w:rPr>
                              <w:t xml:space="preserve"> </w:t>
                            </w:r>
                            <w:r>
                              <w:rPr>
                                <w:color w:val="000000"/>
                              </w:rPr>
                              <w:t>and</w:t>
                            </w:r>
                            <w:r>
                              <w:rPr>
                                <w:color w:val="000000"/>
                                <w:spacing w:val="-2"/>
                              </w:rPr>
                              <w:t xml:space="preserve"> </w:t>
                            </w:r>
                            <w:r>
                              <w:rPr>
                                <w:color w:val="000000"/>
                              </w:rPr>
                              <w:t>passed</w:t>
                            </w:r>
                            <w:r>
                              <w:rPr>
                                <w:color w:val="000000"/>
                                <w:spacing w:val="-4"/>
                              </w:rPr>
                              <w:t xml:space="preserve"> </w:t>
                            </w:r>
                            <w:r>
                              <w:rPr>
                                <w:color w:val="000000"/>
                              </w:rPr>
                              <w:t>in</w:t>
                            </w:r>
                            <w:r>
                              <w:rPr>
                                <w:color w:val="000000"/>
                                <w:spacing w:val="-2"/>
                              </w:rPr>
                              <w:t xml:space="preserve"> </w:t>
                            </w:r>
                            <w:r>
                              <w:rPr>
                                <w:color w:val="000000"/>
                              </w:rPr>
                              <w:t>the</w:t>
                            </w:r>
                            <w:r>
                              <w:rPr>
                                <w:color w:val="000000"/>
                                <w:spacing w:val="-2"/>
                              </w:rPr>
                              <w:t xml:space="preserve"> </w:t>
                            </w:r>
                            <w:r>
                              <w:rPr>
                                <w:color w:val="000000"/>
                              </w:rPr>
                              <w:t>House</w:t>
                            </w:r>
                            <w:r>
                              <w:rPr>
                                <w:color w:val="000000"/>
                                <w:spacing w:val="-2"/>
                              </w:rPr>
                              <w:t xml:space="preserve"> </w:t>
                            </w:r>
                            <w:r>
                              <w:rPr>
                                <w:color w:val="000000"/>
                              </w:rPr>
                              <w:t>of</w:t>
                            </w:r>
                            <w:r>
                              <w:rPr>
                                <w:color w:val="000000"/>
                                <w:spacing w:val="-2"/>
                              </w:rPr>
                              <w:t xml:space="preserve"> </w:t>
                            </w:r>
                            <w:r>
                              <w:rPr>
                                <w:color w:val="000000"/>
                              </w:rPr>
                              <w:t>Assembly,</w:t>
                            </w:r>
                            <w:r>
                              <w:rPr>
                                <w:color w:val="000000"/>
                                <w:spacing w:val="-5"/>
                              </w:rPr>
                              <w:t xml:space="preserve"> </w:t>
                            </w:r>
                            <w:r>
                              <w:rPr>
                                <w:color w:val="000000"/>
                              </w:rPr>
                              <w:t>the</w:t>
                            </w:r>
                            <w:r>
                              <w:rPr>
                                <w:color w:val="000000"/>
                                <w:spacing w:val="-2"/>
                              </w:rPr>
                              <w:t xml:space="preserve"> </w:t>
                            </w:r>
                            <w:r>
                              <w:rPr>
                                <w:color w:val="000000"/>
                              </w:rPr>
                              <w:t>amendments should be referred to the Parliamentary Human Rights Scrutiny Committee for review prior to the amended Bill being introduced in the Legislative Council.</w:t>
                            </w:r>
                          </w:p>
                        </w:txbxContent>
                      </wps:txbx>
                      <wps:bodyPr wrap="square" lIns="0" tIns="0" rIns="0" bIns="0" rtlCol="0">
                        <a:noAutofit/>
                      </wps:bodyPr>
                    </wps:wsp>
                  </a:graphicData>
                </a:graphic>
              </wp:anchor>
            </w:drawing>
          </mc:Choice>
          <mc:Fallback>
            <w:pict>
              <v:shape w14:anchorId="7CB26677" id="Textbox 127" o:spid="_x0000_s1034" type="#_x0000_t202" style="position:absolute;margin-left:1in;margin-top:10.9pt;width:450.95pt;height:142.85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" fillcolor="#e8e8e8" stroked="f">
                <v:textbox inset="0,0,0,0">
                  <w:txbxContent>
                    <w:p w14:paraId="7CB26779" w14:textId="77777777" w:rsidR="008A4099" w:rsidRDefault="006A6EE2">
                      <w:pPr>
                        <w:spacing w:before="219"/>
                        <w:ind w:left="108"/>
                        <w:rPr>
                          <w:b/>
                          <w:color w:val="000000"/>
                          <w:sz w:val="23"/>
                        </w:rPr>
                      </w:pPr>
                      <w:r>
                        <w:rPr>
                          <w:b/>
                          <w:color w:val="000000"/>
                          <w:sz w:val="23"/>
                        </w:rPr>
                        <w:t>Recommendation</w:t>
                      </w:r>
                      <w:r>
                        <w:rPr>
                          <w:b/>
                          <w:color w:val="000000"/>
                          <w:spacing w:val="-3"/>
                          <w:sz w:val="23"/>
                        </w:rPr>
                        <w:t xml:space="preserve"> </w:t>
                      </w:r>
                      <w:r>
                        <w:rPr>
                          <w:b/>
                          <w:color w:val="000000"/>
                          <w:sz w:val="23"/>
                        </w:rPr>
                        <w:t>8</w:t>
                      </w:r>
                      <w:r>
                        <w:rPr>
                          <w:b/>
                          <w:color w:val="000000"/>
                          <w:spacing w:val="-2"/>
                          <w:sz w:val="23"/>
                        </w:rPr>
                        <w:t xml:space="preserve"> </w:t>
                      </w:r>
                      <w:r>
                        <w:rPr>
                          <w:b/>
                          <w:color w:val="000000"/>
                          <w:sz w:val="23"/>
                        </w:rPr>
                        <w:t>–</w:t>
                      </w:r>
                      <w:r>
                        <w:rPr>
                          <w:b/>
                          <w:color w:val="000000"/>
                          <w:spacing w:val="-1"/>
                          <w:sz w:val="23"/>
                        </w:rPr>
                        <w:t xml:space="preserve"> </w:t>
                      </w:r>
                      <w:r>
                        <w:rPr>
                          <w:b/>
                          <w:color w:val="000000"/>
                          <w:sz w:val="23"/>
                        </w:rPr>
                        <w:t>Statements</w:t>
                      </w:r>
                      <w:r>
                        <w:rPr>
                          <w:b/>
                          <w:color w:val="000000"/>
                          <w:spacing w:val="-3"/>
                          <w:sz w:val="23"/>
                        </w:rPr>
                        <w:t xml:space="preserve"> </w:t>
                      </w:r>
                      <w:r>
                        <w:rPr>
                          <w:b/>
                          <w:color w:val="000000"/>
                          <w:sz w:val="23"/>
                        </w:rPr>
                        <w:t>of</w:t>
                      </w:r>
                      <w:r>
                        <w:rPr>
                          <w:b/>
                          <w:color w:val="000000"/>
                          <w:spacing w:val="-1"/>
                          <w:sz w:val="23"/>
                        </w:rPr>
                        <w:t xml:space="preserve"> </w:t>
                      </w:r>
                      <w:r>
                        <w:rPr>
                          <w:b/>
                          <w:color w:val="000000"/>
                          <w:spacing w:val="-2"/>
                          <w:sz w:val="23"/>
                        </w:rPr>
                        <w:t>Compatibility</w:t>
                      </w:r>
                    </w:p>
                    <w:p w14:paraId="7CB2677A" w14:textId="77777777" w:rsidR="008A4099" w:rsidRDefault="006A6EE2">
                      <w:pPr>
                        <w:pStyle w:val="BodyText"/>
                        <w:spacing w:before="239"/>
                        <w:ind w:left="108" w:right="700"/>
                        <w:rPr>
                          <w:color w:val="000000"/>
                        </w:rPr>
                      </w:pPr>
                      <w:r>
                        <w:rPr>
                          <w:color w:val="000000"/>
                        </w:rPr>
                        <w:t>That statements of compatibility accompany all Bills and amendments to Bills introduced into Parliament.</w:t>
                      </w:r>
                    </w:p>
                    <w:p w14:paraId="7CB2677B" w14:textId="77777777" w:rsidR="008A4099" w:rsidRDefault="006A6EE2">
                      <w:pPr>
                        <w:pStyle w:val="BodyText"/>
                        <w:spacing w:before="121"/>
                        <w:ind w:left="108" w:right="116"/>
                        <w:rPr>
                          <w:color w:val="000000"/>
                        </w:rPr>
                      </w:pPr>
                      <w:r>
                        <w:rPr>
                          <w:color w:val="000000"/>
                        </w:rPr>
                        <w:t>In</w:t>
                      </w:r>
                      <w:r>
                        <w:rPr>
                          <w:color w:val="000000"/>
                          <w:spacing w:val="-15"/>
                        </w:rPr>
                        <w:t xml:space="preserve"> </w:t>
                      </w:r>
                      <w:r>
                        <w:rPr>
                          <w:color w:val="000000"/>
                        </w:rPr>
                        <w:t>addition,</w:t>
                      </w:r>
                      <w:r>
                        <w:rPr>
                          <w:color w:val="000000"/>
                          <w:spacing w:val="-15"/>
                        </w:rPr>
                        <w:t xml:space="preserve"> </w:t>
                      </w:r>
                      <w:r>
                        <w:rPr>
                          <w:color w:val="000000"/>
                        </w:rPr>
                        <w:t>any</w:t>
                      </w:r>
                      <w:r>
                        <w:rPr>
                          <w:color w:val="000000"/>
                          <w:spacing w:val="-15"/>
                        </w:rPr>
                        <w:t xml:space="preserve"> </w:t>
                      </w:r>
                      <w:r>
                        <w:rPr>
                          <w:color w:val="000000"/>
                        </w:rPr>
                        <w:t>amendments</w:t>
                      </w:r>
                      <w:r>
                        <w:rPr>
                          <w:color w:val="000000"/>
                          <w:spacing w:val="-14"/>
                        </w:rPr>
                        <w:t xml:space="preserve"> </w:t>
                      </w:r>
                      <w:r>
                        <w:rPr>
                          <w:color w:val="000000"/>
                        </w:rPr>
                        <w:t>to</w:t>
                      </w:r>
                      <w:r>
                        <w:rPr>
                          <w:color w:val="000000"/>
                          <w:spacing w:val="-15"/>
                        </w:rPr>
                        <w:t xml:space="preserve"> </w:t>
                      </w:r>
                      <w:r>
                        <w:rPr>
                          <w:color w:val="000000"/>
                        </w:rPr>
                        <w:t>Bills</w:t>
                      </w:r>
                      <w:r>
                        <w:rPr>
                          <w:color w:val="000000"/>
                          <w:spacing w:val="-14"/>
                        </w:rPr>
                        <w:t xml:space="preserve"> </w:t>
                      </w:r>
                      <w:r>
                        <w:rPr>
                          <w:color w:val="000000"/>
                        </w:rPr>
                        <w:t>made</w:t>
                      </w:r>
                      <w:r>
                        <w:rPr>
                          <w:color w:val="000000"/>
                          <w:spacing w:val="-14"/>
                        </w:rPr>
                        <w:t xml:space="preserve"> </w:t>
                      </w:r>
                      <w:r>
                        <w:rPr>
                          <w:color w:val="000000"/>
                        </w:rPr>
                        <w:t>during</w:t>
                      </w:r>
                      <w:r>
                        <w:rPr>
                          <w:color w:val="000000"/>
                          <w:spacing w:val="-15"/>
                        </w:rPr>
                        <w:t xml:space="preserve"> </w:t>
                      </w:r>
                      <w:r>
                        <w:rPr>
                          <w:color w:val="000000"/>
                        </w:rPr>
                        <w:t>Parliamentary</w:t>
                      </w:r>
                      <w:r>
                        <w:rPr>
                          <w:color w:val="000000"/>
                          <w:spacing w:val="-15"/>
                        </w:rPr>
                        <w:t xml:space="preserve"> </w:t>
                      </w:r>
                      <w:r>
                        <w:rPr>
                          <w:color w:val="000000"/>
                        </w:rPr>
                        <w:t>debate</w:t>
                      </w:r>
                      <w:r>
                        <w:rPr>
                          <w:color w:val="000000"/>
                          <w:spacing w:val="-14"/>
                        </w:rPr>
                        <w:t xml:space="preserve"> </w:t>
                      </w:r>
                      <w:r>
                        <w:rPr>
                          <w:color w:val="000000"/>
                        </w:rPr>
                        <w:t>should</w:t>
                      </w:r>
                      <w:r>
                        <w:rPr>
                          <w:color w:val="000000"/>
                          <w:spacing w:val="-15"/>
                        </w:rPr>
                        <w:t xml:space="preserve"> </w:t>
                      </w:r>
                      <w:r>
                        <w:rPr>
                          <w:color w:val="000000"/>
                        </w:rPr>
                        <w:t>also</w:t>
                      </w:r>
                      <w:r>
                        <w:rPr>
                          <w:color w:val="000000"/>
                          <w:spacing w:val="-17"/>
                        </w:rPr>
                        <w:t xml:space="preserve"> </w:t>
                      </w:r>
                      <w:r>
                        <w:rPr>
                          <w:color w:val="000000"/>
                        </w:rPr>
                        <w:t>be</w:t>
                      </w:r>
                      <w:r>
                        <w:rPr>
                          <w:color w:val="000000"/>
                          <w:spacing w:val="-14"/>
                        </w:rPr>
                        <w:t xml:space="preserve"> </w:t>
                      </w:r>
                      <w:r>
                        <w:rPr>
                          <w:color w:val="000000"/>
                        </w:rPr>
                        <w:t>accompanied by further statements of human rights compatibility.</w:t>
                      </w:r>
                    </w:p>
                    <w:p w14:paraId="7CB2677C" w14:textId="77777777" w:rsidR="008A4099" w:rsidRDefault="006A6EE2">
                      <w:pPr>
                        <w:pStyle w:val="BodyText"/>
                        <w:spacing w:before="118" w:line="242" w:lineRule="auto"/>
                        <w:ind w:left="108" w:right="224"/>
                        <w:jc w:val="both"/>
                        <w:rPr>
                          <w:color w:val="000000"/>
                        </w:rPr>
                      </w:pPr>
                      <w:r>
                        <w:rPr>
                          <w:color w:val="000000"/>
                        </w:rPr>
                        <w:t>Further,</w:t>
                      </w:r>
                      <w:r>
                        <w:rPr>
                          <w:color w:val="000000"/>
                          <w:spacing w:val="-2"/>
                        </w:rPr>
                        <w:t xml:space="preserve"> </w:t>
                      </w:r>
                      <w:r>
                        <w:rPr>
                          <w:color w:val="000000"/>
                        </w:rPr>
                        <w:t>where</w:t>
                      </w:r>
                      <w:r>
                        <w:rPr>
                          <w:color w:val="000000"/>
                          <w:spacing w:val="-2"/>
                        </w:rPr>
                        <w:t xml:space="preserve"> </w:t>
                      </w:r>
                      <w:r>
                        <w:rPr>
                          <w:color w:val="000000"/>
                        </w:rPr>
                        <w:t>amendments</w:t>
                      </w:r>
                      <w:r>
                        <w:rPr>
                          <w:color w:val="000000"/>
                          <w:spacing w:val="-2"/>
                        </w:rPr>
                        <w:t xml:space="preserve"> </w:t>
                      </w:r>
                      <w:r>
                        <w:rPr>
                          <w:color w:val="000000"/>
                        </w:rPr>
                        <w:t>are</w:t>
                      </w:r>
                      <w:r>
                        <w:rPr>
                          <w:color w:val="000000"/>
                          <w:spacing w:val="-4"/>
                        </w:rPr>
                        <w:t xml:space="preserve"> </w:t>
                      </w:r>
                      <w:r>
                        <w:rPr>
                          <w:color w:val="000000"/>
                        </w:rPr>
                        <w:t>introduced</w:t>
                      </w:r>
                      <w:r>
                        <w:rPr>
                          <w:color w:val="000000"/>
                          <w:spacing w:val="-5"/>
                        </w:rPr>
                        <w:t xml:space="preserve"> </w:t>
                      </w:r>
                      <w:r>
                        <w:rPr>
                          <w:color w:val="000000"/>
                        </w:rPr>
                        <w:t>and</w:t>
                      </w:r>
                      <w:r>
                        <w:rPr>
                          <w:color w:val="000000"/>
                          <w:spacing w:val="-2"/>
                        </w:rPr>
                        <w:t xml:space="preserve"> </w:t>
                      </w:r>
                      <w:r>
                        <w:rPr>
                          <w:color w:val="000000"/>
                        </w:rPr>
                        <w:t>passed</w:t>
                      </w:r>
                      <w:r>
                        <w:rPr>
                          <w:color w:val="000000"/>
                          <w:spacing w:val="-4"/>
                        </w:rPr>
                        <w:t xml:space="preserve"> </w:t>
                      </w:r>
                      <w:r>
                        <w:rPr>
                          <w:color w:val="000000"/>
                        </w:rPr>
                        <w:t>in</w:t>
                      </w:r>
                      <w:r>
                        <w:rPr>
                          <w:color w:val="000000"/>
                          <w:spacing w:val="-2"/>
                        </w:rPr>
                        <w:t xml:space="preserve"> </w:t>
                      </w:r>
                      <w:r>
                        <w:rPr>
                          <w:color w:val="000000"/>
                        </w:rPr>
                        <w:t>the</w:t>
                      </w:r>
                      <w:r>
                        <w:rPr>
                          <w:color w:val="000000"/>
                          <w:spacing w:val="-2"/>
                        </w:rPr>
                        <w:t xml:space="preserve"> </w:t>
                      </w:r>
                      <w:r>
                        <w:rPr>
                          <w:color w:val="000000"/>
                        </w:rPr>
                        <w:t>House</w:t>
                      </w:r>
                      <w:r>
                        <w:rPr>
                          <w:color w:val="000000"/>
                          <w:spacing w:val="-2"/>
                        </w:rPr>
                        <w:t xml:space="preserve"> </w:t>
                      </w:r>
                      <w:r>
                        <w:rPr>
                          <w:color w:val="000000"/>
                        </w:rPr>
                        <w:t>of</w:t>
                      </w:r>
                      <w:r>
                        <w:rPr>
                          <w:color w:val="000000"/>
                          <w:spacing w:val="-2"/>
                        </w:rPr>
                        <w:t xml:space="preserve"> </w:t>
                      </w:r>
                      <w:r>
                        <w:rPr>
                          <w:color w:val="000000"/>
                        </w:rPr>
                        <w:t>Assembly,</w:t>
                      </w:r>
                      <w:r>
                        <w:rPr>
                          <w:color w:val="000000"/>
                          <w:spacing w:val="-5"/>
                        </w:rPr>
                        <w:t xml:space="preserve"> </w:t>
                      </w:r>
                      <w:r>
                        <w:rPr>
                          <w:color w:val="000000"/>
                        </w:rPr>
                        <w:t>the</w:t>
                      </w:r>
                      <w:r>
                        <w:rPr>
                          <w:color w:val="000000"/>
                          <w:spacing w:val="-2"/>
                        </w:rPr>
                        <w:t xml:space="preserve"> </w:t>
                      </w:r>
                      <w:r>
                        <w:rPr>
                          <w:color w:val="000000"/>
                        </w:rPr>
                        <w:t>amendments should be referred to the Parliamentary Human Rights Scrutiny Committee for review prior to the amended Bill being introduced in the Legislative Council.</w:t>
                      </w:r>
                    </w:p>
                  </w:txbxContent>
                </v:textbox>
                <w10:wrap type="topAndBottom" anchorx="page"/>
              </v:shape>
            </w:pict>
          </mc:Fallback>
        </mc:AlternateContent>
      </w:r>
    </w:p>
    <w:p w14:paraId="7CB26203" w14:textId="77777777" w:rsidR="008A4099" w:rsidRDefault="008A4099">
      <w:pPr>
        <w:pStyle w:val="BodyText"/>
        <w:rPr>
          <w:sz w:val="20"/>
        </w:rPr>
      </w:pPr>
    </w:p>
    <w:p w14:paraId="7CB26204" w14:textId="77777777" w:rsidR="008A4099" w:rsidRDefault="008A4099">
      <w:pPr>
        <w:pStyle w:val="BodyText"/>
        <w:rPr>
          <w:sz w:val="20"/>
        </w:rPr>
      </w:pPr>
    </w:p>
    <w:p w14:paraId="7CB26205" w14:textId="77777777" w:rsidR="008A4099" w:rsidRDefault="008A4099">
      <w:pPr>
        <w:pStyle w:val="BodyText"/>
        <w:rPr>
          <w:sz w:val="20"/>
        </w:rPr>
      </w:pPr>
    </w:p>
    <w:p w14:paraId="7CB26206" w14:textId="77777777" w:rsidR="008A4099" w:rsidRDefault="008A4099">
      <w:pPr>
        <w:pStyle w:val="BodyText"/>
        <w:rPr>
          <w:sz w:val="20"/>
        </w:rPr>
      </w:pPr>
    </w:p>
    <w:p w14:paraId="7CB26207" w14:textId="77777777" w:rsidR="008A4099" w:rsidRDefault="008A4099">
      <w:pPr>
        <w:pStyle w:val="BodyText"/>
        <w:rPr>
          <w:sz w:val="20"/>
        </w:rPr>
      </w:pPr>
    </w:p>
    <w:p w14:paraId="7CB26208" w14:textId="77777777" w:rsidR="008A4099" w:rsidRDefault="008A4099">
      <w:pPr>
        <w:pStyle w:val="BodyText"/>
        <w:rPr>
          <w:sz w:val="20"/>
        </w:rPr>
      </w:pPr>
    </w:p>
    <w:p w14:paraId="7CB26209" w14:textId="77777777" w:rsidR="008A4099" w:rsidRDefault="008A4099">
      <w:pPr>
        <w:pStyle w:val="BodyText"/>
        <w:rPr>
          <w:sz w:val="20"/>
        </w:rPr>
      </w:pPr>
    </w:p>
    <w:p w14:paraId="7CB2620A" w14:textId="77777777" w:rsidR="008A4099" w:rsidRDefault="006A6EE2">
      <w:pPr>
        <w:pStyle w:val="BodyText"/>
        <w:spacing w:before="197"/>
        <w:rPr>
          <w:sz w:val="20"/>
        </w:rPr>
      </w:pPr>
      <w:r>
        <w:rPr>
          <w:noProof/>
        </w:rPr>
        <mc:AlternateContent>
          <mc:Choice Requires="wps">
            <w:drawing>
              <wp:anchor distT="0" distB="0" distL="0" distR="0" simplePos="0" relativeHeight="487628800" behindDoc="1" locked="0" layoutInCell="1" allowOverlap="1" wp14:anchorId="7CB26679" wp14:editId="7CB2667A">
                <wp:simplePos x="0" y="0"/>
                <wp:positionH relativeFrom="page">
                  <wp:posOffset>914704</wp:posOffset>
                </wp:positionH>
                <wp:positionV relativeFrom="paragraph">
                  <wp:posOffset>286852</wp:posOffset>
                </wp:positionV>
                <wp:extent cx="1829435" cy="762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AF7B82" id="Graphic 128" o:spid="_x0000_s1026" style="position:absolute;margin-left:1in;margin-top:22.6pt;width:144.05pt;height:.6pt;z-index:-156876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" path="m1829054,l,,,7620r1829054,l1829054,xe" fillcolor="black" stroked="f">
                <v:path arrowok="t"/>
                <w10:wrap type="topAndBottom" anchorx="page"/>
              </v:shape>
            </w:pict>
          </mc:Fallback>
        </mc:AlternateContent>
      </w:r>
    </w:p>
    <w:p w14:paraId="7CB2620B" w14:textId="77777777" w:rsidR="008A4099" w:rsidRDefault="006A6EE2">
      <w:pPr>
        <w:spacing w:before="112"/>
        <w:ind w:left="160"/>
        <w:rPr>
          <w:sz w:val="18"/>
        </w:rPr>
      </w:pPr>
      <w:r>
        <w:rPr>
          <w:sz w:val="18"/>
          <w:vertAlign w:val="superscript"/>
        </w:rPr>
        <w:t>449</w:t>
      </w:r>
      <w:r>
        <w:rPr>
          <w:spacing w:val="-1"/>
          <w:sz w:val="18"/>
        </w:rPr>
        <w:t xml:space="preserve"> </w:t>
      </w:r>
      <w:r>
        <w:rPr>
          <w:sz w:val="18"/>
        </w:rPr>
        <w:t xml:space="preserve">Brett Young, </w:t>
      </w:r>
      <w:r>
        <w:rPr>
          <w:i/>
          <w:sz w:val="18"/>
        </w:rPr>
        <w:t>From Commitment</w:t>
      </w:r>
      <w:r>
        <w:rPr>
          <w:i/>
          <w:spacing w:val="-2"/>
          <w:sz w:val="18"/>
        </w:rPr>
        <w:t xml:space="preserve"> </w:t>
      </w:r>
      <w:r>
        <w:rPr>
          <w:i/>
          <w:sz w:val="18"/>
        </w:rPr>
        <w:t>to Culture</w:t>
      </w:r>
      <w:r>
        <w:rPr>
          <w:i/>
          <w:spacing w:val="1"/>
          <w:sz w:val="18"/>
        </w:rPr>
        <w:t xml:space="preserve"> </w:t>
      </w:r>
      <w:r>
        <w:rPr>
          <w:sz w:val="18"/>
        </w:rPr>
        <w:t>189–190; see</w:t>
      </w:r>
      <w:r>
        <w:rPr>
          <w:spacing w:val="-2"/>
          <w:sz w:val="18"/>
        </w:rPr>
        <w:t xml:space="preserve"> </w:t>
      </w:r>
      <w:r>
        <w:rPr>
          <w:sz w:val="18"/>
        </w:rPr>
        <w:t>also</w:t>
      </w:r>
      <w:r>
        <w:rPr>
          <w:spacing w:val="1"/>
          <w:sz w:val="18"/>
        </w:rPr>
        <w:t xml:space="preserve"> </w:t>
      </w:r>
      <w:r>
        <w:rPr>
          <w:spacing w:val="-2"/>
          <w:sz w:val="18"/>
        </w:rPr>
        <w:t>[2.3].</w:t>
      </w:r>
    </w:p>
    <w:p w14:paraId="7CB2620C" w14:textId="77777777" w:rsidR="008A4099" w:rsidRDefault="006A6EE2">
      <w:pPr>
        <w:spacing w:before="24"/>
        <w:ind w:left="160"/>
        <w:rPr>
          <w:sz w:val="18"/>
        </w:rPr>
      </w:pPr>
      <w:r>
        <w:rPr>
          <w:sz w:val="18"/>
          <w:vertAlign w:val="superscript"/>
        </w:rPr>
        <w:t>450</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22.</w:t>
      </w:r>
    </w:p>
    <w:p w14:paraId="7CB2620D" w14:textId="77777777" w:rsidR="008A4099" w:rsidRDefault="006A6EE2">
      <w:pPr>
        <w:spacing w:before="23"/>
        <w:ind w:left="160"/>
        <w:rPr>
          <w:sz w:val="18"/>
        </w:rPr>
      </w:pPr>
      <w:r>
        <w:rPr>
          <w:sz w:val="18"/>
          <w:vertAlign w:val="superscript"/>
        </w:rPr>
        <w:t>451</w:t>
      </w:r>
      <w:r>
        <w:rPr>
          <w:sz w:val="18"/>
        </w:rPr>
        <w:t xml:space="preserve"> Department</w:t>
      </w:r>
      <w:r>
        <w:rPr>
          <w:spacing w:val="1"/>
          <w:sz w:val="18"/>
        </w:rPr>
        <w:t xml:space="preserve"> </w:t>
      </w:r>
      <w:r>
        <w:rPr>
          <w:sz w:val="18"/>
        </w:rPr>
        <w:t>of</w:t>
      </w:r>
      <w:r>
        <w:rPr>
          <w:spacing w:val="1"/>
          <w:sz w:val="18"/>
        </w:rPr>
        <w:t xml:space="preserve"> </w:t>
      </w:r>
      <w:r>
        <w:rPr>
          <w:sz w:val="18"/>
        </w:rPr>
        <w:t>Justice (Tasmania),</w:t>
      </w:r>
      <w:r>
        <w:rPr>
          <w:spacing w:val="1"/>
          <w:sz w:val="18"/>
        </w:rPr>
        <w:t xml:space="preserve"> </w:t>
      </w:r>
      <w:r>
        <w:rPr>
          <w:sz w:val="18"/>
        </w:rPr>
        <w:t>Directions</w:t>
      </w:r>
      <w:r>
        <w:rPr>
          <w:spacing w:val="-3"/>
          <w:sz w:val="18"/>
        </w:rPr>
        <w:t xml:space="preserve"> </w:t>
      </w:r>
      <w:r>
        <w:rPr>
          <w:sz w:val="18"/>
        </w:rPr>
        <w:t>Paper</w:t>
      </w:r>
      <w:r>
        <w:rPr>
          <w:spacing w:val="1"/>
          <w:sz w:val="18"/>
        </w:rPr>
        <w:t xml:space="preserve"> </w:t>
      </w:r>
      <w:r>
        <w:rPr>
          <w:spacing w:val="-5"/>
          <w:sz w:val="18"/>
        </w:rPr>
        <w:t>43.</w:t>
      </w:r>
    </w:p>
    <w:p w14:paraId="7CB2620E" w14:textId="77777777" w:rsidR="008A4099" w:rsidRDefault="008A4099">
      <w:pPr>
        <w:rPr>
          <w:sz w:val="18"/>
        </w:rPr>
        <w:sectPr w:rsidR="008A4099" w:rsidSect="00D43B2D">
          <w:pgSz w:w="11910" w:h="16840"/>
          <w:pgMar w:top="980" w:right="760" w:bottom="940" w:left="1280" w:header="718" w:footer="753" w:gutter="0"/>
          <w:cols w:space="720"/>
        </w:sectPr>
      </w:pPr>
    </w:p>
    <w:p w14:paraId="7CB2620F" w14:textId="77777777" w:rsidR="008A4099" w:rsidRDefault="008A4099">
      <w:pPr>
        <w:pStyle w:val="BodyText"/>
        <w:spacing w:before="218" w:after="1"/>
        <w:rPr>
          <w:sz w:val="20"/>
        </w:rPr>
      </w:pPr>
    </w:p>
    <w:p w14:paraId="7CB26210" w14:textId="77777777" w:rsidR="008A4099" w:rsidRDefault="006A6EE2">
      <w:pPr>
        <w:pStyle w:val="BodyText"/>
        <w:ind w:left="160"/>
        <w:rPr>
          <w:sz w:val="20"/>
        </w:rPr>
      </w:pPr>
      <w:r>
        <w:rPr>
          <w:noProof/>
          <w:sz w:val="20"/>
        </w:rPr>
        <mc:AlternateContent>
          <mc:Choice Requires="wps">
            <w:drawing>
              <wp:inline distT="0" distB="0" distL="0" distR="0" wp14:anchorId="7CB2667B" wp14:editId="7CB2667C">
                <wp:extent cx="5727065" cy="1814195"/>
                <wp:effectExtent l="0" t="0" r="0" b="0"/>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814195"/>
                        </a:xfrm>
                        <a:prstGeom prst="rect">
                          <a:avLst/>
                        </a:prstGeom>
                        <a:solidFill>
                          <a:srgbClr val="E8E8E8"/>
                        </a:solidFill>
                      </wps:spPr>
                      <wps:txbx>
                        <w:txbxContent>
                          <w:p w14:paraId="7CB2677D" w14:textId="77777777" w:rsidR="008A4099" w:rsidRDefault="006A6EE2">
                            <w:pPr>
                              <w:spacing w:before="220"/>
                              <w:ind w:left="108"/>
                              <w:jc w:val="both"/>
                              <w:rPr>
                                <w:b/>
                                <w:color w:val="000000"/>
                                <w:sz w:val="23"/>
                              </w:rPr>
                            </w:pPr>
                            <w:r>
                              <w:rPr>
                                <w:b/>
                                <w:color w:val="000000"/>
                                <w:sz w:val="23"/>
                              </w:rPr>
                              <w:t>Recommendation</w:t>
                            </w:r>
                            <w:r>
                              <w:rPr>
                                <w:b/>
                                <w:color w:val="000000"/>
                                <w:spacing w:val="-6"/>
                                <w:sz w:val="23"/>
                              </w:rPr>
                              <w:t xml:space="preserve"> </w:t>
                            </w:r>
                            <w:r>
                              <w:rPr>
                                <w:b/>
                                <w:color w:val="000000"/>
                                <w:sz w:val="23"/>
                              </w:rPr>
                              <w:t>9</w:t>
                            </w:r>
                            <w:r>
                              <w:rPr>
                                <w:b/>
                                <w:color w:val="000000"/>
                                <w:spacing w:val="-2"/>
                                <w:sz w:val="23"/>
                              </w:rPr>
                              <w:t xml:space="preserve"> </w:t>
                            </w:r>
                            <w:r>
                              <w:rPr>
                                <w:b/>
                                <w:color w:val="000000"/>
                                <w:sz w:val="23"/>
                              </w:rPr>
                              <w:t>–</w:t>
                            </w:r>
                            <w:r>
                              <w:rPr>
                                <w:b/>
                                <w:color w:val="000000"/>
                                <w:spacing w:val="-3"/>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4"/>
                                <w:sz w:val="23"/>
                              </w:rPr>
                              <w:t>Unit</w:t>
                            </w:r>
                          </w:p>
                          <w:p w14:paraId="7CB2677E" w14:textId="77777777" w:rsidR="008A4099" w:rsidRDefault="006A6EE2">
                            <w:pPr>
                              <w:pStyle w:val="BodyText"/>
                              <w:spacing w:before="239"/>
                              <w:ind w:left="108" w:right="224"/>
                              <w:jc w:val="both"/>
                              <w:rPr>
                                <w:color w:val="000000"/>
                              </w:rPr>
                            </w:pPr>
                            <w:r>
                              <w:rPr>
                                <w:color w:val="000000"/>
                              </w:rPr>
                              <w:t>That</w:t>
                            </w:r>
                            <w:r>
                              <w:rPr>
                                <w:color w:val="000000"/>
                                <w:spacing w:val="-11"/>
                              </w:rPr>
                              <w:t xml:space="preserve"> </w:t>
                            </w:r>
                            <w:r>
                              <w:rPr>
                                <w:color w:val="000000"/>
                              </w:rPr>
                              <w:t>a</w:t>
                            </w:r>
                            <w:r>
                              <w:rPr>
                                <w:color w:val="000000"/>
                                <w:spacing w:val="-14"/>
                              </w:rPr>
                              <w:t xml:space="preserve"> </w:t>
                            </w:r>
                            <w:r>
                              <w:rPr>
                                <w:color w:val="000000"/>
                              </w:rPr>
                              <w:t>Human</w:t>
                            </w:r>
                            <w:r>
                              <w:rPr>
                                <w:color w:val="000000"/>
                                <w:spacing w:val="-12"/>
                              </w:rPr>
                              <w:t xml:space="preserve"> </w:t>
                            </w:r>
                            <w:r>
                              <w:rPr>
                                <w:color w:val="000000"/>
                              </w:rPr>
                              <w:t>Rights</w:t>
                            </w:r>
                            <w:r>
                              <w:rPr>
                                <w:color w:val="000000"/>
                                <w:spacing w:val="-14"/>
                              </w:rPr>
                              <w:t xml:space="preserve"> </w:t>
                            </w:r>
                            <w:r>
                              <w:rPr>
                                <w:color w:val="000000"/>
                              </w:rPr>
                              <w:t>Unit</w:t>
                            </w:r>
                            <w:r>
                              <w:rPr>
                                <w:color w:val="000000"/>
                                <w:spacing w:val="-11"/>
                              </w:rPr>
                              <w:t xml:space="preserve"> </w:t>
                            </w:r>
                            <w:r>
                              <w:rPr>
                                <w:color w:val="000000"/>
                              </w:rPr>
                              <w:t>be</w:t>
                            </w:r>
                            <w:r>
                              <w:rPr>
                                <w:color w:val="000000"/>
                                <w:spacing w:val="-12"/>
                              </w:rPr>
                              <w:t xml:space="preserve"> </w:t>
                            </w:r>
                            <w:r>
                              <w:rPr>
                                <w:color w:val="000000"/>
                              </w:rPr>
                              <w:t>established</w:t>
                            </w:r>
                            <w:r>
                              <w:rPr>
                                <w:color w:val="000000"/>
                                <w:spacing w:val="-14"/>
                              </w:rPr>
                              <w:t xml:space="preserve"> </w:t>
                            </w:r>
                            <w:r>
                              <w:rPr>
                                <w:color w:val="000000"/>
                              </w:rPr>
                              <w:t>to</w:t>
                            </w:r>
                            <w:r>
                              <w:rPr>
                                <w:color w:val="000000"/>
                                <w:spacing w:val="-12"/>
                              </w:rPr>
                              <w:t xml:space="preserve"> </w:t>
                            </w:r>
                            <w:r>
                              <w:rPr>
                                <w:color w:val="000000"/>
                              </w:rPr>
                              <w:t>prepare</w:t>
                            </w:r>
                            <w:r>
                              <w:rPr>
                                <w:color w:val="000000"/>
                                <w:spacing w:val="-14"/>
                              </w:rPr>
                              <w:t xml:space="preserve"> </w:t>
                            </w:r>
                            <w:r>
                              <w:rPr>
                                <w:color w:val="000000"/>
                              </w:rPr>
                              <w:t>statements</w:t>
                            </w:r>
                            <w:r>
                              <w:rPr>
                                <w:color w:val="000000"/>
                                <w:spacing w:val="-14"/>
                              </w:rPr>
                              <w:t xml:space="preserve"> </w:t>
                            </w:r>
                            <w:r>
                              <w:rPr>
                                <w:color w:val="000000"/>
                              </w:rPr>
                              <w:t>of</w:t>
                            </w:r>
                            <w:r>
                              <w:rPr>
                                <w:color w:val="000000"/>
                                <w:spacing w:val="-14"/>
                              </w:rPr>
                              <w:t xml:space="preserve"> </w:t>
                            </w:r>
                            <w:r>
                              <w:rPr>
                                <w:color w:val="000000"/>
                              </w:rPr>
                              <w:t>compatibility</w:t>
                            </w:r>
                            <w:r>
                              <w:rPr>
                                <w:color w:val="000000"/>
                                <w:spacing w:val="-12"/>
                              </w:rPr>
                              <w:t xml:space="preserve"> </w:t>
                            </w:r>
                            <w:r>
                              <w:rPr>
                                <w:color w:val="000000"/>
                              </w:rPr>
                              <w:t>in</w:t>
                            </w:r>
                            <w:r>
                              <w:rPr>
                                <w:color w:val="000000"/>
                                <w:spacing w:val="-14"/>
                              </w:rPr>
                              <w:t xml:space="preserve"> </w:t>
                            </w:r>
                            <w:r>
                              <w:rPr>
                                <w:color w:val="000000"/>
                              </w:rPr>
                              <w:t>consultation</w:t>
                            </w:r>
                            <w:r>
                              <w:rPr>
                                <w:color w:val="000000"/>
                                <w:spacing w:val="-12"/>
                              </w:rPr>
                              <w:t xml:space="preserve"> </w:t>
                            </w:r>
                            <w:r>
                              <w:rPr>
                                <w:color w:val="000000"/>
                              </w:rPr>
                              <w:t>with responsible agencies.</w:t>
                            </w:r>
                          </w:p>
                          <w:p w14:paraId="7CB2677F" w14:textId="77777777" w:rsidR="008A4099" w:rsidRDefault="006A6EE2">
                            <w:pPr>
                              <w:pStyle w:val="BodyText"/>
                              <w:spacing w:before="120"/>
                              <w:ind w:left="108" w:right="227"/>
                              <w:jc w:val="both"/>
                              <w:rPr>
                                <w:color w:val="000000"/>
                              </w:rPr>
                            </w:pPr>
                            <w:r>
                              <w:rPr>
                                <w:color w:val="000000"/>
                              </w:rPr>
                              <w:t>Such dialogue will foster human rights discourse across government, while maintaining quality control over these statements.</w:t>
                            </w:r>
                          </w:p>
                          <w:p w14:paraId="7CB26780" w14:textId="77777777" w:rsidR="008A4099" w:rsidRDefault="006A6EE2">
                            <w:pPr>
                              <w:pStyle w:val="BodyText"/>
                              <w:spacing w:before="119"/>
                              <w:ind w:left="108" w:right="225"/>
                              <w:jc w:val="both"/>
                              <w:rPr>
                                <w:color w:val="000000"/>
                              </w:rPr>
                            </w:pPr>
                            <w:r>
                              <w:rPr>
                                <w:color w:val="000000"/>
                              </w:rPr>
                              <w:t>Further,</w:t>
                            </w:r>
                            <w:r>
                              <w:rPr>
                                <w:color w:val="000000"/>
                                <w:spacing w:val="-6"/>
                              </w:rPr>
                              <w:t xml:space="preserve"> </w:t>
                            </w:r>
                            <w:r>
                              <w:rPr>
                                <w:color w:val="000000"/>
                              </w:rPr>
                              <w:t>guidelines</w:t>
                            </w:r>
                            <w:r>
                              <w:rPr>
                                <w:color w:val="000000"/>
                                <w:spacing w:val="-3"/>
                              </w:rPr>
                              <w:t xml:space="preserve"> </w:t>
                            </w:r>
                            <w:r>
                              <w:rPr>
                                <w:color w:val="000000"/>
                              </w:rPr>
                              <w:t>should</w:t>
                            </w:r>
                            <w:r>
                              <w:rPr>
                                <w:color w:val="000000"/>
                                <w:spacing w:val="-6"/>
                              </w:rPr>
                              <w:t xml:space="preserve"> </w:t>
                            </w:r>
                            <w:r>
                              <w:rPr>
                                <w:color w:val="000000"/>
                              </w:rPr>
                              <w:t>be</w:t>
                            </w:r>
                            <w:r>
                              <w:rPr>
                                <w:color w:val="000000"/>
                                <w:spacing w:val="-3"/>
                              </w:rPr>
                              <w:t xml:space="preserve"> </w:t>
                            </w:r>
                            <w:r>
                              <w:rPr>
                                <w:color w:val="000000"/>
                              </w:rPr>
                              <w:t>developed</w:t>
                            </w:r>
                            <w:r>
                              <w:rPr>
                                <w:color w:val="000000"/>
                                <w:spacing w:val="-5"/>
                              </w:rPr>
                              <w:t xml:space="preserve"> </w:t>
                            </w:r>
                            <w:r>
                              <w:rPr>
                                <w:color w:val="000000"/>
                              </w:rPr>
                              <w:t>for</w:t>
                            </w:r>
                            <w:r>
                              <w:rPr>
                                <w:color w:val="000000"/>
                                <w:spacing w:val="-5"/>
                              </w:rPr>
                              <w:t xml:space="preserve"> </w:t>
                            </w:r>
                            <w:r>
                              <w:rPr>
                                <w:color w:val="000000"/>
                              </w:rPr>
                              <w:t>identifying</w:t>
                            </w:r>
                            <w:r>
                              <w:rPr>
                                <w:color w:val="000000"/>
                                <w:spacing w:val="-3"/>
                              </w:rPr>
                              <w:t xml:space="preserve"> </w:t>
                            </w:r>
                            <w:r>
                              <w:rPr>
                                <w:color w:val="000000"/>
                              </w:rPr>
                              <w:t>and</w:t>
                            </w:r>
                            <w:r>
                              <w:rPr>
                                <w:color w:val="000000"/>
                                <w:spacing w:val="-5"/>
                              </w:rPr>
                              <w:t xml:space="preserve"> </w:t>
                            </w:r>
                            <w:r>
                              <w:rPr>
                                <w:color w:val="000000"/>
                              </w:rPr>
                              <w:t>assessing</w:t>
                            </w:r>
                            <w:r>
                              <w:rPr>
                                <w:color w:val="000000"/>
                                <w:spacing w:val="-6"/>
                              </w:rPr>
                              <w:t xml:space="preserve"> </w:t>
                            </w:r>
                            <w:r>
                              <w:rPr>
                                <w:color w:val="000000"/>
                              </w:rPr>
                              <w:t>human</w:t>
                            </w:r>
                            <w:r>
                              <w:rPr>
                                <w:color w:val="000000"/>
                                <w:spacing w:val="-5"/>
                              </w:rPr>
                              <w:t xml:space="preserve"> </w:t>
                            </w:r>
                            <w:r>
                              <w:rPr>
                                <w:color w:val="000000"/>
                              </w:rPr>
                              <w:t>rights</w:t>
                            </w:r>
                            <w:r>
                              <w:rPr>
                                <w:color w:val="000000"/>
                                <w:spacing w:val="-5"/>
                              </w:rPr>
                              <w:t xml:space="preserve"> </w:t>
                            </w:r>
                            <w:r>
                              <w:rPr>
                                <w:color w:val="000000"/>
                              </w:rPr>
                              <w:t>implications</w:t>
                            </w:r>
                            <w:r>
                              <w:rPr>
                                <w:color w:val="000000"/>
                                <w:spacing w:val="-5"/>
                              </w:rPr>
                              <w:t xml:space="preserve"> </w:t>
                            </w:r>
                            <w:r>
                              <w:rPr>
                                <w:color w:val="000000"/>
                              </w:rPr>
                              <w:t>of proposed legislation to assist responsible agencies and departments in developing human rights compatible policies and proposals for legislation.</w:t>
                            </w:r>
                          </w:p>
                        </w:txbxContent>
                      </wps:txbx>
                      <wps:bodyPr wrap="square" lIns="0" tIns="0" rIns="0" bIns="0" rtlCol="0">
                        <a:noAutofit/>
                      </wps:bodyPr>
                    </wps:wsp>
                  </a:graphicData>
                </a:graphic>
              </wp:inline>
            </w:drawing>
          </mc:Choice>
          <mc:Fallback>
            <w:pict>
              <v:shape w14:anchorId="7CB2667B" id="Textbox 129" o:spid="_x0000_s1035" type="#_x0000_t202" style="width:450.95pt;height:14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" fillcolor="#e8e8e8" stroked="f">
                <v:textbox inset="0,0,0,0">
                  <w:txbxContent>
                    <w:p w14:paraId="7CB2677D" w14:textId="77777777" w:rsidR="008A4099" w:rsidRDefault="006A6EE2">
                      <w:pPr>
                        <w:spacing w:before="220"/>
                        <w:ind w:left="108"/>
                        <w:jc w:val="both"/>
                        <w:rPr>
                          <w:b/>
                          <w:color w:val="000000"/>
                          <w:sz w:val="23"/>
                        </w:rPr>
                      </w:pPr>
                      <w:r>
                        <w:rPr>
                          <w:b/>
                          <w:color w:val="000000"/>
                          <w:sz w:val="23"/>
                        </w:rPr>
                        <w:t>Recommendation</w:t>
                      </w:r>
                      <w:r>
                        <w:rPr>
                          <w:b/>
                          <w:color w:val="000000"/>
                          <w:spacing w:val="-6"/>
                          <w:sz w:val="23"/>
                        </w:rPr>
                        <w:t xml:space="preserve"> </w:t>
                      </w:r>
                      <w:r>
                        <w:rPr>
                          <w:b/>
                          <w:color w:val="000000"/>
                          <w:sz w:val="23"/>
                        </w:rPr>
                        <w:t>9</w:t>
                      </w:r>
                      <w:r>
                        <w:rPr>
                          <w:b/>
                          <w:color w:val="000000"/>
                          <w:spacing w:val="-2"/>
                          <w:sz w:val="23"/>
                        </w:rPr>
                        <w:t xml:space="preserve"> </w:t>
                      </w:r>
                      <w:r>
                        <w:rPr>
                          <w:b/>
                          <w:color w:val="000000"/>
                          <w:sz w:val="23"/>
                        </w:rPr>
                        <w:t>–</w:t>
                      </w:r>
                      <w:r>
                        <w:rPr>
                          <w:b/>
                          <w:color w:val="000000"/>
                          <w:spacing w:val="-3"/>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4"/>
                          <w:sz w:val="23"/>
                        </w:rPr>
                        <w:t>Unit</w:t>
                      </w:r>
                    </w:p>
                    <w:p w14:paraId="7CB2677E" w14:textId="77777777" w:rsidR="008A4099" w:rsidRDefault="006A6EE2">
                      <w:pPr>
                        <w:pStyle w:val="BodyText"/>
                        <w:spacing w:before="239"/>
                        <w:ind w:left="108" w:right="224"/>
                        <w:jc w:val="both"/>
                        <w:rPr>
                          <w:color w:val="000000"/>
                        </w:rPr>
                      </w:pPr>
                      <w:r>
                        <w:rPr>
                          <w:color w:val="000000"/>
                        </w:rPr>
                        <w:t>That</w:t>
                      </w:r>
                      <w:r>
                        <w:rPr>
                          <w:color w:val="000000"/>
                          <w:spacing w:val="-11"/>
                        </w:rPr>
                        <w:t xml:space="preserve"> </w:t>
                      </w:r>
                      <w:r>
                        <w:rPr>
                          <w:color w:val="000000"/>
                        </w:rPr>
                        <w:t>a</w:t>
                      </w:r>
                      <w:r>
                        <w:rPr>
                          <w:color w:val="000000"/>
                          <w:spacing w:val="-14"/>
                        </w:rPr>
                        <w:t xml:space="preserve"> </w:t>
                      </w:r>
                      <w:r>
                        <w:rPr>
                          <w:color w:val="000000"/>
                        </w:rPr>
                        <w:t>Human</w:t>
                      </w:r>
                      <w:r>
                        <w:rPr>
                          <w:color w:val="000000"/>
                          <w:spacing w:val="-12"/>
                        </w:rPr>
                        <w:t xml:space="preserve"> </w:t>
                      </w:r>
                      <w:r>
                        <w:rPr>
                          <w:color w:val="000000"/>
                        </w:rPr>
                        <w:t>Rights</w:t>
                      </w:r>
                      <w:r>
                        <w:rPr>
                          <w:color w:val="000000"/>
                          <w:spacing w:val="-14"/>
                        </w:rPr>
                        <w:t xml:space="preserve"> </w:t>
                      </w:r>
                      <w:r>
                        <w:rPr>
                          <w:color w:val="000000"/>
                        </w:rPr>
                        <w:t>Unit</w:t>
                      </w:r>
                      <w:r>
                        <w:rPr>
                          <w:color w:val="000000"/>
                          <w:spacing w:val="-11"/>
                        </w:rPr>
                        <w:t xml:space="preserve"> </w:t>
                      </w:r>
                      <w:r>
                        <w:rPr>
                          <w:color w:val="000000"/>
                        </w:rPr>
                        <w:t>be</w:t>
                      </w:r>
                      <w:r>
                        <w:rPr>
                          <w:color w:val="000000"/>
                          <w:spacing w:val="-12"/>
                        </w:rPr>
                        <w:t xml:space="preserve"> </w:t>
                      </w:r>
                      <w:r>
                        <w:rPr>
                          <w:color w:val="000000"/>
                        </w:rPr>
                        <w:t>established</w:t>
                      </w:r>
                      <w:r>
                        <w:rPr>
                          <w:color w:val="000000"/>
                          <w:spacing w:val="-14"/>
                        </w:rPr>
                        <w:t xml:space="preserve"> </w:t>
                      </w:r>
                      <w:r>
                        <w:rPr>
                          <w:color w:val="000000"/>
                        </w:rPr>
                        <w:t>to</w:t>
                      </w:r>
                      <w:r>
                        <w:rPr>
                          <w:color w:val="000000"/>
                          <w:spacing w:val="-12"/>
                        </w:rPr>
                        <w:t xml:space="preserve"> </w:t>
                      </w:r>
                      <w:r>
                        <w:rPr>
                          <w:color w:val="000000"/>
                        </w:rPr>
                        <w:t>prepare</w:t>
                      </w:r>
                      <w:r>
                        <w:rPr>
                          <w:color w:val="000000"/>
                          <w:spacing w:val="-14"/>
                        </w:rPr>
                        <w:t xml:space="preserve"> </w:t>
                      </w:r>
                      <w:r>
                        <w:rPr>
                          <w:color w:val="000000"/>
                        </w:rPr>
                        <w:t>statements</w:t>
                      </w:r>
                      <w:r>
                        <w:rPr>
                          <w:color w:val="000000"/>
                          <w:spacing w:val="-14"/>
                        </w:rPr>
                        <w:t xml:space="preserve"> </w:t>
                      </w:r>
                      <w:r>
                        <w:rPr>
                          <w:color w:val="000000"/>
                        </w:rPr>
                        <w:t>of</w:t>
                      </w:r>
                      <w:r>
                        <w:rPr>
                          <w:color w:val="000000"/>
                          <w:spacing w:val="-14"/>
                        </w:rPr>
                        <w:t xml:space="preserve"> </w:t>
                      </w:r>
                      <w:r>
                        <w:rPr>
                          <w:color w:val="000000"/>
                        </w:rPr>
                        <w:t>compatibility</w:t>
                      </w:r>
                      <w:r>
                        <w:rPr>
                          <w:color w:val="000000"/>
                          <w:spacing w:val="-12"/>
                        </w:rPr>
                        <w:t xml:space="preserve"> </w:t>
                      </w:r>
                      <w:r>
                        <w:rPr>
                          <w:color w:val="000000"/>
                        </w:rPr>
                        <w:t>in</w:t>
                      </w:r>
                      <w:r>
                        <w:rPr>
                          <w:color w:val="000000"/>
                          <w:spacing w:val="-14"/>
                        </w:rPr>
                        <w:t xml:space="preserve"> </w:t>
                      </w:r>
                      <w:r>
                        <w:rPr>
                          <w:color w:val="000000"/>
                        </w:rPr>
                        <w:t>consultation</w:t>
                      </w:r>
                      <w:r>
                        <w:rPr>
                          <w:color w:val="000000"/>
                          <w:spacing w:val="-12"/>
                        </w:rPr>
                        <w:t xml:space="preserve"> </w:t>
                      </w:r>
                      <w:r>
                        <w:rPr>
                          <w:color w:val="000000"/>
                        </w:rPr>
                        <w:t>with responsible agencies.</w:t>
                      </w:r>
                    </w:p>
                    <w:p w14:paraId="7CB2677F" w14:textId="77777777" w:rsidR="008A4099" w:rsidRDefault="006A6EE2">
                      <w:pPr>
                        <w:pStyle w:val="BodyText"/>
                        <w:spacing w:before="120"/>
                        <w:ind w:left="108" w:right="227"/>
                        <w:jc w:val="both"/>
                        <w:rPr>
                          <w:color w:val="000000"/>
                        </w:rPr>
                      </w:pPr>
                      <w:r>
                        <w:rPr>
                          <w:color w:val="000000"/>
                        </w:rPr>
                        <w:t>Such dialogue will foster human rights discourse across government, while maintaining quality control over these statements.</w:t>
                      </w:r>
                    </w:p>
                    <w:p w14:paraId="7CB26780" w14:textId="77777777" w:rsidR="008A4099" w:rsidRDefault="006A6EE2">
                      <w:pPr>
                        <w:pStyle w:val="BodyText"/>
                        <w:spacing w:before="119"/>
                        <w:ind w:left="108" w:right="225"/>
                        <w:jc w:val="both"/>
                        <w:rPr>
                          <w:color w:val="000000"/>
                        </w:rPr>
                      </w:pPr>
                      <w:r>
                        <w:rPr>
                          <w:color w:val="000000"/>
                        </w:rPr>
                        <w:t>Further,</w:t>
                      </w:r>
                      <w:r>
                        <w:rPr>
                          <w:color w:val="000000"/>
                          <w:spacing w:val="-6"/>
                        </w:rPr>
                        <w:t xml:space="preserve"> </w:t>
                      </w:r>
                      <w:r>
                        <w:rPr>
                          <w:color w:val="000000"/>
                        </w:rPr>
                        <w:t>guidelines</w:t>
                      </w:r>
                      <w:r>
                        <w:rPr>
                          <w:color w:val="000000"/>
                          <w:spacing w:val="-3"/>
                        </w:rPr>
                        <w:t xml:space="preserve"> </w:t>
                      </w:r>
                      <w:r>
                        <w:rPr>
                          <w:color w:val="000000"/>
                        </w:rPr>
                        <w:t>should</w:t>
                      </w:r>
                      <w:r>
                        <w:rPr>
                          <w:color w:val="000000"/>
                          <w:spacing w:val="-6"/>
                        </w:rPr>
                        <w:t xml:space="preserve"> </w:t>
                      </w:r>
                      <w:r>
                        <w:rPr>
                          <w:color w:val="000000"/>
                        </w:rPr>
                        <w:t>be</w:t>
                      </w:r>
                      <w:r>
                        <w:rPr>
                          <w:color w:val="000000"/>
                          <w:spacing w:val="-3"/>
                        </w:rPr>
                        <w:t xml:space="preserve"> </w:t>
                      </w:r>
                      <w:r>
                        <w:rPr>
                          <w:color w:val="000000"/>
                        </w:rPr>
                        <w:t>developed</w:t>
                      </w:r>
                      <w:r>
                        <w:rPr>
                          <w:color w:val="000000"/>
                          <w:spacing w:val="-5"/>
                        </w:rPr>
                        <w:t xml:space="preserve"> </w:t>
                      </w:r>
                      <w:r>
                        <w:rPr>
                          <w:color w:val="000000"/>
                        </w:rPr>
                        <w:t>for</w:t>
                      </w:r>
                      <w:r>
                        <w:rPr>
                          <w:color w:val="000000"/>
                          <w:spacing w:val="-5"/>
                        </w:rPr>
                        <w:t xml:space="preserve"> </w:t>
                      </w:r>
                      <w:r>
                        <w:rPr>
                          <w:color w:val="000000"/>
                        </w:rPr>
                        <w:t>identifying</w:t>
                      </w:r>
                      <w:r>
                        <w:rPr>
                          <w:color w:val="000000"/>
                          <w:spacing w:val="-3"/>
                        </w:rPr>
                        <w:t xml:space="preserve"> </w:t>
                      </w:r>
                      <w:r>
                        <w:rPr>
                          <w:color w:val="000000"/>
                        </w:rPr>
                        <w:t>and</w:t>
                      </w:r>
                      <w:r>
                        <w:rPr>
                          <w:color w:val="000000"/>
                          <w:spacing w:val="-5"/>
                        </w:rPr>
                        <w:t xml:space="preserve"> </w:t>
                      </w:r>
                      <w:r>
                        <w:rPr>
                          <w:color w:val="000000"/>
                        </w:rPr>
                        <w:t>assessing</w:t>
                      </w:r>
                      <w:r>
                        <w:rPr>
                          <w:color w:val="000000"/>
                          <w:spacing w:val="-6"/>
                        </w:rPr>
                        <w:t xml:space="preserve"> </w:t>
                      </w:r>
                      <w:r>
                        <w:rPr>
                          <w:color w:val="000000"/>
                        </w:rPr>
                        <w:t>human</w:t>
                      </w:r>
                      <w:r>
                        <w:rPr>
                          <w:color w:val="000000"/>
                          <w:spacing w:val="-5"/>
                        </w:rPr>
                        <w:t xml:space="preserve"> </w:t>
                      </w:r>
                      <w:r>
                        <w:rPr>
                          <w:color w:val="000000"/>
                        </w:rPr>
                        <w:t>rights</w:t>
                      </w:r>
                      <w:r>
                        <w:rPr>
                          <w:color w:val="000000"/>
                          <w:spacing w:val="-5"/>
                        </w:rPr>
                        <w:t xml:space="preserve"> </w:t>
                      </w:r>
                      <w:r>
                        <w:rPr>
                          <w:color w:val="000000"/>
                        </w:rPr>
                        <w:t>implications</w:t>
                      </w:r>
                      <w:r>
                        <w:rPr>
                          <w:color w:val="000000"/>
                          <w:spacing w:val="-5"/>
                        </w:rPr>
                        <w:t xml:space="preserve"> </w:t>
                      </w:r>
                      <w:r>
                        <w:rPr>
                          <w:color w:val="000000"/>
                        </w:rPr>
                        <w:t>of proposed legislation to assist responsible agencies and departments in developing human rights compatible policies and proposals for legislation.</w:t>
                      </w:r>
                    </w:p>
                  </w:txbxContent>
                </v:textbox>
                <w10:anchorlock/>
              </v:shape>
            </w:pict>
          </mc:Fallback>
        </mc:AlternateContent>
      </w:r>
    </w:p>
    <w:p w14:paraId="7CB26211" w14:textId="77777777" w:rsidR="008A4099" w:rsidRDefault="006A6EE2">
      <w:pPr>
        <w:pStyle w:val="Heading4"/>
        <w:spacing w:before="215"/>
      </w:pPr>
      <w:bookmarkStart w:id="47" w:name="_TOC_250013"/>
      <w:r>
        <w:t>Scrutiny:</w:t>
      </w:r>
      <w:r>
        <w:rPr>
          <w:spacing w:val="-4"/>
        </w:rPr>
        <w:t xml:space="preserve"> </w:t>
      </w:r>
      <w:r>
        <w:t>delegated</w:t>
      </w:r>
      <w:r>
        <w:rPr>
          <w:spacing w:val="-4"/>
        </w:rPr>
        <w:t xml:space="preserve"> </w:t>
      </w:r>
      <w:bookmarkEnd w:id="47"/>
      <w:r>
        <w:rPr>
          <w:spacing w:val="-2"/>
        </w:rPr>
        <w:t>legislation</w:t>
      </w:r>
    </w:p>
    <w:p w14:paraId="7CB26212" w14:textId="77777777" w:rsidR="008A4099" w:rsidRDefault="008A4099">
      <w:pPr>
        <w:pStyle w:val="BodyText"/>
        <w:spacing w:before="14"/>
        <w:rPr>
          <w:b/>
          <w:i/>
          <w:sz w:val="23"/>
        </w:rPr>
      </w:pPr>
    </w:p>
    <w:p w14:paraId="7CB26213" w14:textId="77777777" w:rsidR="008A4099" w:rsidRDefault="006A6EE2">
      <w:pPr>
        <w:pStyle w:val="Heading3"/>
      </w:pPr>
      <w:r>
        <w:t>2007</w:t>
      </w:r>
      <w:r>
        <w:rPr>
          <w:spacing w:val="-3"/>
        </w:rPr>
        <w:t xml:space="preserve"> </w:t>
      </w:r>
      <w:r>
        <w:t>Final</w:t>
      </w:r>
      <w:r>
        <w:rPr>
          <w:spacing w:val="-3"/>
        </w:rPr>
        <w:t xml:space="preserve"> </w:t>
      </w:r>
      <w:r>
        <w:t>Report</w:t>
      </w:r>
      <w:r>
        <w:rPr>
          <w:spacing w:val="-3"/>
        </w:rPr>
        <w:t xml:space="preserve"> </w:t>
      </w:r>
      <w:r>
        <w:t>and</w:t>
      </w:r>
      <w:r>
        <w:rPr>
          <w:spacing w:val="-2"/>
        </w:rPr>
        <w:t xml:space="preserve"> </w:t>
      </w:r>
      <w:r>
        <w:t>subsequent</w:t>
      </w:r>
      <w:r>
        <w:rPr>
          <w:spacing w:val="-2"/>
        </w:rPr>
        <w:t xml:space="preserve"> developments</w:t>
      </w:r>
    </w:p>
    <w:p w14:paraId="7CB26214" w14:textId="77777777" w:rsidR="008A4099" w:rsidRDefault="006A6EE2">
      <w:pPr>
        <w:pStyle w:val="ListParagraph"/>
        <w:numPr>
          <w:ilvl w:val="2"/>
          <w:numId w:val="3"/>
        </w:numPr>
        <w:tabs>
          <w:tab w:val="left" w:pos="879"/>
        </w:tabs>
        <w:spacing w:before="261"/>
        <w:ind w:right="674" w:firstLine="0"/>
        <w:jc w:val="both"/>
      </w:pPr>
      <w:r>
        <w:t>Delegated or subordinate legislation is made by the Executive arm of government. It is not enacted by Parliament in the same way as primary legislation. In the 2007 Final Report, the TLRI’s view was that, even though such legislation is not enacted by Parliament, Parliament should nevertheless have a role in scrutinising subordinate legislation in human rights terms. Accordingly, in the 2007 Final Report, the</w:t>
      </w:r>
      <w:r>
        <w:rPr>
          <w:spacing w:val="-1"/>
        </w:rPr>
        <w:t xml:space="preserve"> </w:t>
      </w:r>
      <w:r>
        <w:t>TLRI</w:t>
      </w:r>
      <w:r>
        <w:rPr>
          <w:spacing w:val="-1"/>
        </w:rPr>
        <w:t xml:space="preserve"> </w:t>
      </w:r>
      <w:r>
        <w:t>recommended that subordinate legislation should</w:t>
      </w:r>
      <w:r>
        <w:rPr>
          <w:spacing w:val="-2"/>
        </w:rPr>
        <w:t xml:space="preserve"> </w:t>
      </w:r>
      <w:r>
        <w:t>be accompanied by statements</w:t>
      </w:r>
      <w:r>
        <w:rPr>
          <w:spacing w:val="-4"/>
        </w:rPr>
        <w:t xml:space="preserve"> </w:t>
      </w:r>
      <w:r>
        <w:t>of</w:t>
      </w:r>
      <w:r>
        <w:rPr>
          <w:spacing w:val="-4"/>
        </w:rPr>
        <w:t xml:space="preserve"> </w:t>
      </w:r>
      <w:r>
        <w:t>human</w:t>
      </w:r>
      <w:r>
        <w:rPr>
          <w:spacing w:val="-7"/>
        </w:rPr>
        <w:t xml:space="preserve"> </w:t>
      </w:r>
      <w:r>
        <w:t>rights</w:t>
      </w:r>
      <w:r>
        <w:rPr>
          <w:spacing w:val="-6"/>
        </w:rPr>
        <w:t xml:space="preserve"> </w:t>
      </w:r>
      <w:r>
        <w:t>compatibility</w:t>
      </w:r>
      <w:r>
        <w:rPr>
          <w:spacing w:val="-5"/>
        </w:rPr>
        <w:t xml:space="preserve"> </w:t>
      </w:r>
      <w:r>
        <w:t>and</w:t>
      </w:r>
      <w:r>
        <w:rPr>
          <w:spacing w:val="-5"/>
        </w:rPr>
        <w:t xml:space="preserve"> </w:t>
      </w:r>
      <w:r>
        <w:t>subject</w:t>
      </w:r>
      <w:r>
        <w:rPr>
          <w:spacing w:val="-6"/>
        </w:rPr>
        <w:t xml:space="preserve"> </w:t>
      </w:r>
      <w:r>
        <w:t>to</w:t>
      </w:r>
      <w:r>
        <w:rPr>
          <w:spacing w:val="-7"/>
        </w:rPr>
        <w:t xml:space="preserve"> </w:t>
      </w:r>
      <w:r>
        <w:t>the</w:t>
      </w:r>
      <w:r>
        <w:rPr>
          <w:spacing w:val="-4"/>
        </w:rPr>
        <w:t xml:space="preserve"> </w:t>
      </w:r>
      <w:r>
        <w:t>usual</w:t>
      </w:r>
      <w:r>
        <w:rPr>
          <w:spacing w:val="-6"/>
        </w:rPr>
        <w:t xml:space="preserve"> </w:t>
      </w:r>
      <w:r>
        <w:t>disallowance</w:t>
      </w:r>
      <w:r>
        <w:rPr>
          <w:spacing w:val="-4"/>
        </w:rPr>
        <w:t xml:space="preserve"> </w:t>
      </w:r>
      <w:r>
        <w:t>procedures,</w:t>
      </w:r>
      <w:r>
        <w:rPr>
          <w:spacing w:val="-5"/>
        </w:rPr>
        <w:t xml:space="preserve"> </w:t>
      </w:r>
      <w:r>
        <w:t>where</w:t>
      </w:r>
      <w:r>
        <w:rPr>
          <w:spacing w:val="-4"/>
        </w:rPr>
        <w:t xml:space="preserve"> </w:t>
      </w:r>
      <w:r>
        <w:t>non- compliance with human rights is identified.</w:t>
      </w:r>
    </w:p>
    <w:p w14:paraId="7CB26215" w14:textId="77777777" w:rsidR="008A4099" w:rsidRDefault="006A6EE2">
      <w:pPr>
        <w:pStyle w:val="ListParagraph"/>
        <w:numPr>
          <w:ilvl w:val="2"/>
          <w:numId w:val="3"/>
        </w:numPr>
        <w:tabs>
          <w:tab w:val="left" w:pos="879"/>
        </w:tabs>
        <w:spacing w:before="215"/>
        <w:ind w:right="674" w:firstLine="0"/>
        <w:jc w:val="both"/>
        <w:rPr>
          <w:sz w:val="13"/>
        </w:rPr>
      </w:pPr>
      <w:r>
        <w:t>In</w:t>
      </w:r>
      <w:r>
        <w:rPr>
          <w:spacing w:val="-10"/>
        </w:rPr>
        <w:t xml:space="preserve"> </w:t>
      </w:r>
      <w:r>
        <w:t>Queensland,</w:t>
      </w:r>
      <w:r>
        <w:rPr>
          <w:spacing w:val="-12"/>
        </w:rPr>
        <w:t xml:space="preserve"> </w:t>
      </w:r>
      <w:r>
        <w:t>the</w:t>
      </w:r>
      <w:r>
        <w:rPr>
          <w:spacing w:val="-9"/>
        </w:rPr>
        <w:t xml:space="preserve"> </w:t>
      </w:r>
      <w:r>
        <w:t>process</w:t>
      </w:r>
      <w:r>
        <w:rPr>
          <w:spacing w:val="-11"/>
        </w:rPr>
        <w:t xml:space="preserve"> </w:t>
      </w:r>
      <w:r>
        <w:t>for</w:t>
      </w:r>
      <w:r>
        <w:rPr>
          <w:spacing w:val="-11"/>
        </w:rPr>
        <w:t xml:space="preserve"> </w:t>
      </w:r>
      <w:r>
        <w:t>scrutiny</w:t>
      </w:r>
      <w:r>
        <w:rPr>
          <w:spacing w:val="-12"/>
        </w:rPr>
        <w:t xml:space="preserve"> </w:t>
      </w:r>
      <w:r>
        <w:t>of</w:t>
      </w:r>
      <w:r>
        <w:rPr>
          <w:spacing w:val="-11"/>
        </w:rPr>
        <w:t xml:space="preserve"> </w:t>
      </w:r>
      <w:r>
        <w:t>subordinate</w:t>
      </w:r>
      <w:r>
        <w:rPr>
          <w:spacing w:val="-9"/>
        </w:rPr>
        <w:t xml:space="preserve"> </w:t>
      </w:r>
      <w:r>
        <w:t>legislation</w:t>
      </w:r>
      <w:r>
        <w:rPr>
          <w:spacing w:val="-10"/>
        </w:rPr>
        <w:t xml:space="preserve"> </w:t>
      </w:r>
      <w:r>
        <w:t>is</w:t>
      </w:r>
      <w:r>
        <w:rPr>
          <w:spacing w:val="-11"/>
        </w:rPr>
        <w:t xml:space="preserve"> </w:t>
      </w:r>
      <w:r>
        <w:t>for</w:t>
      </w:r>
      <w:r>
        <w:rPr>
          <w:spacing w:val="-11"/>
        </w:rPr>
        <w:t xml:space="preserve"> </w:t>
      </w:r>
      <w:r>
        <w:t>the</w:t>
      </w:r>
      <w:r>
        <w:rPr>
          <w:spacing w:val="-12"/>
        </w:rPr>
        <w:t xml:space="preserve"> </w:t>
      </w:r>
      <w:r>
        <w:t>responsible</w:t>
      </w:r>
      <w:r>
        <w:rPr>
          <w:spacing w:val="-12"/>
        </w:rPr>
        <w:t xml:space="preserve"> </w:t>
      </w:r>
      <w:r>
        <w:t>minister or minsters to prepare a human rights certificate for subordinate legislation which addresses the issue of</w:t>
      </w:r>
      <w:r>
        <w:rPr>
          <w:spacing w:val="-9"/>
        </w:rPr>
        <w:t xml:space="preserve"> </w:t>
      </w:r>
      <w:r>
        <w:t>compatibility</w:t>
      </w:r>
      <w:r>
        <w:rPr>
          <w:spacing w:val="-10"/>
        </w:rPr>
        <w:t xml:space="preserve"> </w:t>
      </w:r>
      <w:r>
        <w:t>with</w:t>
      </w:r>
      <w:r>
        <w:rPr>
          <w:spacing w:val="-10"/>
        </w:rPr>
        <w:t xml:space="preserve"> </w:t>
      </w:r>
      <w:r>
        <w:t>human</w:t>
      </w:r>
      <w:r>
        <w:rPr>
          <w:spacing w:val="-10"/>
        </w:rPr>
        <w:t xml:space="preserve"> </w:t>
      </w:r>
      <w:r>
        <w:t>rights.</w:t>
      </w:r>
      <w:r>
        <w:rPr>
          <w:position w:val="7"/>
          <w:sz w:val="13"/>
        </w:rPr>
        <w:t>452</w:t>
      </w:r>
      <w:r>
        <w:rPr>
          <w:spacing w:val="13"/>
          <w:position w:val="7"/>
          <w:sz w:val="13"/>
        </w:rPr>
        <w:t xml:space="preserve"> </w:t>
      </w:r>
      <w:r>
        <w:t>Subordinate</w:t>
      </w:r>
      <w:r>
        <w:rPr>
          <w:spacing w:val="-12"/>
        </w:rPr>
        <w:t xml:space="preserve"> </w:t>
      </w:r>
      <w:r>
        <w:t>legislation</w:t>
      </w:r>
      <w:r>
        <w:rPr>
          <w:spacing w:val="-12"/>
        </w:rPr>
        <w:t xml:space="preserve"> </w:t>
      </w:r>
      <w:r>
        <w:t>is</w:t>
      </w:r>
      <w:r>
        <w:rPr>
          <w:spacing w:val="-11"/>
        </w:rPr>
        <w:t xml:space="preserve"> </w:t>
      </w:r>
      <w:r>
        <w:t>subject</w:t>
      </w:r>
      <w:r>
        <w:rPr>
          <w:spacing w:val="-9"/>
        </w:rPr>
        <w:t xml:space="preserve"> </w:t>
      </w:r>
      <w:r>
        <w:t>to</w:t>
      </w:r>
      <w:r>
        <w:rPr>
          <w:spacing w:val="-10"/>
        </w:rPr>
        <w:t xml:space="preserve"> </w:t>
      </w:r>
      <w:r>
        <w:t>parliamentary</w:t>
      </w:r>
      <w:r>
        <w:rPr>
          <w:spacing w:val="-10"/>
        </w:rPr>
        <w:t xml:space="preserve"> </w:t>
      </w:r>
      <w:r>
        <w:t>scrutiny</w:t>
      </w:r>
      <w:r>
        <w:rPr>
          <w:spacing w:val="-10"/>
        </w:rPr>
        <w:t xml:space="preserve"> </w:t>
      </w:r>
      <w:r>
        <w:t>under the</w:t>
      </w:r>
      <w:r>
        <w:rPr>
          <w:spacing w:val="-2"/>
        </w:rPr>
        <w:t xml:space="preserve"> </w:t>
      </w:r>
      <w:r>
        <w:rPr>
          <w:i/>
        </w:rPr>
        <w:t>Parliament</w:t>
      </w:r>
      <w:r>
        <w:rPr>
          <w:i/>
          <w:spacing w:val="-1"/>
        </w:rPr>
        <w:t xml:space="preserve"> </w:t>
      </w:r>
      <w:r>
        <w:rPr>
          <w:i/>
        </w:rPr>
        <w:t>of</w:t>
      </w:r>
      <w:r>
        <w:rPr>
          <w:i/>
          <w:spacing w:val="-1"/>
        </w:rPr>
        <w:t xml:space="preserve"> </w:t>
      </w:r>
      <w:r>
        <w:rPr>
          <w:i/>
        </w:rPr>
        <w:t>Queensland</w:t>
      </w:r>
      <w:r>
        <w:rPr>
          <w:i/>
          <w:spacing w:val="-2"/>
        </w:rPr>
        <w:t xml:space="preserve"> </w:t>
      </w:r>
      <w:r>
        <w:rPr>
          <w:i/>
        </w:rPr>
        <w:t>Act</w:t>
      </w:r>
      <w:r>
        <w:rPr>
          <w:i/>
          <w:spacing w:val="-4"/>
        </w:rPr>
        <w:t xml:space="preserve"> </w:t>
      </w:r>
      <w:r>
        <w:rPr>
          <w:i/>
        </w:rPr>
        <w:t>2001</w:t>
      </w:r>
      <w:r>
        <w:rPr>
          <w:i/>
          <w:spacing w:val="-3"/>
        </w:rPr>
        <w:t xml:space="preserve"> </w:t>
      </w:r>
      <w:r>
        <w:t>(Qld),</w:t>
      </w:r>
      <w:r>
        <w:rPr>
          <w:spacing w:val="-2"/>
        </w:rPr>
        <w:t xml:space="preserve"> </w:t>
      </w:r>
      <w:r>
        <w:t>which</w:t>
      </w:r>
      <w:r>
        <w:rPr>
          <w:spacing w:val="-2"/>
        </w:rPr>
        <w:t xml:space="preserve"> </w:t>
      </w:r>
      <w:r>
        <w:t>provides</w:t>
      </w:r>
      <w:r>
        <w:rPr>
          <w:spacing w:val="-4"/>
        </w:rPr>
        <w:t xml:space="preserve"> </w:t>
      </w:r>
      <w:r>
        <w:t>for</w:t>
      </w:r>
      <w:r>
        <w:rPr>
          <w:spacing w:val="-4"/>
        </w:rPr>
        <w:t xml:space="preserve"> </w:t>
      </w:r>
      <w:r>
        <w:t>scrutiny</w:t>
      </w:r>
      <w:r>
        <w:rPr>
          <w:spacing w:val="-5"/>
        </w:rPr>
        <w:t xml:space="preserve"> </w:t>
      </w:r>
      <w:r>
        <w:t>by</w:t>
      </w:r>
      <w:r>
        <w:rPr>
          <w:spacing w:val="-2"/>
        </w:rPr>
        <w:t xml:space="preserve"> </w:t>
      </w:r>
      <w:r>
        <w:t>a</w:t>
      </w:r>
      <w:r>
        <w:rPr>
          <w:spacing w:val="-4"/>
        </w:rPr>
        <w:t xml:space="preserve"> </w:t>
      </w:r>
      <w:r>
        <w:t>portfolio</w:t>
      </w:r>
      <w:r>
        <w:rPr>
          <w:spacing w:val="-2"/>
        </w:rPr>
        <w:t xml:space="preserve"> </w:t>
      </w:r>
      <w:r>
        <w:t>committee of legislation in its portfolio area. In Victoria, the Scrutiny of Acts and Regulations Committee of Parliament</w:t>
      </w:r>
      <w:r>
        <w:rPr>
          <w:spacing w:val="-14"/>
        </w:rPr>
        <w:t xml:space="preserve"> </w:t>
      </w:r>
      <w:r>
        <w:t>has</w:t>
      </w:r>
      <w:r>
        <w:rPr>
          <w:spacing w:val="-14"/>
        </w:rPr>
        <w:t xml:space="preserve"> </w:t>
      </w:r>
      <w:r>
        <w:t>a</w:t>
      </w:r>
      <w:r>
        <w:rPr>
          <w:spacing w:val="-14"/>
        </w:rPr>
        <w:t xml:space="preserve"> </w:t>
      </w:r>
      <w:r>
        <w:t>human</w:t>
      </w:r>
      <w:r>
        <w:rPr>
          <w:spacing w:val="-13"/>
        </w:rPr>
        <w:t xml:space="preserve"> </w:t>
      </w:r>
      <w:r>
        <w:t>rights</w:t>
      </w:r>
      <w:r>
        <w:rPr>
          <w:spacing w:val="-14"/>
        </w:rPr>
        <w:t xml:space="preserve"> </w:t>
      </w:r>
      <w:r>
        <w:t>scrutiny</w:t>
      </w:r>
      <w:r>
        <w:rPr>
          <w:spacing w:val="-14"/>
        </w:rPr>
        <w:t xml:space="preserve"> </w:t>
      </w:r>
      <w:r>
        <w:t>role</w:t>
      </w:r>
      <w:r>
        <w:rPr>
          <w:spacing w:val="-14"/>
        </w:rPr>
        <w:t xml:space="preserve"> </w:t>
      </w:r>
      <w:r>
        <w:t>in</w:t>
      </w:r>
      <w:r>
        <w:rPr>
          <w:spacing w:val="-13"/>
        </w:rPr>
        <w:t xml:space="preserve"> </w:t>
      </w:r>
      <w:r>
        <w:t>relation</w:t>
      </w:r>
      <w:r>
        <w:rPr>
          <w:spacing w:val="-14"/>
        </w:rPr>
        <w:t xml:space="preserve"> </w:t>
      </w:r>
      <w:r>
        <w:t>to</w:t>
      </w:r>
      <w:r>
        <w:rPr>
          <w:spacing w:val="-14"/>
        </w:rPr>
        <w:t xml:space="preserve"> </w:t>
      </w:r>
      <w:r>
        <w:t>delegated</w:t>
      </w:r>
      <w:r>
        <w:rPr>
          <w:spacing w:val="-14"/>
        </w:rPr>
        <w:t xml:space="preserve"> </w:t>
      </w:r>
      <w:r>
        <w:t>legislation,</w:t>
      </w:r>
      <w:r>
        <w:rPr>
          <w:spacing w:val="-13"/>
        </w:rPr>
        <w:t xml:space="preserve"> </w:t>
      </w:r>
      <w:r>
        <w:t>and</w:t>
      </w:r>
      <w:r>
        <w:rPr>
          <w:spacing w:val="-14"/>
        </w:rPr>
        <w:t xml:space="preserve"> </w:t>
      </w:r>
      <w:r>
        <w:t>reports</w:t>
      </w:r>
      <w:r>
        <w:rPr>
          <w:spacing w:val="-13"/>
        </w:rPr>
        <w:t xml:space="preserve"> </w:t>
      </w:r>
      <w:r>
        <w:t>to</w:t>
      </w:r>
      <w:r>
        <w:rPr>
          <w:spacing w:val="-14"/>
        </w:rPr>
        <w:t xml:space="preserve"> </w:t>
      </w:r>
      <w:r>
        <w:t>Parliament if it considers the statutory rule to be incompatible with human rights.</w:t>
      </w:r>
      <w:r>
        <w:rPr>
          <w:position w:val="7"/>
          <w:sz w:val="13"/>
        </w:rPr>
        <w:t>453</w:t>
      </w:r>
      <w:r>
        <w:rPr>
          <w:spacing w:val="40"/>
          <w:position w:val="7"/>
          <w:sz w:val="13"/>
        </w:rPr>
        <w:t xml:space="preserve"> </w:t>
      </w:r>
      <w:r>
        <w:t xml:space="preserve">Under the </w:t>
      </w:r>
      <w:r>
        <w:rPr>
          <w:i/>
        </w:rPr>
        <w:t xml:space="preserve">Subordinate Legislation Act 1994 </w:t>
      </w:r>
      <w:r>
        <w:t>(Vic) s 12A, the responsible minister must ensure that a human rights certificate is prepared in respect of a proposed statutory rule. In contrast, the ACT Human Rights Act does not require subordinate legislation to be accompanied by a statement of compatibility and the Standing Committee on Justice and Community Safety (Legislative Scrutiny Role) does not have a mandate under the Act to report on human rights issues raised by subordinate legislation.</w:t>
      </w:r>
      <w:r>
        <w:rPr>
          <w:position w:val="7"/>
          <w:sz w:val="13"/>
        </w:rPr>
        <w:t>454</w:t>
      </w:r>
      <w:r>
        <w:rPr>
          <w:spacing w:val="40"/>
          <w:position w:val="7"/>
          <w:sz w:val="13"/>
        </w:rPr>
        <w:t xml:space="preserve"> </w:t>
      </w:r>
      <w:r>
        <w:t>This has been identified as a</w:t>
      </w:r>
      <w:r>
        <w:rPr>
          <w:spacing w:val="-1"/>
        </w:rPr>
        <w:t xml:space="preserve"> </w:t>
      </w:r>
      <w:r>
        <w:t>gap</w:t>
      </w:r>
      <w:r>
        <w:rPr>
          <w:spacing w:val="-1"/>
        </w:rPr>
        <w:t xml:space="preserve"> </w:t>
      </w:r>
      <w:r>
        <w:t>in</w:t>
      </w:r>
      <w:r>
        <w:rPr>
          <w:spacing w:val="-2"/>
        </w:rPr>
        <w:t xml:space="preserve"> </w:t>
      </w:r>
      <w:r>
        <w:t>the scrutiny</w:t>
      </w:r>
      <w:r>
        <w:rPr>
          <w:spacing w:val="-1"/>
        </w:rPr>
        <w:t xml:space="preserve"> </w:t>
      </w:r>
      <w:r>
        <w:t>process</w:t>
      </w:r>
      <w:r>
        <w:rPr>
          <w:spacing w:val="-1"/>
        </w:rPr>
        <w:t xml:space="preserve"> </w:t>
      </w:r>
      <w:r>
        <w:t>and</w:t>
      </w:r>
      <w:r>
        <w:rPr>
          <w:spacing w:val="-1"/>
        </w:rPr>
        <w:t xml:space="preserve"> </w:t>
      </w:r>
      <w:r>
        <w:t>an</w:t>
      </w:r>
      <w:r>
        <w:rPr>
          <w:spacing w:val="-1"/>
        </w:rPr>
        <w:t xml:space="preserve"> </w:t>
      </w:r>
      <w:r>
        <w:t>area</w:t>
      </w:r>
      <w:r>
        <w:rPr>
          <w:spacing w:val="-1"/>
        </w:rPr>
        <w:t xml:space="preserve"> </w:t>
      </w:r>
      <w:r>
        <w:t>where</w:t>
      </w:r>
      <w:r>
        <w:rPr>
          <w:spacing w:val="-1"/>
        </w:rPr>
        <w:t xml:space="preserve"> </w:t>
      </w:r>
      <w:r>
        <w:t>oversight of</w:t>
      </w:r>
      <w:r>
        <w:rPr>
          <w:spacing w:val="-1"/>
        </w:rPr>
        <w:t xml:space="preserve"> </w:t>
      </w:r>
      <w:r>
        <w:t>human</w:t>
      </w:r>
      <w:r>
        <w:rPr>
          <w:spacing w:val="-1"/>
        </w:rPr>
        <w:t xml:space="preserve"> </w:t>
      </w:r>
      <w:r>
        <w:t>rights</w:t>
      </w:r>
      <w:r>
        <w:rPr>
          <w:spacing w:val="-1"/>
        </w:rPr>
        <w:t xml:space="preserve"> </w:t>
      </w:r>
      <w:r>
        <w:t>issues</w:t>
      </w:r>
      <w:r>
        <w:rPr>
          <w:spacing w:val="-1"/>
        </w:rPr>
        <w:t xml:space="preserve"> </w:t>
      </w:r>
      <w:r>
        <w:t>could be improved in the ACT.</w:t>
      </w:r>
      <w:r>
        <w:rPr>
          <w:position w:val="7"/>
          <w:sz w:val="13"/>
        </w:rPr>
        <w:t>455</w:t>
      </w:r>
    </w:p>
    <w:p w14:paraId="7CB26216" w14:textId="77777777" w:rsidR="008A4099" w:rsidRDefault="006A6EE2">
      <w:pPr>
        <w:pStyle w:val="Heading3"/>
        <w:spacing w:before="235"/>
      </w:pPr>
      <w:r>
        <w:t>TLRI’s</w:t>
      </w:r>
      <w:r>
        <w:rPr>
          <w:spacing w:val="-4"/>
        </w:rPr>
        <w:t xml:space="preserve"> </w:t>
      </w:r>
      <w:r>
        <w:t>current</w:t>
      </w:r>
      <w:r>
        <w:rPr>
          <w:spacing w:val="-4"/>
        </w:rPr>
        <w:t xml:space="preserve"> </w:t>
      </w:r>
      <w:r>
        <w:t>views</w:t>
      </w:r>
      <w:r>
        <w:rPr>
          <w:spacing w:val="-4"/>
        </w:rPr>
        <w:t xml:space="preserve"> </w:t>
      </w:r>
      <w:r>
        <w:t>and</w:t>
      </w:r>
      <w:r>
        <w:rPr>
          <w:spacing w:val="-3"/>
        </w:rPr>
        <w:t xml:space="preserve"> </w:t>
      </w:r>
      <w:r>
        <w:rPr>
          <w:spacing w:val="-2"/>
        </w:rPr>
        <w:t>recommendations</w:t>
      </w:r>
    </w:p>
    <w:p w14:paraId="7CB26217" w14:textId="77777777" w:rsidR="008A4099" w:rsidRDefault="006A6EE2">
      <w:pPr>
        <w:pStyle w:val="ListParagraph"/>
        <w:numPr>
          <w:ilvl w:val="2"/>
          <w:numId w:val="3"/>
        </w:numPr>
        <w:tabs>
          <w:tab w:val="left" w:pos="879"/>
        </w:tabs>
        <w:spacing w:before="261"/>
        <w:ind w:right="674" w:firstLine="0"/>
        <w:jc w:val="both"/>
      </w:pPr>
      <w:r>
        <w:t>The</w:t>
      </w:r>
      <w:r>
        <w:rPr>
          <w:spacing w:val="-7"/>
        </w:rPr>
        <w:t xml:space="preserve"> </w:t>
      </w:r>
      <w:r>
        <w:t>TLRI</w:t>
      </w:r>
      <w:r>
        <w:rPr>
          <w:spacing w:val="-9"/>
        </w:rPr>
        <w:t xml:space="preserve"> </w:t>
      </w:r>
      <w:r>
        <w:t>maintains</w:t>
      </w:r>
      <w:r>
        <w:rPr>
          <w:spacing w:val="-9"/>
        </w:rPr>
        <w:t xml:space="preserve"> </w:t>
      </w:r>
      <w:r>
        <w:t>its</w:t>
      </w:r>
      <w:r>
        <w:rPr>
          <w:spacing w:val="-6"/>
        </w:rPr>
        <w:t xml:space="preserve"> </w:t>
      </w:r>
      <w:r>
        <w:t>view</w:t>
      </w:r>
      <w:r>
        <w:rPr>
          <w:spacing w:val="-8"/>
        </w:rPr>
        <w:t xml:space="preserve"> </w:t>
      </w:r>
      <w:r>
        <w:t>that</w:t>
      </w:r>
      <w:r>
        <w:rPr>
          <w:spacing w:val="-6"/>
        </w:rPr>
        <w:t xml:space="preserve"> </w:t>
      </w:r>
      <w:r>
        <w:t>subordinate</w:t>
      </w:r>
      <w:r>
        <w:rPr>
          <w:spacing w:val="-9"/>
        </w:rPr>
        <w:t xml:space="preserve"> </w:t>
      </w:r>
      <w:r>
        <w:t>legislation</w:t>
      </w:r>
      <w:r>
        <w:rPr>
          <w:spacing w:val="-7"/>
        </w:rPr>
        <w:t xml:space="preserve"> </w:t>
      </w:r>
      <w:r>
        <w:t>should</w:t>
      </w:r>
      <w:r>
        <w:rPr>
          <w:spacing w:val="-7"/>
        </w:rPr>
        <w:t xml:space="preserve"> </w:t>
      </w:r>
      <w:r>
        <w:t>be</w:t>
      </w:r>
      <w:r>
        <w:rPr>
          <w:spacing w:val="-7"/>
        </w:rPr>
        <w:t xml:space="preserve"> </w:t>
      </w:r>
      <w:r>
        <w:t>accompanied</w:t>
      </w:r>
      <w:r>
        <w:rPr>
          <w:spacing w:val="-9"/>
        </w:rPr>
        <w:t xml:space="preserve"> </w:t>
      </w:r>
      <w:r>
        <w:t>by</w:t>
      </w:r>
      <w:r>
        <w:rPr>
          <w:spacing w:val="-7"/>
        </w:rPr>
        <w:t xml:space="preserve"> </w:t>
      </w:r>
      <w:r>
        <w:t>statements of</w:t>
      </w:r>
      <w:r>
        <w:rPr>
          <w:spacing w:val="-6"/>
        </w:rPr>
        <w:t xml:space="preserve"> </w:t>
      </w:r>
      <w:r>
        <w:t>human</w:t>
      </w:r>
      <w:r>
        <w:rPr>
          <w:spacing w:val="-9"/>
        </w:rPr>
        <w:t xml:space="preserve"> </w:t>
      </w:r>
      <w:r>
        <w:t>rights</w:t>
      </w:r>
      <w:r>
        <w:rPr>
          <w:spacing w:val="-6"/>
        </w:rPr>
        <w:t xml:space="preserve"> </w:t>
      </w:r>
      <w:r>
        <w:t>compatibility</w:t>
      </w:r>
      <w:r>
        <w:rPr>
          <w:spacing w:val="-7"/>
        </w:rPr>
        <w:t xml:space="preserve"> </w:t>
      </w:r>
      <w:r>
        <w:t>and</w:t>
      </w:r>
      <w:r>
        <w:rPr>
          <w:spacing w:val="-9"/>
        </w:rPr>
        <w:t xml:space="preserve"> </w:t>
      </w:r>
      <w:r>
        <w:t>subject</w:t>
      </w:r>
      <w:r>
        <w:rPr>
          <w:spacing w:val="-9"/>
        </w:rPr>
        <w:t xml:space="preserve"> </w:t>
      </w:r>
      <w:r>
        <w:t>to</w:t>
      </w:r>
      <w:r>
        <w:rPr>
          <w:spacing w:val="-7"/>
        </w:rPr>
        <w:t xml:space="preserve"> </w:t>
      </w:r>
      <w:r>
        <w:t>the</w:t>
      </w:r>
      <w:r>
        <w:rPr>
          <w:spacing w:val="-7"/>
        </w:rPr>
        <w:t xml:space="preserve"> </w:t>
      </w:r>
      <w:r>
        <w:t>usual</w:t>
      </w:r>
      <w:r>
        <w:rPr>
          <w:spacing w:val="-8"/>
        </w:rPr>
        <w:t xml:space="preserve"> </w:t>
      </w:r>
      <w:r>
        <w:t>disallowance</w:t>
      </w:r>
      <w:r>
        <w:rPr>
          <w:spacing w:val="-9"/>
        </w:rPr>
        <w:t xml:space="preserve"> </w:t>
      </w:r>
      <w:r>
        <w:t>procedures,</w:t>
      </w:r>
      <w:r>
        <w:rPr>
          <w:spacing w:val="-7"/>
        </w:rPr>
        <w:t xml:space="preserve"> </w:t>
      </w:r>
      <w:r>
        <w:t>where</w:t>
      </w:r>
      <w:r>
        <w:rPr>
          <w:spacing w:val="-7"/>
        </w:rPr>
        <w:t xml:space="preserve"> </w:t>
      </w:r>
      <w:r>
        <w:t>non-compliance with human rights is identified. This is consistent with Recommendation 10 of the TLRI 2007 Final Report (see Appendix A).</w:t>
      </w:r>
    </w:p>
    <w:p w14:paraId="7CB26218" w14:textId="77777777" w:rsidR="008A4099" w:rsidRDefault="006A6EE2">
      <w:pPr>
        <w:pStyle w:val="ListParagraph"/>
        <w:numPr>
          <w:ilvl w:val="2"/>
          <w:numId w:val="3"/>
        </w:numPr>
        <w:tabs>
          <w:tab w:val="left" w:pos="879"/>
        </w:tabs>
        <w:spacing w:before="219" w:line="237" w:lineRule="auto"/>
        <w:ind w:right="673" w:firstLine="0"/>
        <w:jc w:val="both"/>
      </w:pPr>
      <w:r>
        <w:t>Where a statement of compatibility identifies potential incompatibility with human rights, the Tasmanian human rights enactment should provide that the regulation will not commence unless approved</w:t>
      </w:r>
      <w:r>
        <w:rPr>
          <w:spacing w:val="24"/>
        </w:rPr>
        <w:t xml:space="preserve"> </w:t>
      </w:r>
      <w:r>
        <w:t>by</w:t>
      </w:r>
      <w:r>
        <w:rPr>
          <w:spacing w:val="24"/>
        </w:rPr>
        <w:t xml:space="preserve"> </w:t>
      </w:r>
      <w:r>
        <w:t>both</w:t>
      </w:r>
      <w:r>
        <w:rPr>
          <w:spacing w:val="22"/>
        </w:rPr>
        <w:t xml:space="preserve"> </w:t>
      </w:r>
      <w:r>
        <w:t>houses</w:t>
      </w:r>
      <w:r>
        <w:rPr>
          <w:spacing w:val="22"/>
        </w:rPr>
        <w:t xml:space="preserve"> </w:t>
      </w:r>
      <w:r>
        <w:t>of</w:t>
      </w:r>
      <w:r>
        <w:rPr>
          <w:spacing w:val="27"/>
        </w:rPr>
        <w:t xml:space="preserve"> </w:t>
      </w:r>
      <w:r>
        <w:t>Parliament</w:t>
      </w:r>
      <w:r>
        <w:rPr>
          <w:spacing w:val="25"/>
        </w:rPr>
        <w:t xml:space="preserve"> </w:t>
      </w:r>
      <w:r>
        <w:t>or</w:t>
      </w:r>
      <w:r>
        <w:rPr>
          <w:spacing w:val="22"/>
        </w:rPr>
        <w:t xml:space="preserve"> </w:t>
      </w:r>
      <w:r>
        <w:t>at</w:t>
      </w:r>
      <w:r>
        <w:rPr>
          <w:spacing w:val="23"/>
        </w:rPr>
        <w:t xml:space="preserve"> </w:t>
      </w:r>
      <w:r>
        <w:t>the</w:t>
      </w:r>
      <w:r>
        <w:rPr>
          <w:spacing w:val="22"/>
        </w:rPr>
        <w:t xml:space="preserve"> </w:t>
      </w:r>
      <w:r>
        <w:t>expiration</w:t>
      </w:r>
      <w:r>
        <w:rPr>
          <w:spacing w:val="24"/>
        </w:rPr>
        <w:t xml:space="preserve"> </w:t>
      </w:r>
      <w:r>
        <w:t>of</w:t>
      </w:r>
      <w:r>
        <w:rPr>
          <w:spacing w:val="22"/>
        </w:rPr>
        <w:t xml:space="preserve"> </w:t>
      </w:r>
      <w:r>
        <w:t>a</w:t>
      </w:r>
      <w:r>
        <w:rPr>
          <w:spacing w:val="24"/>
        </w:rPr>
        <w:t xml:space="preserve"> </w:t>
      </w:r>
      <w:r>
        <w:t>disallowance</w:t>
      </w:r>
      <w:r>
        <w:rPr>
          <w:spacing w:val="20"/>
        </w:rPr>
        <w:t xml:space="preserve"> </w:t>
      </w:r>
      <w:r>
        <w:t>period</w:t>
      </w:r>
      <w:r>
        <w:rPr>
          <w:spacing w:val="24"/>
        </w:rPr>
        <w:t xml:space="preserve"> </w:t>
      </w:r>
      <w:r>
        <w:t>of</w:t>
      </w:r>
      <w:r>
        <w:rPr>
          <w:spacing w:val="28"/>
        </w:rPr>
        <w:t xml:space="preserve"> </w:t>
      </w:r>
      <w:r>
        <w:t>five</w:t>
      </w:r>
      <w:r>
        <w:rPr>
          <w:spacing w:val="25"/>
        </w:rPr>
        <w:t xml:space="preserve"> </w:t>
      </w:r>
      <w:r>
        <w:t>sitting</w:t>
      </w:r>
    </w:p>
    <w:p w14:paraId="7CB26219" w14:textId="77777777" w:rsidR="008A4099" w:rsidRDefault="006A6EE2">
      <w:pPr>
        <w:pStyle w:val="BodyText"/>
        <w:spacing w:before="4"/>
        <w:rPr>
          <w:sz w:val="15"/>
        </w:rPr>
      </w:pPr>
      <w:r>
        <w:rPr>
          <w:noProof/>
        </w:rPr>
        <mc:AlternateContent>
          <mc:Choice Requires="wps">
            <w:drawing>
              <wp:anchor distT="0" distB="0" distL="0" distR="0" simplePos="0" relativeHeight="487629824" behindDoc="1" locked="0" layoutInCell="1" allowOverlap="1" wp14:anchorId="7CB2667D" wp14:editId="7CB2667E">
                <wp:simplePos x="0" y="0"/>
                <wp:positionH relativeFrom="page">
                  <wp:posOffset>914704</wp:posOffset>
                </wp:positionH>
                <wp:positionV relativeFrom="paragraph">
                  <wp:posOffset>127836</wp:posOffset>
                </wp:positionV>
                <wp:extent cx="1829435" cy="762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930A42" id="Graphic 130" o:spid="_x0000_s1026" style="position:absolute;margin-left:1in;margin-top:10.05pt;width:144.05pt;height:.6pt;z-index:-156866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" path="m1829054,l,,,7620r1829054,l1829054,xe" fillcolor="black" stroked="f">
                <v:path arrowok="t"/>
                <w10:wrap type="topAndBottom" anchorx="page"/>
              </v:shape>
            </w:pict>
          </mc:Fallback>
        </mc:AlternateContent>
      </w:r>
    </w:p>
    <w:p w14:paraId="7CB2621A" w14:textId="77777777" w:rsidR="008A4099" w:rsidRDefault="006A6EE2">
      <w:pPr>
        <w:spacing w:before="112"/>
        <w:ind w:left="160"/>
        <w:rPr>
          <w:sz w:val="18"/>
        </w:rPr>
      </w:pPr>
      <w:r>
        <w:rPr>
          <w:sz w:val="18"/>
          <w:vertAlign w:val="superscript"/>
        </w:rPr>
        <w:t>452</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s</w:t>
      </w:r>
      <w:r>
        <w:rPr>
          <w:spacing w:val="1"/>
          <w:sz w:val="18"/>
        </w:rPr>
        <w:t xml:space="preserve"> </w:t>
      </w:r>
      <w:r>
        <w:rPr>
          <w:spacing w:val="-5"/>
          <w:sz w:val="18"/>
        </w:rPr>
        <w:t>41.</w:t>
      </w:r>
    </w:p>
    <w:p w14:paraId="7CB2621B" w14:textId="77777777" w:rsidR="008A4099" w:rsidRDefault="006A6EE2">
      <w:pPr>
        <w:spacing w:before="24"/>
        <w:ind w:left="160"/>
        <w:rPr>
          <w:sz w:val="18"/>
        </w:rPr>
      </w:pPr>
      <w:r>
        <w:rPr>
          <w:sz w:val="18"/>
          <w:vertAlign w:val="superscript"/>
        </w:rPr>
        <w:t>453</w:t>
      </w:r>
      <w:r>
        <w:rPr>
          <w:sz w:val="18"/>
        </w:rPr>
        <w:t xml:space="preserve"> </w:t>
      </w:r>
      <w:r>
        <w:rPr>
          <w:i/>
          <w:sz w:val="18"/>
        </w:rPr>
        <w:t>Subordinate</w:t>
      </w:r>
      <w:r>
        <w:rPr>
          <w:i/>
          <w:spacing w:val="1"/>
          <w:sz w:val="18"/>
        </w:rPr>
        <w:t xml:space="preserve"> </w:t>
      </w:r>
      <w:r>
        <w:rPr>
          <w:i/>
          <w:sz w:val="18"/>
        </w:rPr>
        <w:t>Legislation</w:t>
      </w:r>
      <w:r>
        <w:rPr>
          <w:i/>
          <w:spacing w:val="-1"/>
          <w:sz w:val="18"/>
        </w:rPr>
        <w:t xml:space="preserve"> </w:t>
      </w:r>
      <w:r>
        <w:rPr>
          <w:i/>
          <w:sz w:val="18"/>
        </w:rPr>
        <w:t>Act</w:t>
      </w:r>
      <w:r>
        <w:rPr>
          <w:i/>
          <w:spacing w:val="1"/>
          <w:sz w:val="18"/>
        </w:rPr>
        <w:t xml:space="preserve"> </w:t>
      </w:r>
      <w:r>
        <w:rPr>
          <w:i/>
          <w:sz w:val="18"/>
        </w:rPr>
        <w:t>1994</w:t>
      </w:r>
      <w:r>
        <w:rPr>
          <w:i/>
          <w:spacing w:val="5"/>
          <w:sz w:val="18"/>
        </w:rPr>
        <w:t xml:space="preserve"> </w:t>
      </w:r>
      <w:r>
        <w:rPr>
          <w:sz w:val="18"/>
        </w:rPr>
        <w:t>(Vic) s</w:t>
      </w:r>
      <w:r>
        <w:rPr>
          <w:spacing w:val="1"/>
          <w:sz w:val="18"/>
        </w:rPr>
        <w:t xml:space="preserve"> </w:t>
      </w:r>
      <w:r>
        <w:rPr>
          <w:spacing w:val="-5"/>
          <w:sz w:val="18"/>
        </w:rPr>
        <w:t>21.</w:t>
      </w:r>
    </w:p>
    <w:p w14:paraId="7CB2621C" w14:textId="77777777" w:rsidR="008A4099" w:rsidRDefault="006A6EE2">
      <w:pPr>
        <w:spacing w:before="23" w:line="244" w:lineRule="auto"/>
        <w:ind w:left="160"/>
        <w:rPr>
          <w:sz w:val="18"/>
        </w:rPr>
      </w:pPr>
      <w:r>
        <w:rPr>
          <w:sz w:val="18"/>
          <w:vertAlign w:val="superscript"/>
        </w:rPr>
        <w:t>454</w:t>
      </w:r>
      <w:r>
        <w:rPr>
          <w:spacing w:val="-12"/>
          <w:sz w:val="18"/>
        </w:rPr>
        <w:t xml:space="preserve"> </w:t>
      </w:r>
      <w:r>
        <w:rPr>
          <w:sz w:val="18"/>
        </w:rPr>
        <w:t>See</w:t>
      </w:r>
      <w:r>
        <w:rPr>
          <w:spacing w:val="-11"/>
          <w:sz w:val="18"/>
        </w:rPr>
        <w:t xml:space="preserve"> </w:t>
      </w:r>
      <w:r>
        <w:rPr>
          <w:sz w:val="18"/>
        </w:rPr>
        <w:t>discussion</w:t>
      </w:r>
      <w:r>
        <w:rPr>
          <w:spacing w:val="-11"/>
          <w:sz w:val="18"/>
        </w:rPr>
        <w:t xml:space="preserve"> </w:t>
      </w:r>
      <w:r>
        <w:rPr>
          <w:sz w:val="18"/>
        </w:rPr>
        <w:t>in</w:t>
      </w:r>
      <w:r>
        <w:rPr>
          <w:spacing w:val="-11"/>
          <w:sz w:val="18"/>
        </w:rPr>
        <w:t xml:space="preserve"> </w:t>
      </w:r>
      <w:r>
        <w:rPr>
          <w:sz w:val="18"/>
        </w:rPr>
        <w:t>Watchirs,</w:t>
      </w:r>
      <w:r>
        <w:rPr>
          <w:spacing w:val="-12"/>
          <w:sz w:val="18"/>
        </w:rPr>
        <w:t xml:space="preserve"> </w:t>
      </w:r>
      <w:r>
        <w:rPr>
          <w:sz w:val="18"/>
        </w:rPr>
        <w:t>Costello</w:t>
      </w:r>
      <w:r>
        <w:rPr>
          <w:spacing w:val="-9"/>
          <w:sz w:val="18"/>
        </w:rPr>
        <w:t xml:space="preserve"> </w:t>
      </w:r>
      <w:r>
        <w:rPr>
          <w:sz w:val="18"/>
        </w:rPr>
        <w:t>and</w:t>
      </w:r>
      <w:r>
        <w:rPr>
          <w:spacing w:val="-10"/>
          <w:sz w:val="18"/>
        </w:rPr>
        <w:t xml:space="preserve"> </w:t>
      </w:r>
      <w:r>
        <w:rPr>
          <w:sz w:val="18"/>
        </w:rPr>
        <w:t>Thilagaratnam,</w:t>
      </w:r>
      <w:r>
        <w:rPr>
          <w:spacing w:val="-11"/>
          <w:sz w:val="18"/>
        </w:rPr>
        <w:t xml:space="preserve"> </w:t>
      </w:r>
      <w:r>
        <w:rPr>
          <w:sz w:val="18"/>
        </w:rPr>
        <w:t>‘Human</w:t>
      </w:r>
      <w:r>
        <w:rPr>
          <w:spacing w:val="-12"/>
          <w:sz w:val="18"/>
        </w:rPr>
        <w:t xml:space="preserve"> </w:t>
      </w:r>
      <w:r>
        <w:rPr>
          <w:sz w:val="18"/>
        </w:rPr>
        <w:t>Rights</w:t>
      </w:r>
      <w:r>
        <w:rPr>
          <w:spacing w:val="-11"/>
          <w:sz w:val="18"/>
        </w:rPr>
        <w:t xml:space="preserve"> </w:t>
      </w:r>
      <w:r>
        <w:rPr>
          <w:sz w:val="18"/>
        </w:rPr>
        <w:t>Scrutiny</w:t>
      </w:r>
      <w:r>
        <w:rPr>
          <w:spacing w:val="-11"/>
          <w:sz w:val="18"/>
        </w:rPr>
        <w:t xml:space="preserve"> </w:t>
      </w:r>
      <w:r>
        <w:rPr>
          <w:sz w:val="18"/>
        </w:rPr>
        <w:t>under</w:t>
      </w:r>
      <w:r>
        <w:rPr>
          <w:spacing w:val="-11"/>
          <w:sz w:val="18"/>
        </w:rPr>
        <w:t xml:space="preserve"> </w:t>
      </w:r>
      <w:r>
        <w:rPr>
          <w:sz w:val="18"/>
        </w:rPr>
        <w:t>the</w:t>
      </w:r>
      <w:r>
        <w:rPr>
          <w:spacing w:val="-7"/>
          <w:sz w:val="18"/>
        </w:rPr>
        <w:t xml:space="preserve"> </w:t>
      </w:r>
      <w:r>
        <w:rPr>
          <w:i/>
          <w:sz w:val="18"/>
        </w:rPr>
        <w:t>Human</w:t>
      </w:r>
      <w:r>
        <w:rPr>
          <w:i/>
          <w:spacing w:val="-12"/>
          <w:sz w:val="18"/>
        </w:rPr>
        <w:t xml:space="preserve"> </w:t>
      </w:r>
      <w:r>
        <w:rPr>
          <w:i/>
          <w:sz w:val="18"/>
        </w:rPr>
        <w:t>Rights</w:t>
      </w:r>
      <w:r>
        <w:rPr>
          <w:i/>
          <w:spacing w:val="-10"/>
          <w:sz w:val="18"/>
        </w:rPr>
        <w:t xml:space="preserve"> </w:t>
      </w:r>
      <w:r>
        <w:rPr>
          <w:i/>
          <w:sz w:val="18"/>
        </w:rPr>
        <w:t>Act</w:t>
      </w:r>
      <w:r>
        <w:rPr>
          <w:i/>
          <w:spacing w:val="-12"/>
          <w:sz w:val="18"/>
        </w:rPr>
        <w:t xml:space="preserve"> </w:t>
      </w:r>
      <w:r>
        <w:rPr>
          <w:i/>
          <w:sz w:val="18"/>
        </w:rPr>
        <w:t>2004</w:t>
      </w:r>
      <w:r>
        <w:rPr>
          <w:i/>
          <w:spacing w:val="-11"/>
          <w:sz w:val="18"/>
        </w:rPr>
        <w:t xml:space="preserve"> </w:t>
      </w:r>
      <w:r>
        <w:rPr>
          <w:sz w:val="18"/>
        </w:rPr>
        <w:t xml:space="preserve">(ACT)’ </w:t>
      </w:r>
      <w:r>
        <w:rPr>
          <w:spacing w:val="-2"/>
          <w:sz w:val="18"/>
        </w:rPr>
        <w:t>[6.120]–[6.130].</w:t>
      </w:r>
    </w:p>
    <w:p w14:paraId="7CB2621D" w14:textId="77777777" w:rsidR="008A4099" w:rsidRDefault="006A6EE2">
      <w:pPr>
        <w:spacing w:before="15"/>
        <w:ind w:left="160"/>
        <w:rPr>
          <w:sz w:val="18"/>
        </w:rPr>
      </w:pPr>
      <w:r>
        <w:rPr>
          <w:w w:val="105"/>
          <w:sz w:val="18"/>
          <w:vertAlign w:val="superscript"/>
        </w:rPr>
        <w:t>455</w:t>
      </w:r>
      <w:r>
        <w:rPr>
          <w:spacing w:val="1"/>
          <w:w w:val="105"/>
          <w:sz w:val="18"/>
        </w:rPr>
        <w:t xml:space="preserve"> </w:t>
      </w:r>
      <w:r>
        <w:rPr>
          <w:spacing w:val="-2"/>
          <w:w w:val="105"/>
          <w:sz w:val="18"/>
        </w:rPr>
        <w:t>Ibid.</w:t>
      </w:r>
    </w:p>
    <w:p w14:paraId="7CB2621E" w14:textId="77777777" w:rsidR="008A4099" w:rsidRDefault="008A4099">
      <w:pPr>
        <w:rPr>
          <w:sz w:val="18"/>
        </w:rPr>
        <w:sectPr w:rsidR="008A4099" w:rsidSect="00D43B2D">
          <w:pgSz w:w="11910" w:h="16840"/>
          <w:pgMar w:top="980" w:right="760" w:bottom="940" w:left="1280" w:header="718" w:footer="753" w:gutter="0"/>
          <w:cols w:space="720"/>
        </w:sectPr>
      </w:pPr>
    </w:p>
    <w:p w14:paraId="7CB2621F" w14:textId="77777777" w:rsidR="008A4099" w:rsidRDefault="008A4099">
      <w:pPr>
        <w:pStyle w:val="BodyText"/>
        <w:spacing w:before="194"/>
      </w:pPr>
    </w:p>
    <w:p w14:paraId="7CB26220" w14:textId="77777777" w:rsidR="008A4099" w:rsidRDefault="006A6EE2">
      <w:pPr>
        <w:pStyle w:val="BodyText"/>
        <w:ind w:left="160" w:right="677"/>
        <w:jc w:val="both"/>
      </w:pPr>
      <w:r>
        <w:t>days.</w:t>
      </w:r>
      <w:r>
        <w:rPr>
          <w:position w:val="7"/>
          <w:sz w:val="13"/>
        </w:rPr>
        <w:t>456</w:t>
      </w:r>
      <w:r>
        <w:rPr>
          <w:spacing w:val="15"/>
          <w:position w:val="7"/>
          <w:sz w:val="13"/>
        </w:rPr>
        <w:t xml:space="preserve"> </w:t>
      </w:r>
      <w:r>
        <w:t>This</w:t>
      </w:r>
      <w:r>
        <w:rPr>
          <w:spacing w:val="-6"/>
        </w:rPr>
        <w:t xml:space="preserve"> </w:t>
      </w:r>
      <w:r>
        <w:t>elevates</w:t>
      </w:r>
      <w:r>
        <w:rPr>
          <w:spacing w:val="-9"/>
        </w:rPr>
        <w:t xml:space="preserve"> </w:t>
      </w:r>
      <w:r>
        <w:t>the</w:t>
      </w:r>
      <w:r>
        <w:rPr>
          <w:spacing w:val="-9"/>
        </w:rPr>
        <w:t xml:space="preserve"> </w:t>
      </w:r>
      <w:r>
        <w:t>significance</w:t>
      </w:r>
      <w:r>
        <w:rPr>
          <w:spacing w:val="-9"/>
        </w:rPr>
        <w:t xml:space="preserve"> </w:t>
      </w:r>
      <w:r>
        <w:t>of</w:t>
      </w:r>
      <w:r>
        <w:rPr>
          <w:spacing w:val="-6"/>
        </w:rPr>
        <w:t xml:space="preserve"> </w:t>
      </w:r>
      <w:r>
        <w:t>human</w:t>
      </w:r>
      <w:r>
        <w:rPr>
          <w:spacing w:val="-10"/>
        </w:rPr>
        <w:t xml:space="preserve"> </w:t>
      </w:r>
      <w:r>
        <w:t>rights</w:t>
      </w:r>
      <w:r>
        <w:rPr>
          <w:spacing w:val="-9"/>
        </w:rPr>
        <w:t xml:space="preserve"> </w:t>
      </w:r>
      <w:r>
        <w:t>compliance</w:t>
      </w:r>
      <w:r>
        <w:rPr>
          <w:spacing w:val="-9"/>
        </w:rPr>
        <w:t xml:space="preserve"> </w:t>
      </w:r>
      <w:r>
        <w:t>and</w:t>
      </w:r>
      <w:r>
        <w:rPr>
          <w:spacing w:val="-9"/>
        </w:rPr>
        <w:t xml:space="preserve"> </w:t>
      </w:r>
      <w:r>
        <w:t>prompts</w:t>
      </w:r>
      <w:r>
        <w:rPr>
          <w:spacing w:val="-9"/>
        </w:rPr>
        <w:t xml:space="preserve"> </w:t>
      </w:r>
      <w:r>
        <w:t>consideration</w:t>
      </w:r>
      <w:r>
        <w:rPr>
          <w:spacing w:val="-10"/>
        </w:rPr>
        <w:t xml:space="preserve"> </w:t>
      </w:r>
      <w:r>
        <w:t>of</w:t>
      </w:r>
      <w:r>
        <w:rPr>
          <w:spacing w:val="-9"/>
        </w:rPr>
        <w:t xml:space="preserve"> </w:t>
      </w:r>
      <w:r>
        <w:t>human rights</w:t>
      </w:r>
      <w:r>
        <w:rPr>
          <w:spacing w:val="-4"/>
        </w:rPr>
        <w:t xml:space="preserve"> </w:t>
      </w:r>
      <w:r>
        <w:t>before</w:t>
      </w:r>
      <w:r>
        <w:rPr>
          <w:spacing w:val="-4"/>
        </w:rPr>
        <w:t xml:space="preserve"> </w:t>
      </w:r>
      <w:r>
        <w:t>significant</w:t>
      </w:r>
      <w:r>
        <w:rPr>
          <w:spacing w:val="-4"/>
        </w:rPr>
        <w:t xml:space="preserve"> </w:t>
      </w:r>
      <w:r>
        <w:t>regulatory</w:t>
      </w:r>
      <w:r>
        <w:rPr>
          <w:spacing w:val="-5"/>
        </w:rPr>
        <w:t xml:space="preserve"> </w:t>
      </w:r>
      <w:r>
        <w:t>restrictions</w:t>
      </w:r>
      <w:r>
        <w:rPr>
          <w:spacing w:val="-4"/>
        </w:rPr>
        <w:t xml:space="preserve"> </w:t>
      </w:r>
      <w:r>
        <w:t>commence.</w:t>
      </w:r>
      <w:r>
        <w:rPr>
          <w:spacing w:val="-2"/>
        </w:rPr>
        <w:t xml:space="preserve"> </w:t>
      </w:r>
      <w:r>
        <w:t>This</w:t>
      </w:r>
      <w:r>
        <w:rPr>
          <w:spacing w:val="-4"/>
        </w:rPr>
        <w:t xml:space="preserve"> </w:t>
      </w:r>
      <w:r>
        <w:t>approach</w:t>
      </w:r>
      <w:r>
        <w:rPr>
          <w:spacing w:val="-4"/>
        </w:rPr>
        <w:t xml:space="preserve"> </w:t>
      </w:r>
      <w:r>
        <w:t>is</w:t>
      </w:r>
      <w:r>
        <w:rPr>
          <w:spacing w:val="-4"/>
        </w:rPr>
        <w:t xml:space="preserve"> </w:t>
      </w:r>
      <w:r>
        <w:t>aimed</w:t>
      </w:r>
      <w:r>
        <w:rPr>
          <w:spacing w:val="-2"/>
        </w:rPr>
        <w:t xml:space="preserve"> </w:t>
      </w:r>
      <w:r>
        <w:t>to</w:t>
      </w:r>
      <w:r>
        <w:rPr>
          <w:spacing w:val="-5"/>
        </w:rPr>
        <w:t xml:space="preserve"> </w:t>
      </w:r>
      <w:r>
        <w:t>motivate</w:t>
      </w:r>
      <w:r>
        <w:rPr>
          <w:spacing w:val="-2"/>
        </w:rPr>
        <w:t xml:space="preserve"> </w:t>
      </w:r>
      <w:r>
        <w:t>drafters to consider at the outset ways to avoid a statement of incompatibility by ensuring regulations adopt ‘least restrictive’ approaches.</w:t>
      </w:r>
    </w:p>
    <w:p w14:paraId="7CB26221" w14:textId="77777777" w:rsidR="008A4099" w:rsidRDefault="006A6EE2">
      <w:pPr>
        <w:pStyle w:val="BodyText"/>
        <w:spacing w:before="2"/>
        <w:rPr>
          <w:sz w:val="17"/>
        </w:rPr>
      </w:pPr>
      <w:r>
        <w:rPr>
          <w:noProof/>
        </w:rPr>
        <mc:AlternateContent>
          <mc:Choice Requires="wps">
            <w:drawing>
              <wp:anchor distT="0" distB="0" distL="0" distR="0" simplePos="0" relativeHeight="487630336" behindDoc="1" locked="0" layoutInCell="1" allowOverlap="1" wp14:anchorId="7CB2667F" wp14:editId="7CB26680">
                <wp:simplePos x="0" y="0"/>
                <wp:positionH relativeFrom="page">
                  <wp:posOffset>914704</wp:posOffset>
                </wp:positionH>
                <wp:positionV relativeFrom="paragraph">
                  <wp:posOffset>140657</wp:posOffset>
                </wp:positionV>
                <wp:extent cx="5727065" cy="858519"/>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58519"/>
                        </a:xfrm>
                        <a:prstGeom prst="rect">
                          <a:avLst/>
                        </a:prstGeom>
                        <a:solidFill>
                          <a:srgbClr val="E8E8E8"/>
                        </a:solidFill>
                      </wps:spPr>
                      <wps:txbx>
                        <w:txbxContent>
                          <w:p w14:paraId="7CB26781" w14:textId="77777777" w:rsidR="008A4099" w:rsidRDefault="006A6EE2">
                            <w:pPr>
                              <w:spacing w:before="219"/>
                              <w:ind w:left="108"/>
                              <w:rPr>
                                <w:b/>
                                <w:color w:val="000000"/>
                                <w:sz w:val="23"/>
                              </w:rPr>
                            </w:pPr>
                            <w:r>
                              <w:rPr>
                                <w:b/>
                                <w:color w:val="000000"/>
                                <w:sz w:val="23"/>
                              </w:rPr>
                              <w:t>Recommendation</w:t>
                            </w:r>
                            <w:r>
                              <w:rPr>
                                <w:b/>
                                <w:color w:val="000000"/>
                                <w:spacing w:val="-6"/>
                                <w:sz w:val="23"/>
                              </w:rPr>
                              <w:t xml:space="preserve"> </w:t>
                            </w:r>
                            <w:r>
                              <w:rPr>
                                <w:b/>
                                <w:color w:val="000000"/>
                                <w:sz w:val="23"/>
                              </w:rPr>
                              <w:t>10</w:t>
                            </w:r>
                            <w:r>
                              <w:rPr>
                                <w:b/>
                                <w:color w:val="000000"/>
                                <w:spacing w:val="-3"/>
                                <w:sz w:val="23"/>
                              </w:rPr>
                              <w:t xml:space="preserve"> </w:t>
                            </w:r>
                            <w:r>
                              <w:rPr>
                                <w:b/>
                                <w:color w:val="000000"/>
                                <w:sz w:val="23"/>
                              </w:rPr>
                              <w:t>–</w:t>
                            </w:r>
                            <w:r>
                              <w:rPr>
                                <w:b/>
                                <w:color w:val="000000"/>
                                <w:spacing w:val="-3"/>
                                <w:sz w:val="23"/>
                              </w:rPr>
                              <w:t xml:space="preserve"> </w:t>
                            </w:r>
                            <w:r>
                              <w:rPr>
                                <w:b/>
                                <w:color w:val="000000"/>
                                <w:sz w:val="23"/>
                              </w:rPr>
                              <w:t>Subordinate</w:t>
                            </w:r>
                            <w:r>
                              <w:rPr>
                                <w:b/>
                                <w:color w:val="000000"/>
                                <w:spacing w:val="-2"/>
                                <w:sz w:val="23"/>
                              </w:rPr>
                              <w:t xml:space="preserve"> Legislation</w:t>
                            </w:r>
                          </w:p>
                          <w:p w14:paraId="7CB26782" w14:textId="77777777" w:rsidR="008A4099" w:rsidRDefault="006A6EE2">
                            <w:pPr>
                              <w:pStyle w:val="BodyText"/>
                              <w:spacing w:before="240" w:line="244" w:lineRule="auto"/>
                              <w:ind w:left="108"/>
                              <w:rPr>
                                <w:color w:val="000000"/>
                              </w:rPr>
                            </w:pPr>
                            <w:r>
                              <w:rPr>
                                <w:color w:val="000000"/>
                              </w:rPr>
                              <w:t>That</w:t>
                            </w:r>
                            <w:r>
                              <w:rPr>
                                <w:color w:val="000000"/>
                                <w:spacing w:val="36"/>
                              </w:rPr>
                              <w:t xml:space="preserve"> </w:t>
                            </w:r>
                            <w:r>
                              <w:rPr>
                                <w:color w:val="000000"/>
                              </w:rPr>
                              <w:t>subordinate</w:t>
                            </w:r>
                            <w:r>
                              <w:rPr>
                                <w:color w:val="000000"/>
                                <w:spacing w:val="38"/>
                              </w:rPr>
                              <w:t xml:space="preserve"> </w:t>
                            </w:r>
                            <w:r>
                              <w:rPr>
                                <w:color w:val="000000"/>
                              </w:rPr>
                              <w:t>legislation</w:t>
                            </w:r>
                            <w:r>
                              <w:rPr>
                                <w:color w:val="000000"/>
                                <w:spacing w:val="37"/>
                              </w:rPr>
                              <w:t xml:space="preserve"> </w:t>
                            </w:r>
                            <w:r>
                              <w:rPr>
                                <w:color w:val="000000"/>
                              </w:rPr>
                              <w:t>be</w:t>
                            </w:r>
                            <w:r>
                              <w:rPr>
                                <w:color w:val="000000"/>
                                <w:spacing w:val="38"/>
                              </w:rPr>
                              <w:t xml:space="preserve"> </w:t>
                            </w:r>
                            <w:r>
                              <w:rPr>
                                <w:color w:val="000000"/>
                              </w:rPr>
                              <w:t>accompanied</w:t>
                            </w:r>
                            <w:r>
                              <w:rPr>
                                <w:color w:val="000000"/>
                                <w:spacing w:val="37"/>
                              </w:rPr>
                              <w:t xml:space="preserve"> </w:t>
                            </w:r>
                            <w:r>
                              <w:rPr>
                                <w:color w:val="000000"/>
                              </w:rPr>
                              <w:t>by</w:t>
                            </w:r>
                            <w:r>
                              <w:rPr>
                                <w:color w:val="000000"/>
                                <w:spacing w:val="35"/>
                              </w:rPr>
                              <w:t xml:space="preserve"> </w:t>
                            </w:r>
                            <w:r>
                              <w:rPr>
                                <w:color w:val="000000"/>
                              </w:rPr>
                              <w:t>statements</w:t>
                            </w:r>
                            <w:r>
                              <w:rPr>
                                <w:color w:val="000000"/>
                                <w:spacing w:val="35"/>
                              </w:rPr>
                              <w:t xml:space="preserve"> </w:t>
                            </w:r>
                            <w:r>
                              <w:rPr>
                                <w:color w:val="000000"/>
                              </w:rPr>
                              <w:t>of</w:t>
                            </w:r>
                            <w:r>
                              <w:rPr>
                                <w:color w:val="000000"/>
                                <w:spacing w:val="36"/>
                              </w:rPr>
                              <w:t xml:space="preserve"> </w:t>
                            </w:r>
                            <w:r>
                              <w:rPr>
                                <w:color w:val="000000"/>
                              </w:rPr>
                              <w:t>human</w:t>
                            </w:r>
                            <w:r>
                              <w:rPr>
                                <w:color w:val="000000"/>
                                <w:spacing w:val="35"/>
                              </w:rPr>
                              <w:t xml:space="preserve"> </w:t>
                            </w:r>
                            <w:r>
                              <w:rPr>
                                <w:color w:val="000000"/>
                              </w:rPr>
                              <w:t>rights</w:t>
                            </w:r>
                            <w:r>
                              <w:rPr>
                                <w:color w:val="000000"/>
                                <w:spacing w:val="35"/>
                              </w:rPr>
                              <w:t xml:space="preserve"> </w:t>
                            </w:r>
                            <w:r>
                              <w:rPr>
                                <w:color w:val="000000"/>
                              </w:rPr>
                              <w:t>compatibility</w:t>
                            </w:r>
                            <w:r>
                              <w:rPr>
                                <w:color w:val="000000"/>
                                <w:spacing w:val="37"/>
                              </w:rPr>
                              <w:t xml:space="preserve"> </w:t>
                            </w:r>
                            <w:r>
                              <w:rPr>
                                <w:color w:val="000000"/>
                              </w:rPr>
                              <w:t xml:space="preserve">and </w:t>
                            </w:r>
                            <w:r>
                              <w:rPr>
                                <w:color w:val="000000"/>
                                <w:spacing w:val="-2"/>
                              </w:rPr>
                              <w:t>subject</w:t>
                            </w:r>
                            <w:r>
                              <w:rPr>
                                <w:color w:val="000000"/>
                                <w:spacing w:val="-10"/>
                              </w:rPr>
                              <w:t xml:space="preserve"> </w:t>
                            </w:r>
                            <w:r>
                              <w:rPr>
                                <w:color w:val="000000"/>
                                <w:spacing w:val="-2"/>
                              </w:rPr>
                              <w:t>to</w:t>
                            </w:r>
                            <w:r>
                              <w:rPr>
                                <w:color w:val="000000"/>
                                <w:spacing w:val="-5"/>
                              </w:rPr>
                              <w:t xml:space="preserve"> </w:t>
                            </w:r>
                            <w:r>
                              <w:rPr>
                                <w:color w:val="000000"/>
                                <w:spacing w:val="-2"/>
                              </w:rPr>
                              <w:t>the</w:t>
                            </w:r>
                            <w:r>
                              <w:rPr>
                                <w:color w:val="000000"/>
                                <w:spacing w:val="-5"/>
                              </w:rPr>
                              <w:t xml:space="preserve"> </w:t>
                            </w:r>
                            <w:r>
                              <w:rPr>
                                <w:color w:val="000000"/>
                                <w:spacing w:val="-2"/>
                              </w:rPr>
                              <w:t>usual</w:t>
                            </w:r>
                            <w:r>
                              <w:rPr>
                                <w:color w:val="000000"/>
                                <w:spacing w:val="-5"/>
                              </w:rPr>
                              <w:t xml:space="preserve"> </w:t>
                            </w:r>
                            <w:r>
                              <w:rPr>
                                <w:color w:val="000000"/>
                                <w:spacing w:val="-2"/>
                              </w:rPr>
                              <w:t>disallowance</w:t>
                            </w:r>
                            <w:r>
                              <w:rPr>
                                <w:color w:val="000000"/>
                                <w:spacing w:val="-4"/>
                              </w:rPr>
                              <w:t xml:space="preserve"> </w:t>
                            </w:r>
                            <w:r>
                              <w:rPr>
                                <w:color w:val="000000"/>
                                <w:spacing w:val="-2"/>
                              </w:rPr>
                              <w:t>procedures,</w:t>
                            </w:r>
                            <w:r>
                              <w:rPr>
                                <w:color w:val="000000"/>
                                <w:spacing w:val="-5"/>
                              </w:rPr>
                              <w:t xml:space="preserve"> </w:t>
                            </w:r>
                            <w:r>
                              <w:rPr>
                                <w:color w:val="000000"/>
                                <w:spacing w:val="-2"/>
                              </w:rPr>
                              <w:t>where</w:t>
                            </w:r>
                            <w:r>
                              <w:rPr>
                                <w:color w:val="000000"/>
                                <w:spacing w:val="-4"/>
                              </w:rPr>
                              <w:t xml:space="preserve"> </w:t>
                            </w:r>
                            <w:r>
                              <w:rPr>
                                <w:color w:val="000000"/>
                                <w:spacing w:val="-2"/>
                              </w:rPr>
                              <w:t>non-compliance</w:t>
                            </w:r>
                            <w:r>
                              <w:rPr>
                                <w:color w:val="000000"/>
                                <w:spacing w:val="-5"/>
                              </w:rPr>
                              <w:t xml:space="preserve"> </w:t>
                            </w:r>
                            <w:r>
                              <w:rPr>
                                <w:color w:val="000000"/>
                                <w:spacing w:val="-2"/>
                              </w:rPr>
                              <w:t>with</w:t>
                            </w:r>
                            <w:r>
                              <w:rPr>
                                <w:color w:val="000000"/>
                                <w:spacing w:val="-6"/>
                              </w:rPr>
                              <w:t xml:space="preserve"> </w:t>
                            </w:r>
                            <w:r>
                              <w:rPr>
                                <w:color w:val="000000"/>
                                <w:spacing w:val="-2"/>
                              </w:rPr>
                              <w:t>human</w:t>
                            </w:r>
                            <w:r>
                              <w:rPr>
                                <w:color w:val="000000"/>
                                <w:spacing w:val="-4"/>
                              </w:rPr>
                              <w:t xml:space="preserve"> </w:t>
                            </w:r>
                            <w:r>
                              <w:rPr>
                                <w:color w:val="000000"/>
                                <w:spacing w:val="-2"/>
                              </w:rPr>
                              <w:t>rights</w:t>
                            </w:r>
                            <w:r>
                              <w:rPr>
                                <w:color w:val="000000"/>
                                <w:spacing w:val="-5"/>
                              </w:rPr>
                              <w:t xml:space="preserve"> </w:t>
                            </w:r>
                            <w:r>
                              <w:rPr>
                                <w:color w:val="000000"/>
                                <w:spacing w:val="-2"/>
                              </w:rPr>
                              <w:t>is</w:t>
                            </w:r>
                            <w:r>
                              <w:rPr>
                                <w:color w:val="000000"/>
                                <w:spacing w:val="-4"/>
                              </w:rPr>
                              <w:t xml:space="preserve"> </w:t>
                            </w:r>
                            <w:r>
                              <w:rPr>
                                <w:color w:val="000000"/>
                                <w:spacing w:val="-2"/>
                              </w:rPr>
                              <w:t>identified.</w:t>
                            </w:r>
                          </w:p>
                        </w:txbxContent>
                      </wps:txbx>
                      <wps:bodyPr wrap="square" lIns="0" tIns="0" rIns="0" bIns="0" rtlCol="0">
                        <a:noAutofit/>
                      </wps:bodyPr>
                    </wps:wsp>
                  </a:graphicData>
                </a:graphic>
              </wp:anchor>
            </w:drawing>
          </mc:Choice>
          <mc:Fallback>
            <w:pict>
              <v:shape w14:anchorId="7CB2667F" id="Textbox 131" o:spid="_x0000_s1036" type="#_x0000_t202" style="position:absolute;margin-left:1in;margin-top:11.1pt;width:450.95pt;height:67.6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" fillcolor="#e8e8e8" stroked="f">
                <v:textbox inset="0,0,0,0">
                  <w:txbxContent>
                    <w:p w14:paraId="7CB26781" w14:textId="77777777" w:rsidR="008A4099" w:rsidRDefault="006A6EE2">
                      <w:pPr>
                        <w:spacing w:before="219"/>
                        <w:ind w:left="108"/>
                        <w:rPr>
                          <w:b/>
                          <w:color w:val="000000"/>
                          <w:sz w:val="23"/>
                        </w:rPr>
                      </w:pPr>
                      <w:r>
                        <w:rPr>
                          <w:b/>
                          <w:color w:val="000000"/>
                          <w:sz w:val="23"/>
                        </w:rPr>
                        <w:t>Recommendation</w:t>
                      </w:r>
                      <w:r>
                        <w:rPr>
                          <w:b/>
                          <w:color w:val="000000"/>
                          <w:spacing w:val="-6"/>
                          <w:sz w:val="23"/>
                        </w:rPr>
                        <w:t xml:space="preserve"> </w:t>
                      </w:r>
                      <w:r>
                        <w:rPr>
                          <w:b/>
                          <w:color w:val="000000"/>
                          <w:sz w:val="23"/>
                        </w:rPr>
                        <w:t>10</w:t>
                      </w:r>
                      <w:r>
                        <w:rPr>
                          <w:b/>
                          <w:color w:val="000000"/>
                          <w:spacing w:val="-3"/>
                          <w:sz w:val="23"/>
                        </w:rPr>
                        <w:t xml:space="preserve"> </w:t>
                      </w:r>
                      <w:r>
                        <w:rPr>
                          <w:b/>
                          <w:color w:val="000000"/>
                          <w:sz w:val="23"/>
                        </w:rPr>
                        <w:t>–</w:t>
                      </w:r>
                      <w:r>
                        <w:rPr>
                          <w:b/>
                          <w:color w:val="000000"/>
                          <w:spacing w:val="-3"/>
                          <w:sz w:val="23"/>
                        </w:rPr>
                        <w:t xml:space="preserve"> </w:t>
                      </w:r>
                      <w:r>
                        <w:rPr>
                          <w:b/>
                          <w:color w:val="000000"/>
                          <w:sz w:val="23"/>
                        </w:rPr>
                        <w:t>Subordinate</w:t>
                      </w:r>
                      <w:r>
                        <w:rPr>
                          <w:b/>
                          <w:color w:val="000000"/>
                          <w:spacing w:val="-2"/>
                          <w:sz w:val="23"/>
                        </w:rPr>
                        <w:t xml:space="preserve"> Legislation</w:t>
                      </w:r>
                    </w:p>
                    <w:p w14:paraId="7CB26782" w14:textId="77777777" w:rsidR="008A4099" w:rsidRDefault="006A6EE2">
                      <w:pPr>
                        <w:pStyle w:val="BodyText"/>
                        <w:spacing w:before="240" w:line="244" w:lineRule="auto"/>
                        <w:ind w:left="108"/>
                        <w:rPr>
                          <w:color w:val="000000"/>
                        </w:rPr>
                      </w:pPr>
                      <w:r>
                        <w:rPr>
                          <w:color w:val="000000"/>
                        </w:rPr>
                        <w:t>That</w:t>
                      </w:r>
                      <w:r>
                        <w:rPr>
                          <w:color w:val="000000"/>
                          <w:spacing w:val="36"/>
                        </w:rPr>
                        <w:t xml:space="preserve"> </w:t>
                      </w:r>
                      <w:r>
                        <w:rPr>
                          <w:color w:val="000000"/>
                        </w:rPr>
                        <w:t>subordinate</w:t>
                      </w:r>
                      <w:r>
                        <w:rPr>
                          <w:color w:val="000000"/>
                          <w:spacing w:val="38"/>
                        </w:rPr>
                        <w:t xml:space="preserve"> </w:t>
                      </w:r>
                      <w:r>
                        <w:rPr>
                          <w:color w:val="000000"/>
                        </w:rPr>
                        <w:t>legislation</w:t>
                      </w:r>
                      <w:r>
                        <w:rPr>
                          <w:color w:val="000000"/>
                          <w:spacing w:val="37"/>
                        </w:rPr>
                        <w:t xml:space="preserve"> </w:t>
                      </w:r>
                      <w:r>
                        <w:rPr>
                          <w:color w:val="000000"/>
                        </w:rPr>
                        <w:t>be</w:t>
                      </w:r>
                      <w:r>
                        <w:rPr>
                          <w:color w:val="000000"/>
                          <w:spacing w:val="38"/>
                        </w:rPr>
                        <w:t xml:space="preserve"> </w:t>
                      </w:r>
                      <w:r>
                        <w:rPr>
                          <w:color w:val="000000"/>
                        </w:rPr>
                        <w:t>accompanied</w:t>
                      </w:r>
                      <w:r>
                        <w:rPr>
                          <w:color w:val="000000"/>
                          <w:spacing w:val="37"/>
                        </w:rPr>
                        <w:t xml:space="preserve"> </w:t>
                      </w:r>
                      <w:r>
                        <w:rPr>
                          <w:color w:val="000000"/>
                        </w:rPr>
                        <w:t>by</w:t>
                      </w:r>
                      <w:r>
                        <w:rPr>
                          <w:color w:val="000000"/>
                          <w:spacing w:val="35"/>
                        </w:rPr>
                        <w:t xml:space="preserve"> </w:t>
                      </w:r>
                      <w:r>
                        <w:rPr>
                          <w:color w:val="000000"/>
                        </w:rPr>
                        <w:t>statements</w:t>
                      </w:r>
                      <w:r>
                        <w:rPr>
                          <w:color w:val="000000"/>
                          <w:spacing w:val="35"/>
                        </w:rPr>
                        <w:t xml:space="preserve"> </w:t>
                      </w:r>
                      <w:r>
                        <w:rPr>
                          <w:color w:val="000000"/>
                        </w:rPr>
                        <w:t>of</w:t>
                      </w:r>
                      <w:r>
                        <w:rPr>
                          <w:color w:val="000000"/>
                          <w:spacing w:val="36"/>
                        </w:rPr>
                        <w:t xml:space="preserve"> </w:t>
                      </w:r>
                      <w:r>
                        <w:rPr>
                          <w:color w:val="000000"/>
                        </w:rPr>
                        <w:t>human</w:t>
                      </w:r>
                      <w:r>
                        <w:rPr>
                          <w:color w:val="000000"/>
                          <w:spacing w:val="35"/>
                        </w:rPr>
                        <w:t xml:space="preserve"> </w:t>
                      </w:r>
                      <w:r>
                        <w:rPr>
                          <w:color w:val="000000"/>
                        </w:rPr>
                        <w:t>rights</w:t>
                      </w:r>
                      <w:r>
                        <w:rPr>
                          <w:color w:val="000000"/>
                          <w:spacing w:val="35"/>
                        </w:rPr>
                        <w:t xml:space="preserve"> </w:t>
                      </w:r>
                      <w:r>
                        <w:rPr>
                          <w:color w:val="000000"/>
                        </w:rPr>
                        <w:t>compatibility</w:t>
                      </w:r>
                      <w:r>
                        <w:rPr>
                          <w:color w:val="000000"/>
                          <w:spacing w:val="37"/>
                        </w:rPr>
                        <w:t xml:space="preserve"> </w:t>
                      </w:r>
                      <w:r>
                        <w:rPr>
                          <w:color w:val="000000"/>
                        </w:rPr>
                        <w:t xml:space="preserve">and </w:t>
                      </w:r>
                      <w:r>
                        <w:rPr>
                          <w:color w:val="000000"/>
                          <w:spacing w:val="-2"/>
                        </w:rPr>
                        <w:t>subject</w:t>
                      </w:r>
                      <w:r>
                        <w:rPr>
                          <w:color w:val="000000"/>
                          <w:spacing w:val="-10"/>
                        </w:rPr>
                        <w:t xml:space="preserve"> </w:t>
                      </w:r>
                      <w:r>
                        <w:rPr>
                          <w:color w:val="000000"/>
                          <w:spacing w:val="-2"/>
                        </w:rPr>
                        <w:t>to</w:t>
                      </w:r>
                      <w:r>
                        <w:rPr>
                          <w:color w:val="000000"/>
                          <w:spacing w:val="-5"/>
                        </w:rPr>
                        <w:t xml:space="preserve"> </w:t>
                      </w:r>
                      <w:r>
                        <w:rPr>
                          <w:color w:val="000000"/>
                          <w:spacing w:val="-2"/>
                        </w:rPr>
                        <w:t>the</w:t>
                      </w:r>
                      <w:r>
                        <w:rPr>
                          <w:color w:val="000000"/>
                          <w:spacing w:val="-5"/>
                        </w:rPr>
                        <w:t xml:space="preserve"> </w:t>
                      </w:r>
                      <w:r>
                        <w:rPr>
                          <w:color w:val="000000"/>
                          <w:spacing w:val="-2"/>
                        </w:rPr>
                        <w:t>usual</w:t>
                      </w:r>
                      <w:r>
                        <w:rPr>
                          <w:color w:val="000000"/>
                          <w:spacing w:val="-5"/>
                        </w:rPr>
                        <w:t xml:space="preserve"> </w:t>
                      </w:r>
                      <w:r>
                        <w:rPr>
                          <w:color w:val="000000"/>
                          <w:spacing w:val="-2"/>
                        </w:rPr>
                        <w:t>disallowance</w:t>
                      </w:r>
                      <w:r>
                        <w:rPr>
                          <w:color w:val="000000"/>
                          <w:spacing w:val="-4"/>
                        </w:rPr>
                        <w:t xml:space="preserve"> </w:t>
                      </w:r>
                      <w:r>
                        <w:rPr>
                          <w:color w:val="000000"/>
                          <w:spacing w:val="-2"/>
                        </w:rPr>
                        <w:t>procedures,</w:t>
                      </w:r>
                      <w:r>
                        <w:rPr>
                          <w:color w:val="000000"/>
                          <w:spacing w:val="-5"/>
                        </w:rPr>
                        <w:t xml:space="preserve"> </w:t>
                      </w:r>
                      <w:r>
                        <w:rPr>
                          <w:color w:val="000000"/>
                          <w:spacing w:val="-2"/>
                        </w:rPr>
                        <w:t>where</w:t>
                      </w:r>
                      <w:r>
                        <w:rPr>
                          <w:color w:val="000000"/>
                          <w:spacing w:val="-4"/>
                        </w:rPr>
                        <w:t xml:space="preserve"> </w:t>
                      </w:r>
                      <w:r>
                        <w:rPr>
                          <w:color w:val="000000"/>
                          <w:spacing w:val="-2"/>
                        </w:rPr>
                        <w:t>non-compliance</w:t>
                      </w:r>
                      <w:r>
                        <w:rPr>
                          <w:color w:val="000000"/>
                          <w:spacing w:val="-5"/>
                        </w:rPr>
                        <w:t xml:space="preserve"> </w:t>
                      </w:r>
                      <w:r>
                        <w:rPr>
                          <w:color w:val="000000"/>
                          <w:spacing w:val="-2"/>
                        </w:rPr>
                        <w:t>with</w:t>
                      </w:r>
                      <w:r>
                        <w:rPr>
                          <w:color w:val="000000"/>
                          <w:spacing w:val="-6"/>
                        </w:rPr>
                        <w:t xml:space="preserve"> </w:t>
                      </w:r>
                      <w:r>
                        <w:rPr>
                          <w:color w:val="000000"/>
                          <w:spacing w:val="-2"/>
                        </w:rPr>
                        <w:t>human</w:t>
                      </w:r>
                      <w:r>
                        <w:rPr>
                          <w:color w:val="000000"/>
                          <w:spacing w:val="-4"/>
                        </w:rPr>
                        <w:t xml:space="preserve"> </w:t>
                      </w:r>
                      <w:r>
                        <w:rPr>
                          <w:color w:val="000000"/>
                          <w:spacing w:val="-2"/>
                        </w:rPr>
                        <w:t>rights</w:t>
                      </w:r>
                      <w:r>
                        <w:rPr>
                          <w:color w:val="000000"/>
                          <w:spacing w:val="-5"/>
                        </w:rPr>
                        <w:t xml:space="preserve"> </w:t>
                      </w:r>
                      <w:r>
                        <w:rPr>
                          <w:color w:val="000000"/>
                          <w:spacing w:val="-2"/>
                        </w:rPr>
                        <w:t>is</w:t>
                      </w:r>
                      <w:r>
                        <w:rPr>
                          <w:color w:val="000000"/>
                          <w:spacing w:val="-4"/>
                        </w:rPr>
                        <w:t xml:space="preserve"> </w:t>
                      </w:r>
                      <w:r>
                        <w:rPr>
                          <w:color w:val="000000"/>
                          <w:spacing w:val="-2"/>
                        </w:rPr>
                        <w:t>identified.</w:t>
                      </w:r>
                    </w:p>
                  </w:txbxContent>
                </v:textbox>
                <w10:wrap type="topAndBottom" anchorx="page"/>
              </v:shape>
            </w:pict>
          </mc:Fallback>
        </mc:AlternateContent>
      </w:r>
    </w:p>
    <w:p w14:paraId="7CB26222" w14:textId="77777777" w:rsidR="008A4099" w:rsidRDefault="006A6EE2">
      <w:pPr>
        <w:pStyle w:val="Heading4"/>
      </w:pPr>
      <w:bookmarkStart w:id="48" w:name="_TOC_250012"/>
      <w:r>
        <w:t>Scrutiny:</w:t>
      </w:r>
      <w:r>
        <w:rPr>
          <w:spacing w:val="-6"/>
        </w:rPr>
        <w:t xml:space="preserve"> </w:t>
      </w:r>
      <w:r>
        <w:t>Parliamentary</w:t>
      </w:r>
      <w:r>
        <w:rPr>
          <w:spacing w:val="-5"/>
        </w:rPr>
        <w:t xml:space="preserve"> </w:t>
      </w:r>
      <w:r>
        <w:t>Human</w:t>
      </w:r>
      <w:r>
        <w:rPr>
          <w:spacing w:val="-5"/>
        </w:rPr>
        <w:t xml:space="preserve"> </w:t>
      </w:r>
      <w:r>
        <w:t>Rights</w:t>
      </w:r>
      <w:r>
        <w:rPr>
          <w:spacing w:val="-3"/>
        </w:rPr>
        <w:t xml:space="preserve"> </w:t>
      </w:r>
      <w:r>
        <w:t xml:space="preserve">Scrutiny </w:t>
      </w:r>
      <w:bookmarkEnd w:id="48"/>
      <w:r>
        <w:rPr>
          <w:spacing w:val="-2"/>
        </w:rPr>
        <w:t>Committee</w:t>
      </w:r>
    </w:p>
    <w:p w14:paraId="7CB26223" w14:textId="77777777" w:rsidR="008A4099" w:rsidRDefault="008A4099">
      <w:pPr>
        <w:pStyle w:val="BodyText"/>
        <w:spacing w:before="15"/>
        <w:rPr>
          <w:b/>
          <w:i/>
          <w:sz w:val="23"/>
        </w:rPr>
      </w:pPr>
    </w:p>
    <w:p w14:paraId="7CB26224" w14:textId="77777777" w:rsidR="008A4099" w:rsidRDefault="006A6EE2">
      <w:pPr>
        <w:pStyle w:val="Heading3"/>
      </w:pPr>
      <w:r>
        <w:t>2007</w:t>
      </w:r>
      <w:r>
        <w:rPr>
          <w:spacing w:val="-3"/>
        </w:rPr>
        <w:t xml:space="preserve"> </w:t>
      </w:r>
      <w:r>
        <w:t>Final</w:t>
      </w:r>
      <w:r>
        <w:rPr>
          <w:spacing w:val="-3"/>
        </w:rPr>
        <w:t xml:space="preserve"> </w:t>
      </w:r>
      <w:r>
        <w:t>Report</w:t>
      </w:r>
      <w:r>
        <w:rPr>
          <w:spacing w:val="-3"/>
        </w:rPr>
        <w:t xml:space="preserve"> </w:t>
      </w:r>
      <w:r>
        <w:t>and</w:t>
      </w:r>
      <w:r>
        <w:rPr>
          <w:spacing w:val="-4"/>
        </w:rPr>
        <w:t xml:space="preserve"> </w:t>
      </w:r>
      <w:r>
        <w:t>subsequent</w:t>
      </w:r>
      <w:r>
        <w:rPr>
          <w:spacing w:val="-2"/>
        </w:rPr>
        <w:t xml:space="preserve"> developments</w:t>
      </w:r>
    </w:p>
    <w:p w14:paraId="7CB26225" w14:textId="77777777" w:rsidR="008A4099" w:rsidRDefault="006A6EE2">
      <w:pPr>
        <w:pStyle w:val="ListParagraph"/>
        <w:numPr>
          <w:ilvl w:val="2"/>
          <w:numId w:val="3"/>
        </w:numPr>
        <w:tabs>
          <w:tab w:val="left" w:pos="879"/>
        </w:tabs>
        <w:spacing w:before="260"/>
        <w:ind w:right="674" w:firstLine="0"/>
        <w:jc w:val="both"/>
        <w:rPr>
          <w:sz w:val="13"/>
        </w:rPr>
      </w:pPr>
      <w:r>
        <w:t>The 2007 TLRI Final Report recommended that a Parliamentary Human Rights Scrutiny Committee (‘PHRSC’) be established to provide pre-enactment scrutiny of all Bills.</w:t>
      </w:r>
      <w:r>
        <w:rPr>
          <w:position w:val="7"/>
          <w:sz w:val="13"/>
        </w:rPr>
        <w:t>457</w:t>
      </w:r>
      <w:r>
        <w:rPr>
          <w:spacing w:val="40"/>
          <w:position w:val="7"/>
          <w:sz w:val="13"/>
        </w:rPr>
        <w:t xml:space="preserve"> </w:t>
      </w:r>
      <w:r>
        <w:t>The TLRI recommended that the PHRSC ‘be constituted across party lines and consist of members of both Houses’ and be ‘adequately resourced and able to seek independent, expert advice’.</w:t>
      </w:r>
      <w:r>
        <w:rPr>
          <w:position w:val="7"/>
          <w:sz w:val="13"/>
        </w:rPr>
        <w:t>458</w:t>
      </w:r>
      <w:r>
        <w:rPr>
          <w:spacing w:val="39"/>
          <w:position w:val="7"/>
          <w:sz w:val="13"/>
        </w:rPr>
        <w:t xml:space="preserve"> </w:t>
      </w:r>
      <w:r>
        <w:t>In relation to other Tasmanian parliamentary committees, the closest comparable committee to a proposed PHRSC would</w:t>
      </w:r>
      <w:r>
        <w:rPr>
          <w:spacing w:val="-2"/>
        </w:rPr>
        <w:t xml:space="preserve"> </w:t>
      </w:r>
      <w:r>
        <w:t>be</w:t>
      </w:r>
      <w:r>
        <w:rPr>
          <w:spacing w:val="-4"/>
        </w:rPr>
        <w:t xml:space="preserve"> </w:t>
      </w:r>
      <w:r>
        <w:t>the</w:t>
      </w:r>
      <w:r>
        <w:rPr>
          <w:spacing w:val="-2"/>
        </w:rPr>
        <w:t xml:space="preserve"> </w:t>
      </w:r>
      <w:r>
        <w:t>Joint</w:t>
      </w:r>
      <w:r>
        <w:rPr>
          <w:spacing w:val="-1"/>
        </w:rPr>
        <w:t xml:space="preserve"> </w:t>
      </w:r>
      <w:r>
        <w:t>Standing</w:t>
      </w:r>
      <w:r>
        <w:rPr>
          <w:spacing w:val="-2"/>
        </w:rPr>
        <w:t xml:space="preserve"> </w:t>
      </w:r>
      <w:r>
        <w:t>Committee</w:t>
      </w:r>
      <w:r>
        <w:rPr>
          <w:spacing w:val="-2"/>
        </w:rPr>
        <w:t xml:space="preserve"> </w:t>
      </w:r>
      <w:r>
        <w:t>on</w:t>
      </w:r>
      <w:r>
        <w:rPr>
          <w:spacing w:val="-2"/>
        </w:rPr>
        <w:t xml:space="preserve"> </w:t>
      </w:r>
      <w:r>
        <w:t>Integrity.</w:t>
      </w:r>
      <w:r>
        <w:rPr>
          <w:spacing w:val="-5"/>
        </w:rPr>
        <w:t xml:space="preserve"> </w:t>
      </w:r>
      <w:r>
        <w:t>This</w:t>
      </w:r>
      <w:r>
        <w:rPr>
          <w:spacing w:val="-1"/>
        </w:rPr>
        <w:t xml:space="preserve"> </w:t>
      </w:r>
      <w:r>
        <w:t>consists</w:t>
      </w:r>
      <w:r>
        <w:rPr>
          <w:spacing w:val="-2"/>
        </w:rPr>
        <w:t xml:space="preserve"> </w:t>
      </w:r>
      <w:r>
        <w:t>of</w:t>
      </w:r>
      <w:r>
        <w:rPr>
          <w:spacing w:val="-1"/>
        </w:rPr>
        <w:t xml:space="preserve"> </w:t>
      </w:r>
      <w:r>
        <w:t>three</w:t>
      </w:r>
      <w:r>
        <w:rPr>
          <w:spacing w:val="-2"/>
        </w:rPr>
        <w:t xml:space="preserve"> </w:t>
      </w:r>
      <w:r>
        <w:t>members</w:t>
      </w:r>
      <w:r>
        <w:rPr>
          <w:spacing w:val="-2"/>
        </w:rPr>
        <w:t xml:space="preserve"> </w:t>
      </w:r>
      <w:r>
        <w:t>of</w:t>
      </w:r>
      <w:r>
        <w:rPr>
          <w:spacing w:val="-2"/>
        </w:rPr>
        <w:t xml:space="preserve"> </w:t>
      </w:r>
      <w:r>
        <w:t>the</w:t>
      </w:r>
      <w:r>
        <w:rPr>
          <w:spacing w:val="-2"/>
        </w:rPr>
        <w:t xml:space="preserve"> </w:t>
      </w:r>
      <w:r>
        <w:t>Legislative Council</w:t>
      </w:r>
      <w:r>
        <w:rPr>
          <w:spacing w:val="-4"/>
        </w:rPr>
        <w:t xml:space="preserve"> </w:t>
      </w:r>
      <w:r>
        <w:t>and</w:t>
      </w:r>
      <w:r>
        <w:rPr>
          <w:spacing w:val="-7"/>
        </w:rPr>
        <w:t xml:space="preserve"> </w:t>
      </w:r>
      <w:r>
        <w:t>three</w:t>
      </w:r>
      <w:r>
        <w:rPr>
          <w:spacing w:val="-7"/>
        </w:rPr>
        <w:t xml:space="preserve"> </w:t>
      </w:r>
      <w:r>
        <w:t>members</w:t>
      </w:r>
      <w:r>
        <w:rPr>
          <w:spacing w:val="-7"/>
        </w:rPr>
        <w:t xml:space="preserve"> </w:t>
      </w:r>
      <w:r>
        <w:t>of</w:t>
      </w:r>
      <w:r>
        <w:rPr>
          <w:spacing w:val="-4"/>
        </w:rPr>
        <w:t xml:space="preserve"> </w:t>
      </w:r>
      <w:r>
        <w:t>the</w:t>
      </w:r>
      <w:r>
        <w:rPr>
          <w:spacing w:val="-4"/>
        </w:rPr>
        <w:t xml:space="preserve"> </w:t>
      </w:r>
      <w:r>
        <w:t>House</w:t>
      </w:r>
      <w:r>
        <w:rPr>
          <w:spacing w:val="-4"/>
        </w:rPr>
        <w:t xml:space="preserve"> </w:t>
      </w:r>
      <w:r>
        <w:t>of</w:t>
      </w:r>
      <w:r>
        <w:rPr>
          <w:spacing w:val="-1"/>
        </w:rPr>
        <w:t xml:space="preserve"> </w:t>
      </w:r>
      <w:r>
        <w:t>Assembly.</w:t>
      </w:r>
      <w:r>
        <w:rPr>
          <w:position w:val="7"/>
          <w:sz w:val="13"/>
        </w:rPr>
        <w:t>459</w:t>
      </w:r>
      <w:r>
        <w:rPr>
          <w:spacing w:val="17"/>
          <w:position w:val="7"/>
          <w:sz w:val="13"/>
        </w:rPr>
        <w:t xml:space="preserve"> </w:t>
      </w:r>
      <w:r>
        <w:t>In</w:t>
      </w:r>
      <w:r>
        <w:rPr>
          <w:spacing w:val="-5"/>
        </w:rPr>
        <w:t xml:space="preserve"> </w:t>
      </w:r>
      <w:r>
        <w:t>relation</w:t>
      </w:r>
      <w:r>
        <w:rPr>
          <w:spacing w:val="-5"/>
        </w:rPr>
        <w:t xml:space="preserve"> </w:t>
      </w:r>
      <w:r>
        <w:t>to</w:t>
      </w:r>
      <w:r>
        <w:rPr>
          <w:spacing w:val="-7"/>
        </w:rPr>
        <w:t xml:space="preserve"> </w:t>
      </w:r>
      <w:r>
        <w:t>the</w:t>
      </w:r>
      <w:r>
        <w:rPr>
          <w:spacing w:val="-4"/>
        </w:rPr>
        <w:t xml:space="preserve"> </w:t>
      </w:r>
      <w:r>
        <w:t>members</w:t>
      </w:r>
      <w:r>
        <w:rPr>
          <w:spacing w:val="-4"/>
        </w:rPr>
        <w:t xml:space="preserve"> </w:t>
      </w:r>
      <w:r>
        <w:t>from</w:t>
      </w:r>
      <w:r>
        <w:rPr>
          <w:spacing w:val="-6"/>
        </w:rPr>
        <w:t xml:space="preserve"> </w:t>
      </w:r>
      <w:r>
        <w:t>the</w:t>
      </w:r>
      <w:r>
        <w:rPr>
          <w:spacing w:val="-4"/>
        </w:rPr>
        <w:t xml:space="preserve"> </w:t>
      </w:r>
      <w:r>
        <w:t>House</w:t>
      </w:r>
      <w:r>
        <w:rPr>
          <w:spacing w:val="-4"/>
        </w:rPr>
        <w:t xml:space="preserve"> </w:t>
      </w:r>
      <w:r>
        <w:t>of Assembly, at least one member of any political party that has three or more members in the House of Assembly is to be a member of the Joint Committee.</w:t>
      </w:r>
      <w:r>
        <w:rPr>
          <w:position w:val="7"/>
          <w:sz w:val="13"/>
        </w:rPr>
        <w:t>460</w:t>
      </w:r>
      <w:r>
        <w:rPr>
          <w:spacing w:val="40"/>
          <w:position w:val="7"/>
          <w:sz w:val="13"/>
        </w:rPr>
        <w:t xml:space="preserve"> </w:t>
      </w:r>
      <w:r>
        <w:t>The other joint standing committees do not specify a requirement in relation to party affiliation.</w:t>
      </w:r>
      <w:r>
        <w:rPr>
          <w:position w:val="7"/>
          <w:sz w:val="13"/>
        </w:rPr>
        <w:t>461</w:t>
      </w:r>
    </w:p>
    <w:p w14:paraId="7CB26226" w14:textId="77777777" w:rsidR="008A4099" w:rsidRDefault="006A6EE2">
      <w:pPr>
        <w:pStyle w:val="ListParagraph"/>
        <w:numPr>
          <w:ilvl w:val="2"/>
          <w:numId w:val="3"/>
        </w:numPr>
        <w:tabs>
          <w:tab w:val="left" w:pos="879"/>
        </w:tabs>
        <w:spacing w:before="217"/>
        <w:ind w:right="677" w:firstLine="0"/>
        <w:jc w:val="both"/>
      </w:pPr>
      <w:r>
        <w:t>In</w:t>
      </w:r>
      <w:r>
        <w:rPr>
          <w:spacing w:val="-12"/>
        </w:rPr>
        <w:t xml:space="preserve"> </w:t>
      </w:r>
      <w:r>
        <w:t>Queensland,</w:t>
      </w:r>
      <w:r>
        <w:rPr>
          <w:spacing w:val="-14"/>
        </w:rPr>
        <w:t xml:space="preserve"> </w:t>
      </w:r>
      <w:r>
        <w:t>scrutiny</w:t>
      </w:r>
      <w:r>
        <w:rPr>
          <w:spacing w:val="-14"/>
        </w:rPr>
        <w:t xml:space="preserve"> </w:t>
      </w:r>
      <w:r>
        <w:t>is</w:t>
      </w:r>
      <w:r>
        <w:rPr>
          <w:spacing w:val="-13"/>
        </w:rPr>
        <w:t xml:space="preserve"> </w:t>
      </w:r>
      <w:r>
        <w:t>undertaken</w:t>
      </w:r>
      <w:r>
        <w:rPr>
          <w:spacing w:val="-12"/>
        </w:rPr>
        <w:t xml:space="preserve"> </w:t>
      </w:r>
      <w:r>
        <w:t>by</w:t>
      </w:r>
      <w:r>
        <w:rPr>
          <w:spacing w:val="-14"/>
        </w:rPr>
        <w:t xml:space="preserve"> </w:t>
      </w:r>
      <w:r>
        <w:t>a</w:t>
      </w:r>
      <w:r>
        <w:rPr>
          <w:spacing w:val="-12"/>
        </w:rPr>
        <w:t xml:space="preserve"> </w:t>
      </w:r>
      <w:r>
        <w:t>relevant</w:t>
      </w:r>
      <w:r>
        <w:rPr>
          <w:spacing w:val="-11"/>
        </w:rPr>
        <w:t xml:space="preserve"> </w:t>
      </w:r>
      <w:r>
        <w:t>portfolio</w:t>
      </w:r>
      <w:r>
        <w:rPr>
          <w:spacing w:val="-12"/>
        </w:rPr>
        <w:t xml:space="preserve"> </w:t>
      </w:r>
      <w:r>
        <w:t>committee,</w:t>
      </w:r>
      <w:r>
        <w:rPr>
          <w:spacing w:val="-14"/>
        </w:rPr>
        <w:t xml:space="preserve"> </w:t>
      </w:r>
      <w:r>
        <w:t>rather</w:t>
      </w:r>
      <w:r>
        <w:rPr>
          <w:spacing w:val="-14"/>
        </w:rPr>
        <w:t xml:space="preserve"> </w:t>
      </w:r>
      <w:r>
        <w:t>than</w:t>
      </w:r>
      <w:r>
        <w:rPr>
          <w:spacing w:val="-13"/>
        </w:rPr>
        <w:t xml:space="preserve"> </w:t>
      </w:r>
      <w:r>
        <w:t>a</w:t>
      </w:r>
      <w:r>
        <w:rPr>
          <w:spacing w:val="-12"/>
        </w:rPr>
        <w:t xml:space="preserve"> </w:t>
      </w:r>
      <w:r>
        <w:t>dedicated human rights scrutiny committee. As with the preparation of statements of compatibility, there are advantages on the one hand, in decentralising the scrutiny obligation and requiring all committees to consider the human rights implications of laws within their portfolios, and, on the other hand, comparable advantages in developing expertise in one dedicated human rights committee.</w:t>
      </w:r>
    </w:p>
    <w:p w14:paraId="7CB26227" w14:textId="77777777" w:rsidR="008A4099" w:rsidRDefault="006A6EE2">
      <w:pPr>
        <w:pStyle w:val="ListParagraph"/>
        <w:numPr>
          <w:ilvl w:val="2"/>
          <w:numId w:val="3"/>
        </w:numPr>
        <w:tabs>
          <w:tab w:val="left" w:pos="879"/>
        </w:tabs>
        <w:spacing w:before="215"/>
        <w:ind w:right="676" w:firstLine="0"/>
        <w:jc w:val="both"/>
        <w:rPr>
          <w:sz w:val="13"/>
        </w:rPr>
      </w:pPr>
      <w:r>
        <w:t>In Victoria, the Scrutiny of</w:t>
      </w:r>
      <w:r>
        <w:rPr>
          <w:spacing w:val="-2"/>
        </w:rPr>
        <w:t xml:space="preserve"> </w:t>
      </w:r>
      <w:r>
        <w:t>Acts and Regulations Committee</w:t>
      </w:r>
      <w:r>
        <w:rPr>
          <w:spacing w:val="-2"/>
        </w:rPr>
        <w:t xml:space="preserve"> </w:t>
      </w:r>
      <w:r>
        <w:t>(‘SARC’)</w:t>
      </w:r>
      <w:r>
        <w:rPr>
          <w:spacing w:val="-2"/>
        </w:rPr>
        <w:t xml:space="preserve"> </w:t>
      </w:r>
      <w:r>
        <w:t>undertakes scrutiny of all</w:t>
      </w:r>
      <w:r>
        <w:rPr>
          <w:spacing w:val="-1"/>
        </w:rPr>
        <w:t xml:space="preserve"> </w:t>
      </w:r>
      <w:r>
        <w:t>Bills</w:t>
      </w:r>
      <w:r>
        <w:rPr>
          <w:spacing w:val="-1"/>
        </w:rPr>
        <w:t xml:space="preserve"> </w:t>
      </w:r>
      <w:r>
        <w:t>and</w:t>
      </w:r>
      <w:r>
        <w:rPr>
          <w:spacing w:val="-1"/>
        </w:rPr>
        <w:t xml:space="preserve"> </w:t>
      </w:r>
      <w:r>
        <w:t>statutory rules.</w:t>
      </w:r>
      <w:r>
        <w:rPr>
          <w:position w:val="7"/>
          <w:sz w:val="13"/>
        </w:rPr>
        <w:t>462</w:t>
      </w:r>
      <w:r>
        <w:rPr>
          <w:spacing w:val="22"/>
          <w:position w:val="7"/>
          <w:sz w:val="13"/>
        </w:rPr>
        <w:t xml:space="preserve"> </w:t>
      </w:r>
      <w:r>
        <w:t>In terms</w:t>
      </w:r>
      <w:r>
        <w:rPr>
          <w:spacing w:val="-1"/>
        </w:rPr>
        <w:t xml:space="preserve"> </w:t>
      </w:r>
      <w:r>
        <w:t>of</w:t>
      </w:r>
      <w:r>
        <w:rPr>
          <w:spacing w:val="-1"/>
        </w:rPr>
        <w:t xml:space="preserve"> </w:t>
      </w:r>
      <w:r>
        <w:t>approach, this</w:t>
      </w:r>
      <w:r>
        <w:rPr>
          <w:spacing w:val="-3"/>
        </w:rPr>
        <w:t xml:space="preserve"> </w:t>
      </w:r>
      <w:r>
        <w:t>Committee follows</w:t>
      </w:r>
      <w:r>
        <w:rPr>
          <w:spacing w:val="-1"/>
        </w:rPr>
        <w:t xml:space="preserve"> </w:t>
      </w:r>
      <w:r>
        <w:t>the best</w:t>
      </w:r>
      <w:r>
        <w:rPr>
          <w:spacing w:val="-1"/>
        </w:rPr>
        <w:t xml:space="preserve"> </w:t>
      </w:r>
      <w:r>
        <w:t xml:space="preserve">traditions of non- partisan legislative scrutiny, with membership being determined according the ‘practice of </w:t>
      </w:r>
      <w:r>
        <w:rPr>
          <w:spacing w:val="-2"/>
        </w:rPr>
        <w:t>Parliament’.</w:t>
      </w:r>
      <w:r>
        <w:rPr>
          <w:spacing w:val="-2"/>
          <w:position w:val="7"/>
          <w:sz w:val="13"/>
        </w:rPr>
        <w:t>463</w:t>
      </w:r>
    </w:p>
    <w:p w14:paraId="7CB26228" w14:textId="77777777" w:rsidR="008A4099" w:rsidRDefault="006A6EE2">
      <w:pPr>
        <w:pStyle w:val="ListParagraph"/>
        <w:numPr>
          <w:ilvl w:val="2"/>
          <w:numId w:val="3"/>
        </w:numPr>
        <w:tabs>
          <w:tab w:val="left" w:pos="879"/>
        </w:tabs>
        <w:spacing w:before="215"/>
        <w:ind w:right="678" w:firstLine="0"/>
        <w:jc w:val="both"/>
        <w:rPr>
          <w:sz w:val="13"/>
        </w:rPr>
      </w:pPr>
      <w:r>
        <w:t>At the Commonwealth level, the Commonwealth Parliamentary Joint Committee on Human Rights</w:t>
      </w:r>
      <w:r>
        <w:rPr>
          <w:spacing w:val="-4"/>
        </w:rPr>
        <w:t xml:space="preserve"> </w:t>
      </w:r>
      <w:r>
        <w:t>consists</w:t>
      </w:r>
      <w:r>
        <w:rPr>
          <w:spacing w:val="-4"/>
        </w:rPr>
        <w:t xml:space="preserve"> </w:t>
      </w:r>
      <w:r>
        <w:t>of</w:t>
      </w:r>
      <w:r>
        <w:rPr>
          <w:spacing w:val="-4"/>
        </w:rPr>
        <w:t xml:space="preserve"> </w:t>
      </w:r>
      <w:r>
        <w:t>10</w:t>
      </w:r>
      <w:r>
        <w:rPr>
          <w:spacing w:val="-7"/>
        </w:rPr>
        <w:t xml:space="preserve"> </w:t>
      </w:r>
      <w:r>
        <w:t>members:</w:t>
      </w:r>
      <w:r>
        <w:rPr>
          <w:spacing w:val="-6"/>
        </w:rPr>
        <w:t xml:space="preserve"> </w:t>
      </w:r>
      <w:r>
        <w:t>three</w:t>
      </w:r>
      <w:r>
        <w:rPr>
          <w:spacing w:val="-7"/>
        </w:rPr>
        <w:t xml:space="preserve"> </w:t>
      </w:r>
      <w:r>
        <w:t>Members</w:t>
      </w:r>
      <w:r>
        <w:rPr>
          <w:spacing w:val="-7"/>
        </w:rPr>
        <w:t xml:space="preserve"> </w:t>
      </w:r>
      <w:r>
        <w:t>of</w:t>
      </w:r>
      <w:r>
        <w:rPr>
          <w:spacing w:val="-6"/>
        </w:rPr>
        <w:t xml:space="preserve"> </w:t>
      </w:r>
      <w:r>
        <w:t>the</w:t>
      </w:r>
      <w:r>
        <w:rPr>
          <w:spacing w:val="-7"/>
        </w:rPr>
        <w:t xml:space="preserve"> </w:t>
      </w:r>
      <w:r>
        <w:t>House</w:t>
      </w:r>
      <w:r>
        <w:rPr>
          <w:spacing w:val="-4"/>
        </w:rPr>
        <w:t xml:space="preserve"> </w:t>
      </w:r>
      <w:r>
        <w:t>of</w:t>
      </w:r>
      <w:r>
        <w:rPr>
          <w:spacing w:val="-4"/>
        </w:rPr>
        <w:t xml:space="preserve"> </w:t>
      </w:r>
      <w:r>
        <w:t>Representatives</w:t>
      </w:r>
      <w:r>
        <w:rPr>
          <w:spacing w:val="-6"/>
        </w:rPr>
        <w:t xml:space="preserve"> </w:t>
      </w:r>
      <w:r>
        <w:t>to</w:t>
      </w:r>
      <w:r>
        <w:rPr>
          <w:spacing w:val="-5"/>
        </w:rPr>
        <w:t xml:space="preserve"> </w:t>
      </w:r>
      <w:r>
        <w:t>be</w:t>
      </w:r>
      <w:r>
        <w:rPr>
          <w:spacing w:val="-7"/>
        </w:rPr>
        <w:t xml:space="preserve"> </w:t>
      </w:r>
      <w:r>
        <w:t>nominated</w:t>
      </w:r>
      <w:r>
        <w:rPr>
          <w:spacing w:val="-5"/>
        </w:rPr>
        <w:t xml:space="preserve"> </w:t>
      </w:r>
      <w:r>
        <w:t>by</w:t>
      </w:r>
      <w:r>
        <w:rPr>
          <w:spacing w:val="-7"/>
        </w:rPr>
        <w:t xml:space="preserve"> </w:t>
      </w:r>
      <w:r>
        <w:t>the Government Whip; two Members of the House of Representatives to be nominated by the Opposition Whip or by any minority group or independent Member; two Senators to be nominated by the Leader of the Government</w:t>
      </w:r>
      <w:r>
        <w:rPr>
          <w:spacing w:val="-1"/>
        </w:rPr>
        <w:t xml:space="preserve"> </w:t>
      </w:r>
      <w:r>
        <w:t>in</w:t>
      </w:r>
      <w:r>
        <w:rPr>
          <w:spacing w:val="-2"/>
        </w:rPr>
        <w:t xml:space="preserve"> </w:t>
      </w:r>
      <w:r>
        <w:t>the</w:t>
      </w:r>
      <w:r>
        <w:rPr>
          <w:spacing w:val="-2"/>
        </w:rPr>
        <w:t xml:space="preserve"> </w:t>
      </w:r>
      <w:r>
        <w:t>Senate;</w:t>
      </w:r>
      <w:r>
        <w:rPr>
          <w:spacing w:val="-1"/>
        </w:rPr>
        <w:t xml:space="preserve"> </w:t>
      </w:r>
      <w:r>
        <w:t>two Senators to be</w:t>
      </w:r>
      <w:r>
        <w:rPr>
          <w:spacing w:val="-2"/>
        </w:rPr>
        <w:t xml:space="preserve"> </w:t>
      </w:r>
      <w:r>
        <w:t>nominated by the Leader of</w:t>
      </w:r>
      <w:r>
        <w:rPr>
          <w:spacing w:val="-2"/>
        </w:rPr>
        <w:t xml:space="preserve"> </w:t>
      </w:r>
      <w:r>
        <w:t>the Opposition</w:t>
      </w:r>
      <w:r>
        <w:rPr>
          <w:spacing w:val="-3"/>
        </w:rPr>
        <w:t xml:space="preserve"> </w:t>
      </w:r>
      <w:r>
        <w:t>in</w:t>
      </w:r>
      <w:r>
        <w:rPr>
          <w:spacing w:val="-3"/>
        </w:rPr>
        <w:t xml:space="preserve"> </w:t>
      </w:r>
      <w:r>
        <w:t>the Senate; and one Senator to be nominated by any minority group or independent Senator.</w:t>
      </w:r>
      <w:r>
        <w:rPr>
          <w:position w:val="7"/>
          <w:sz w:val="13"/>
        </w:rPr>
        <w:t>464</w:t>
      </w:r>
    </w:p>
    <w:p w14:paraId="7CB26229" w14:textId="77777777" w:rsidR="008A4099" w:rsidRDefault="008A4099">
      <w:pPr>
        <w:pStyle w:val="BodyText"/>
        <w:rPr>
          <w:sz w:val="20"/>
        </w:rPr>
      </w:pPr>
    </w:p>
    <w:p w14:paraId="7CB2622A" w14:textId="77777777" w:rsidR="008A4099" w:rsidRDefault="006A6EE2">
      <w:pPr>
        <w:pStyle w:val="BodyText"/>
        <w:spacing w:before="139"/>
        <w:rPr>
          <w:sz w:val="20"/>
        </w:rPr>
      </w:pPr>
      <w:r>
        <w:rPr>
          <w:noProof/>
        </w:rPr>
        <mc:AlternateContent>
          <mc:Choice Requires="wps">
            <w:drawing>
              <wp:anchor distT="0" distB="0" distL="0" distR="0" simplePos="0" relativeHeight="487630848" behindDoc="1" locked="0" layoutInCell="1" allowOverlap="1" wp14:anchorId="7CB26681" wp14:editId="7CB26682">
                <wp:simplePos x="0" y="0"/>
                <wp:positionH relativeFrom="page">
                  <wp:posOffset>914704</wp:posOffset>
                </wp:positionH>
                <wp:positionV relativeFrom="paragraph">
                  <wp:posOffset>249892</wp:posOffset>
                </wp:positionV>
                <wp:extent cx="1829435" cy="762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5FBAB" id="Graphic 132" o:spid="_x0000_s1026" style="position:absolute;margin-left:1in;margin-top:19.7pt;width:144.05pt;height:.6pt;z-index:-15685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" path="m1829054,l,,,7619r1829054,l1829054,xe" fillcolor="black" stroked="f">
                <v:path arrowok="t"/>
                <w10:wrap type="topAndBottom" anchorx="page"/>
              </v:shape>
            </w:pict>
          </mc:Fallback>
        </mc:AlternateContent>
      </w:r>
    </w:p>
    <w:p w14:paraId="7CB2622B" w14:textId="77777777" w:rsidR="008A4099" w:rsidRDefault="006A6EE2">
      <w:pPr>
        <w:spacing w:before="112" w:line="244" w:lineRule="auto"/>
        <w:ind w:left="160" w:right="680"/>
        <w:rPr>
          <w:sz w:val="18"/>
        </w:rPr>
      </w:pPr>
      <w:r>
        <w:rPr>
          <w:sz w:val="18"/>
          <w:vertAlign w:val="superscript"/>
        </w:rPr>
        <w:t>456</w:t>
      </w:r>
      <w:r>
        <w:rPr>
          <w:sz w:val="18"/>
        </w:rPr>
        <w:t xml:space="preserve"> A similar approach is adopted under s 45-20 of the </w:t>
      </w:r>
      <w:r>
        <w:rPr>
          <w:i/>
          <w:sz w:val="18"/>
        </w:rPr>
        <w:t xml:space="preserve">Australian Charities and Not-for-profits Commission Act 2012 </w:t>
      </w:r>
      <w:r>
        <w:rPr>
          <w:sz w:val="18"/>
        </w:rPr>
        <w:t>(Cth) for regulations relating to the governance standards for charities.</w:t>
      </w:r>
    </w:p>
    <w:p w14:paraId="7CB2622C" w14:textId="77777777" w:rsidR="008A4099" w:rsidRDefault="006A6EE2">
      <w:pPr>
        <w:spacing w:before="15"/>
        <w:ind w:left="160"/>
        <w:rPr>
          <w:sz w:val="18"/>
        </w:rPr>
      </w:pPr>
      <w:r>
        <w:rPr>
          <w:sz w:val="18"/>
          <w:vertAlign w:val="superscript"/>
        </w:rPr>
        <w:t>457</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10.</w:t>
      </w:r>
    </w:p>
    <w:p w14:paraId="7CB2622D" w14:textId="77777777" w:rsidR="008A4099" w:rsidRDefault="006A6EE2">
      <w:pPr>
        <w:spacing w:before="23"/>
        <w:ind w:left="160"/>
        <w:rPr>
          <w:sz w:val="18"/>
        </w:rPr>
      </w:pPr>
      <w:r>
        <w:rPr>
          <w:sz w:val="18"/>
          <w:vertAlign w:val="superscript"/>
        </w:rPr>
        <w:t>458</w:t>
      </w:r>
      <w:r>
        <w:rPr>
          <w:spacing w:val="6"/>
          <w:sz w:val="18"/>
        </w:rPr>
        <w:t xml:space="preserve"> </w:t>
      </w:r>
      <w:r>
        <w:rPr>
          <w:sz w:val="18"/>
        </w:rPr>
        <w:t>Ibid</w:t>
      </w:r>
      <w:r>
        <w:rPr>
          <w:spacing w:val="6"/>
          <w:sz w:val="18"/>
        </w:rPr>
        <w:t xml:space="preserve"> </w:t>
      </w:r>
      <w:r>
        <w:rPr>
          <w:spacing w:val="-2"/>
          <w:sz w:val="18"/>
        </w:rPr>
        <w:t>[4.10.14]–[4.10.15].</w:t>
      </w:r>
    </w:p>
    <w:p w14:paraId="7CB2622E" w14:textId="77777777" w:rsidR="008A4099" w:rsidRDefault="006A6EE2">
      <w:pPr>
        <w:spacing w:before="24"/>
        <w:ind w:left="160"/>
        <w:rPr>
          <w:sz w:val="18"/>
        </w:rPr>
      </w:pPr>
      <w:r>
        <w:rPr>
          <w:sz w:val="18"/>
          <w:vertAlign w:val="superscript"/>
        </w:rPr>
        <w:t>459</w:t>
      </w:r>
      <w:r>
        <w:rPr>
          <w:sz w:val="18"/>
        </w:rPr>
        <w:t xml:space="preserve"> </w:t>
      </w:r>
      <w:r>
        <w:rPr>
          <w:i/>
          <w:sz w:val="18"/>
        </w:rPr>
        <w:t>Integrity</w:t>
      </w:r>
      <w:r>
        <w:rPr>
          <w:i/>
          <w:spacing w:val="1"/>
          <w:sz w:val="18"/>
        </w:rPr>
        <w:t xml:space="preserve"> </w:t>
      </w:r>
      <w:r>
        <w:rPr>
          <w:i/>
          <w:sz w:val="18"/>
        </w:rPr>
        <w:t>Commission</w:t>
      </w:r>
      <w:r>
        <w:rPr>
          <w:i/>
          <w:spacing w:val="-1"/>
          <w:sz w:val="18"/>
        </w:rPr>
        <w:t xml:space="preserve"> </w:t>
      </w:r>
      <w:r>
        <w:rPr>
          <w:i/>
          <w:sz w:val="18"/>
        </w:rPr>
        <w:t>Act</w:t>
      </w:r>
      <w:r>
        <w:rPr>
          <w:i/>
          <w:spacing w:val="1"/>
          <w:sz w:val="18"/>
        </w:rPr>
        <w:t xml:space="preserve"> </w:t>
      </w:r>
      <w:r>
        <w:rPr>
          <w:i/>
          <w:sz w:val="18"/>
        </w:rPr>
        <w:t>2009</w:t>
      </w:r>
      <w:r>
        <w:rPr>
          <w:i/>
          <w:spacing w:val="3"/>
          <w:sz w:val="18"/>
        </w:rPr>
        <w:t xml:space="preserve"> </w:t>
      </w:r>
      <w:r>
        <w:rPr>
          <w:sz w:val="18"/>
        </w:rPr>
        <w:t>(Tas)</w:t>
      </w:r>
      <w:r>
        <w:rPr>
          <w:spacing w:val="1"/>
          <w:sz w:val="18"/>
        </w:rPr>
        <w:t xml:space="preserve"> </w:t>
      </w:r>
      <w:r>
        <w:rPr>
          <w:sz w:val="18"/>
        </w:rPr>
        <w:t xml:space="preserve">s </w:t>
      </w:r>
      <w:r>
        <w:rPr>
          <w:spacing w:val="-2"/>
          <w:sz w:val="18"/>
        </w:rPr>
        <w:t>23(2).</w:t>
      </w:r>
    </w:p>
    <w:p w14:paraId="7CB2622F" w14:textId="77777777" w:rsidR="008A4099" w:rsidRDefault="006A6EE2">
      <w:pPr>
        <w:spacing w:before="23"/>
        <w:ind w:left="160"/>
        <w:rPr>
          <w:sz w:val="18"/>
        </w:rPr>
      </w:pPr>
      <w:r>
        <w:rPr>
          <w:sz w:val="18"/>
          <w:vertAlign w:val="superscript"/>
        </w:rPr>
        <w:t>460</w:t>
      </w:r>
      <w:r>
        <w:rPr>
          <w:sz w:val="18"/>
        </w:rPr>
        <w:t xml:space="preserve"> </w:t>
      </w:r>
      <w:r>
        <w:rPr>
          <w:i/>
          <w:sz w:val="18"/>
        </w:rPr>
        <w:t>Integrity</w:t>
      </w:r>
      <w:r>
        <w:rPr>
          <w:i/>
          <w:spacing w:val="1"/>
          <w:sz w:val="18"/>
        </w:rPr>
        <w:t xml:space="preserve"> </w:t>
      </w:r>
      <w:r>
        <w:rPr>
          <w:i/>
          <w:sz w:val="18"/>
        </w:rPr>
        <w:t>Commission</w:t>
      </w:r>
      <w:r>
        <w:rPr>
          <w:i/>
          <w:spacing w:val="-1"/>
          <w:sz w:val="18"/>
        </w:rPr>
        <w:t xml:space="preserve"> </w:t>
      </w:r>
      <w:r>
        <w:rPr>
          <w:i/>
          <w:sz w:val="18"/>
        </w:rPr>
        <w:t>Act</w:t>
      </w:r>
      <w:r>
        <w:rPr>
          <w:i/>
          <w:spacing w:val="1"/>
          <w:sz w:val="18"/>
        </w:rPr>
        <w:t xml:space="preserve"> </w:t>
      </w:r>
      <w:r>
        <w:rPr>
          <w:i/>
          <w:sz w:val="18"/>
        </w:rPr>
        <w:t>2009</w:t>
      </w:r>
      <w:r>
        <w:rPr>
          <w:i/>
          <w:spacing w:val="3"/>
          <w:sz w:val="18"/>
        </w:rPr>
        <w:t xml:space="preserve"> </w:t>
      </w:r>
      <w:r>
        <w:rPr>
          <w:sz w:val="18"/>
        </w:rPr>
        <w:t>(Tas)</w:t>
      </w:r>
      <w:r>
        <w:rPr>
          <w:spacing w:val="1"/>
          <w:sz w:val="18"/>
        </w:rPr>
        <w:t xml:space="preserve"> </w:t>
      </w:r>
      <w:r>
        <w:rPr>
          <w:sz w:val="18"/>
        </w:rPr>
        <w:t xml:space="preserve">s </w:t>
      </w:r>
      <w:r>
        <w:rPr>
          <w:spacing w:val="-2"/>
          <w:sz w:val="18"/>
        </w:rPr>
        <w:t>23(3).</w:t>
      </w:r>
    </w:p>
    <w:p w14:paraId="7CB26230" w14:textId="77777777" w:rsidR="008A4099" w:rsidRDefault="006A6EE2">
      <w:pPr>
        <w:spacing w:before="21"/>
        <w:ind w:left="160"/>
        <w:rPr>
          <w:sz w:val="18"/>
        </w:rPr>
      </w:pPr>
      <w:r>
        <w:rPr>
          <w:sz w:val="18"/>
          <w:vertAlign w:val="superscript"/>
        </w:rPr>
        <w:t>461</w:t>
      </w:r>
      <w:r>
        <w:rPr>
          <w:sz w:val="18"/>
        </w:rPr>
        <w:t xml:space="preserve"> Email from</w:t>
      </w:r>
      <w:r>
        <w:rPr>
          <w:spacing w:val="-1"/>
          <w:sz w:val="18"/>
        </w:rPr>
        <w:t xml:space="preserve"> </w:t>
      </w:r>
      <w:r>
        <w:rPr>
          <w:sz w:val="18"/>
        </w:rPr>
        <w:t>Department</w:t>
      </w:r>
      <w:r>
        <w:rPr>
          <w:spacing w:val="-1"/>
          <w:sz w:val="18"/>
        </w:rPr>
        <w:t xml:space="preserve"> </w:t>
      </w:r>
      <w:r>
        <w:rPr>
          <w:sz w:val="18"/>
        </w:rPr>
        <w:t>of Justice</w:t>
      </w:r>
      <w:r>
        <w:rPr>
          <w:spacing w:val="-1"/>
          <w:sz w:val="18"/>
        </w:rPr>
        <w:t xml:space="preserve"> </w:t>
      </w:r>
      <w:r>
        <w:rPr>
          <w:sz w:val="18"/>
        </w:rPr>
        <w:t>(Tasmania),</w:t>
      </w:r>
      <w:r>
        <w:rPr>
          <w:spacing w:val="1"/>
          <w:sz w:val="18"/>
        </w:rPr>
        <w:t xml:space="preserve"> </w:t>
      </w:r>
      <w:r>
        <w:rPr>
          <w:sz w:val="18"/>
        </w:rPr>
        <w:t>16</w:t>
      </w:r>
      <w:r>
        <w:rPr>
          <w:spacing w:val="1"/>
          <w:sz w:val="18"/>
        </w:rPr>
        <w:t xml:space="preserve"> </w:t>
      </w:r>
      <w:r>
        <w:rPr>
          <w:sz w:val="18"/>
        </w:rPr>
        <w:t xml:space="preserve">October </w:t>
      </w:r>
      <w:r>
        <w:rPr>
          <w:spacing w:val="-4"/>
          <w:sz w:val="18"/>
        </w:rPr>
        <w:t>2023.</w:t>
      </w:r>
    </w:p>
    <w:p w14:paraId="7CB26231" w14:textId="77777777" w:rsidR="008A4099" w:rsidRDefault="006A6EE2">
      <w:pPr>
        <w:spacing w:before="24"/>
        <w:ind w:left="160"/>
        <w:rPr>
          <w:sz w:val="18"/>
        </w:rPr>
      </w:pPr>
      <w:r>
        <w:rPr>
          <w:sz w:val="18"/>
          <w:vertAlign w:val="superscript"/>
        </w:rPr>
        <w:t>462</w:t>
      </w:r>
      <w:r>
        <w:rPr>
          <w:spacing w:val="-1"/>
          <w:sz w:val="18"/>
        </w:rPr>
        <w:t xml:space="preserve"> </w:t>
      </w:r>
      <w:r>
        <w:rPr>
          <w:i/>
          <w:sz w:val="18"/>
        </w:rPr>
        <w:t>Charter of</w:t>
      </w:r>
      <w:r>
        <w:rPr>
          <w:i/>
          <w:spacing w:val="-1"/>
          <w:sz w:val="18"/>
        </w:rPr>
        <w:t xml:space="preserve"> </w:t>
      </w:r>
      <w:r>
        <w:rPr>
          <w:i/>
          <w:sz w:val="18"/>
        </w:rPr>
        <w:t>Human</w:t>
      </w:r>
      <w:r>
        <w:rPr>
          <w:i/>
          <w:spacing w:val="1"/>
          <w:sz w:val="18"/>
        </w:rPr>
        <w:t xml:space="preserve"> </w:t>
      </w:r>
      <w:r>
        <w:rPr>
          <w:i/>
          <w:sz w:val="18"/>
        </w:rPr>
        <w:t>Rights</w:t>
      </w:r>
      <w:r>
        <w:rPr>
          <w:i/>
          <w:spacing w:val="-1"/>
          <w:sz w:val="18"/>
        </w:rPr>
        <w:t xml:space="preserve"> </w:t>
      </w:r>
      <w:r>
        <w:rPr>
          <w:i/>
          <w:sz w:val="18"/>
        </w:rPr>
        <w:t>and</w:t>
      </w:r>
      <w:r>
        <w:rPr>
          <w:i/>
          <w:spacing w:val="-1"/>
          <w:sz w:val="18"/>
        </w:rPr>
        <w:t xml:space="preserve"> </w:t>
      </w:r>
      <w:r>
        <w:rPr>
          <w:i/>
          <w:sz w:val="18"/>
        </w:rPr>
        <w:t>Responsibilities</w:t>
      </w:r>
      <w:r>
        <w:rPr>
          <w:i/>
          <w:spacing w:val="-2"/>
          <w:sz w:val="18"/>
        </w:rPr>
        <w:t xml:space="preserve"> </w:t>
      </w:r>
      <w:r>
        <w:rPr>
          <w:i/>
          <w:sz w:val="18"/>
        </w:rPr>
        <w:t>Act 2006</w:t>
      </w:r>
      <w:r>
        <w:rPr>
          <w:i/>
          <w:spacing w:val="4"/>
          <w:sz w:val="18"/>
        </w:rPr>
        <w:t xml:space="preserve"> </w:t>
      </w:r>
      <w:r>
        <w:rPr>
          <w:sz w:val="18"/>
        </w:rPr>
        <w:t>(Vic) s</w:t>
      </w:r>
      <w:r>
        <w:rPr>
          <w:spacing w:val="-1"/>
          <w:sz w:val="18"/>
        </w:rPr>
        <w:t xml:space="preserve"> </w:t>
      </w:r>
      <w:r>
        <w:rPr>
          <w:sz w:val="18"/>
        </w:rPr>
        <w:t>30;</w:t>
      </w:r>
      <w:r>
        <w:rPr>
          <w:spacing w:val="-1"/>
          <w:sz w:val="18"/>
        </w:rPr>
        <w:t xml:space="preserve"> </w:t>
      </w:r>
      <w:r>
        <w:rPr>
          <w:i/>
          <w:sz w:val="18"/>
        </w:rPr>
        <w:t>Subordinate</w:t>
      </w:r>
      <w:r>
        <w:rPr>
          <w:i/>
          <w:spacing w:val="-1"/>
          <w:sz w:val="18"/>
        </w:rPr>
        <w:t xml:space="preserve"> </w:t>
      </w:r>
      <w:r>
        <w:rPr>
          <w:i/>
          <w:sz w:val="18"/>
        </w:rPr>
        <w:t>Legislation</w:t>
      </w:r>
      <w:r>
        <w:rPr>
          <w:i/>
          <w:spacing w:val="-1"/>
          <w:sz w:val="18"/>
        </w:rPr>
        <w:t xml:space="preserve"> </w:t>
      </w:r>
      <w:r>
        <w:rPr>
          <w:i/>
          <w:sz w:val="18"/>
        </w:rPr>
        <w:t>Act 1994</w:t>
      </w:r>
      <w:r>
        <w:rPr>
          <w:i/>
          <w:spacing w:val="3"/>
          <w:sz w:val="18"/>
        </w:rPr>
        <w:t xml:space="preserve"> </w:t>
      </w:r>
      <w:r>
        <w:rPr>
          <w:sz w:val="18"/>
        </w:rPr>
        <w:t>(Vic) s</w:t>
      </w:r>
      <w:r>
        <w:rPr>
          <w:spacing w:val="-1"/>
          <w:sz w:val="18"/>
        </w:rPr>
        <w:t xml:space="preserve"> </w:t>
      </w:r>
      <w:r>
        <w:rPr>
          <w:spacing w:val="-5"/>
          <w:sz w:val="18"/>
        </w:rPr>
        <w:t>21.</w:t>
      </w:r>
    </w:p>
    <w:p w14:paraId="7CB26232" w14:textId="77777777" w:rsidR="008A4099" w:rsidRDefault="006A6EE2">
      <w:pPr>
        <w:spacing w:before="23"/>
        <w:ind w:left="160"/>
        <w:rPr>
          <w:sz w:val="18"/>
        </w:rPr>
      </w:pPr>
      <w:r>
        <w:rPr>
          <w:sz w:val="18"/>
          <w:vertAlign w:val="superscript"/>
        </w:rPr>
        <w:t>463</w:t>
      </w:r>
      <w:r>
        <w:rPr>
          <w:sz w:val="18"/>
        </w:rPr>
        <w:t xml:space="preserve"> Email from</w:t>
      </w:r>
      <w:r>
        <w:rPr>
          <w:spacing w:val="-1"/>
          <w:sz w:val="18"/>
        </w:rPr>
        <w:t xml:space="preserve"> </w:t>
      </w:r>
      <w:r>
        <w:rPr>
          <w:sz w:val="18"/>
        </w:rPr>
        <w:t>Department</w:t>
      </w:r>
      <w:r>
        <w:rPr>
          <w:spacing w:val="-1"/>
          <w:sz w:val="18"/>
        </w:rPr>
        <w:t xml:space="preserve"> </w:t>
      </w:r>
      <w:r>
        <w:rPr>
          <w:sz w:val="18"/>
        </w:rPr>
        <w:t>of Justice</w:t>
      </w:r>
      <w:r>
        <w:rPr>
          <w:spacing w:val="-1"/>
          <w:sz w:val="18"/>
        </w:rPr>
        <w:t xml:space="preserve"> </w:t>
      </w:r>
      <w:r>
        <w:rPr>
          <w:sz w:val="18"/>
        </w:rPr>
        <w:t>(Tasmania),</w:t>
      </w:r>
      <w:r>
        <w:rPr>
          <w:spacing w:val="1"/>
          <w:sz w:val="18"/>
        </w:rPr>
        <w:t xml:space="preserve"> </w:t>
      </w:r>
      <w:r>
        <w:rPr>
          <w:sz w:val="18"/>
        </w:rPr>
        <w:t>16</w:t>
      </w:r>
      <w:r>
        <w:rPr>
          <w:spacing w:val="1"/>
          <w:sz w:val="18"/>
        </w:rPr>
        <w:t xml:space="preserve"> </w:t>
      </w:r>
      <w:r>
        <w:rPr>
          <w:sz w:val="18"/>
        </w:rPr>
        <w:t xml:space="preserve">October </w:t>
      </w:r>
      <w:r>
        <w:rPr>
          <w:spacing w:val="-4"/>
          <w:sz w:val="18"/>
        </w:rPr>
        <w:t>2023.</w:t>
      </w:r>
    </w:p>
    <w:p w14:paraId="7CB26233" w14:textId="77777777" w:rsidR="008A4099" w:rsidRDefault="006A6EE2">
      <w:pPr>
        <w:spacing w:before="23"/>
        <w:ind w:left="160"/>
        <w:rPr>
          <w:sz w:val="18"/>
        </w:rPr>
      </w:pPr>
      <w:r>
        <w:rPr>
          <w:sz w:val="18"/>
          <w:vertAlign w:val="superscript"/>
        </w:rPr>
        <w:t>464</w:t>
      </w:r>
      <w:r>
        <w:rPr>
          <w:sz w:val="18"/>
        </w:rPr>
        <w:t xml:space="preserve"> Email from</w:t>
      </w:r>
      <w:r>
        <w:rPr>
          <w:spacing w:val="-1"/>
          <w:sz w:val="18"/>
        </w:rPr>
        <w:t xml:space="preserve"> </w:t>
      </w:r>
      <w:r>
        <w:rPr>
          <w:sz w:val="18"/>
        </w:rPr>
        <w:t>Department</w:t>
      </w:r>
      <w:r>
        <w:rPr>
          <w:spacing w:val="-1"/>
          <w:sz w:val="18"/>
        </w:rPr>
        <w:t xml:space="preserve"> </w:t>
      </w:r>
      <w:r>
        <w:rPr>
          <w:sz w:val="18"/>
        </w:rPr>
        <w:t>of Justice</w:t>
      </w:r>
      <w:r>
        <w:rPr>
          <w:spacing w:val="-1"/>
          <w:sz w:val="18"/>
        </w:rPr>
        <w:t xml:space="preserve"> </w:t>
      </w:r>
      <w:r>
        <w:rPr>
          <w:sz w:val="18"/>
        </w:rPr>
        <w:t>(Tasmania),</w:t>
      </w:r>
      <w:r>
        <w:rPr>
          <w:spacing w:val="1"/>
          <w:sz w:val="18"/>
        </w:rPr>
        <w:t xml:space="preserve"> </w:t>
      </w:r>
      <w:r>
        <w:rPr>
          <w:sz w:val="18"/>
        </w:rPr>
        <w:t>16</w:t>
      </w:r>
      <w:r>
        <w:rPr>
          <w:spacing w:val="1"/>
          <w:sz w:val="18"/>
        </w:rPr>
        <w:t xml:space="preserve"> </w:t>
      </w:r>
      <w:r>
        <w:rPr>
          <w:sz w:val="18"/>
        </w:rPr>
        <w:t xml:space="preserve">October </w:t>
      </w:r>
      <w:r>
        <w:rPr>
          <w:spacing w:val="-4"/>
          <w:sz w:val="18"/>
        </w:rPr>
        <w:t>2023.</w:t>
      </w:r>
    </w:p>
    <w:p w14:paraId="7CB26234" w14:textId="77777777" w:rsidR="008A4099" w:rsidRDefault="008A4099">
      <w:pPr>
        <w:rPr>
          <w:sz w:val="18"/>
        </w:rPr>
        <w:sectPr w:rsidR="008A4099" w:rsidSect="00D43B2D">
          <w:pgSz w:w="11910" w:h="16840"/>
          <w:pgMar w:top="980" w:right="760" w:bottom="940" w:left="1280" w:header="718" w:footer="753" w:gutter="0"/>
          <w:cols w:space="720"/>
        </w:sectPr>
      </w:pPr>
    </w:p>
    <w:p w14:paraId="7CB26235" w14:textId="77777777" w:rsidR="008A4099" w:rsidRDefault="008A4099">
      <w:pPr>
        <w:pStyle w:val="BodyText"/>
        <w:spacing w:before="194"/>
      </w:pPr>
    </w:p>
    <w:p w14:paraId="7CB26236" w14:textId="77777777" w:rsidR="008A4099" w:rsidRDefault="006A6EE2">
      <w:pPr>
        <w:pStyle w:val="ListParagraph"/>
        <w:numPr>
          <w:ilvl w:val="2"/>
          <w:numId w:val="3"/>
        </w:numPr>
        <w:tabs>
          <w:tab w:val="left" w:pos="879"/>
        </w:tabs>
        <w:spacing w:before="1"/>
        <w:ind w:right="675" w:firstLine="0"/>
        <w:jc w:val="both"/>
        <w:rPr>
          <w:sz w:val="13"/>
        </w:rPr>
      </w:pPr>
      <w:r>
        <w:t>While the 2007 TLRI Final Report did not explicitly recommend minimum timeframes for scrutiny, subsequent developments have made it clear that an effective model requires that sufficient time be allocated to enable meaningful dialogue and consideration of expert views. This requires allowing time for the PHRSC to review a Bill, identify any issues not addressed in the statement of compatibility and request clarification from the relevant minister, and receive and consider any ministerial responses prior to finalising its assessment. There should also be sufficient time between publication of the assessment report and Parliamentary debate to allow members to review the report and</w:t>
      </w:r>
      <w:r>
        <w:rPr>
          <w:spacing w:val="-14"/>
        </w:rPr>
        <w:t xml:space="preserve"> </w:t>
      </w:r>
      <w:r>
        <w:t>engage</w:t>
      </w:r>
      <w:r>
        <w:rPr>
          <w:spacing w:val="-12"/>
        </w:rPr>
        <w:t xml:space="preserve"> </w:t>
      </w:r>
      <w:r>
        <w:t>with</w:t>
      </w:r>
      <w:r>
        <w:rPr>
          <w:spacing w:val="-14"/>
        </w:rPr>
        <w:t xml:space="preserve"> </w:t>
      </w:r>
      <w:r>
        <w:t>the</w:t>
      </w:r>
      <w:r>
        <w:rPr>
          <w:spacing w:val="-12"/>
        </w:rPr>
        <w:t xml:space="preserve"> </w:t>
      </w:r>
      <w:r>
        <w:t>human</w:t>
      </w:r>
      <w:r>
        <w:rPr>
          <w:spacing w:val="-14"/>
        </w:rPr>
        <w:t xml:space="preserve"> </w:t>
      </w:r>
      <w:r>
        <w:t>rights</w:t>
      </w:r>
      <w:r>
        <w:rPr>
          <w:spacing w:val="-14"/>
        </w:rPr>
        <w:t xml:space="preserve"> </w:t>
      </w:r>
      <w:r>
        <w:t>implications</w:t>
      </w:r>
      <w:r>
        <w:rPr>
          <w:spacing w:val="-14"/>
        </w:rPr>
        <w:t xml:space="preserve"> </w:t>
      </w:r>
      <w:r>
        <w:t>identified.</w:t>
      </w:r>
      <w:r>
        <w:rPr>
          <w:spacing w:val="-11"/>
        </w:rPr>
        <w:t xml:space="preserve"> </w:t>
      </w:r>
      <w:r>
        <w:t>Short</w:t>
      </w:r>
      <w:r>
        <w:rPr>
          <w:spacing w:val="-13"/>
        </w:rPr>
        <w:t xml:space="preserve"> </w:t>
      </w:r>
      <w:r>
        <w:t>timeframes</w:t>
      </w:r>
      <w:r>
        <w:rPr>
          <w:spacing w:val="-13"/>
        </w:rPr>
        <w:t xml:space="preserve"> </w:t>
      </w:r>
      <w:r>
        <w:t>would</w:t>
      </w:r>
      <w:r>
        <w:rPr>
          <w:spacing w:val="-14"/>
        </w:rPr>
        <w:t xml:space="preserve"> </w:t>
      </w:r>
      <w:r>
        <w:t>undermine</w:t>
      </w:r>
      <w:r>
        <w:rPr>
          <w:spacing w:val="-14"/>
        </w:rPr>
        <w:t xml:space="preserve"> </w:t>
      </w:r>
      <w:r>
        <w:t>the</w:t>
      </w:r>
      <w:r>
        <w:rPr>
          <w:spacing w:val="-14"/>
        </w:rPr>
        <w:t xml:space="preserve"> </w:t>
      </w:r>
      <w:r>
        <w:t>rigour of the Committee’s assessment and risk ‘mere lip-service being provided to human rights’.</w:t>
      </w:r>
      <w:r>
        <w:rPr>
          <w:position w:val="7"/>
          <w:sz w:val="13"/>
        </w:rPr>
        <w:t>465</w:t>
      </w:r>
    </w:p>
    <w:p w14:paraId="7CB26237" w14:textId="77777777" w:rsidR="008A4099" w:rsidRDefault="006A6EE2">
      <w:pPr>
        <w:pStyle w:val="ListParagraph"/>
        <w:numPr>
          <w:ilvl w:val="2"/>
          <w:numId w:val="3"/>
        </w:numPr>
        <w:tabs>
          <w:tab w:val="left" w:pos="879"/>
        </w:tabs>
        <w:spacing w:before="215"/>
        <w:ind w:right="677" w:firstLine="0"/>
        <w:jc w:val="both"/>
        <w:rPr>
          <w:sz w:val="13"/>
        </w:rPr>
      </w:pPr>
      <w:r>
        <w:t>In</w:t>
      </w:r>
      <w:r>
        <w:rPr>
          <w:spacing w:val="-14"/>
        </w:rPr>
        <w:t xml:space="preserve"> </w:t>
      </w:r>
      <w:r>
        <w:t>the</w:t>
      </w:r>
      <w:r>
        <w:rPr>
          <w:spacing w:val="-14"/>
        </w:rPr>
        <w:t xml:space="preserve"> </w:t>
      </w:r>
      <w:r>
        <w:t>three</w:t>
      </w:r>
      <w:r>
        <w:rPr>
          <w:spacing w:val="-14"/>
        </w:rPr>
        <w:t xml:space="preserve"> </w:t>
      </w:r>
      <w:r>
        <w:t>Australian</w:t>
      </w:r>
      <w:r>
        <w:rPr>
          <w:spacing w:val="-13"/>
        </w:rPr>
        <w:t xml:space="preserve"> </w:t>
      </w:r>
      <w:r>
        <w:t>jurisdictions</w:t>
      </w:r>
      <w:r>
        <w:rPr>
          <w:spacing w:val="-14"/>
        </w:rPr>
        <w:t xml:space="preserve"> </w:t>
      </w:r>
      <w:r>
        <w:t>with</w:t>
      </w:r>
      <w:r>
        <w:rPr>
          <w:spacing w:val="-14"/>
        </w:rPr>
        <w:t xml:space="preserve"> </w:t>
      </w:r>
      <w:r>
        <w:t>human</w:t>
      </w:r>
      <w:r>
        <w:rPr>
          <w:spacing w:val="-14"/>
        </w:rPr>
        <w:t xml:space="preserve"> </w:t>
      </w:r>
      <w:r>
        <w:t>rights</w:t>
      </w:r>
      <w:r>
        <w:rPr>
          <w:spacing w:val="-13"/>
        </w:rPr>
        <w:t xml:space="preserve"> </w:t>
      </w:r>
      <w:r>
        <w:t>enactments,</w:t>
      </w:r>
      <w:r>
        <w:rPr>
          <w:spacing w:val="-14"/>
        </w:rPr>
        <w:t xml:space="preserve"> </w:t>
      </w:r>
      <w:r>
        <w:t>Bills</w:t>
      </w:r>
      <w:r>
        <w:rPr>
          <w:spacing w:val="-14"/>
        </w:rPr>
        <w:t xml:space="preserve"> </w:t>
      </w:r>
      <w:r>
        <w:t>are</w:t>
      </w:r>
      <w:r>
        <w:rPr>
          <w:spacing w:val="-14"/>
        </w:rPr>
        <w:t xml:space="preserve"> </w:t>
      </w:r>
      <w:r>
        <w:t>rarely</w:t>
      </w:r>
      <w:r>
        <w:rPr>
          <w:spacing w:val="-13"/>
        </w:rPr>
        <w:t xml:space="preserve"> </w:t>
      </w:r>
      <w:r>
        <w:t>debated</w:t>
      </w:r>
      <w:r>
        <w:rPr>
          <w:spacing w:val="-14"/>
        </w:rPr>
        <w:t xml:space="preserve"> </w:t>
      </w:r>
      <w:r>
        <w:t>prior to finalisation of the scrutiny report, other than in emergency situations. The 2015 Review of the Vic Human Rights Charter recommended that the government consider ‘how best to ensure that the [Scrutiny</w:t>
      </w:r>
      <w:r>
        <w:rPr>
          <w:spacing w:val="-14"/>
        </w:rPr>
        <w:t xml:space="preserve"> </w:t>
      </w:r>
      <w:r>
        <w:t>of</w:t>
      </w:r>
      <w:r>
        <w:rPr>
          <w:spacing w:val="-14"/>
        </w:rPr>
        <w:t xml:space="preserve"> </w:t>
      </w:r>
      <w:r>
        <w:t>Acts</w:t>
      </w:r>
      <w:r>
        <w:rPr>
          <w:spacing w:val="-14"/>
        </w:rPr>
        <w:t xml:space="preserve"> </w:t>
      </w:r>
      <w:r>
        <w:t>and</w:t>
      </w:r>
      <w:r>
        <w:rPr>
          <w:spacing w:val="-13"/>
        </w:rPr>
        <w:t xml:space="preserve"> </w:t>
      </w:r>
      <w:r>
        <w:t>Regulations</w:t>
      </w:r>
      <w:r>
        <w:rPr>
          <w:spacing w:val="-14"/>
        </w:rPr>
        <w:t xml:space="preserve"> </w:t>
      </w:r>
      <w:r>
        <w:t>Committee]</w:t>
      </w:r>
      <w:r>
        <w:rPr>
          <w:spacing w:val="-14"/>
        </w:rPr>
        <w:t xml:space="preserve"> </w:t>
      </w:r>
      <w:r>
        <w:t>has</w:t>
      </w:r>
      <w:r>
        <w:rPr>
          <w:spacing w:val="-14"/>
        </w:rPr>
        <w:t xml:space="preserve"> </w:t>
      </w:r>
      <w:r>
        <w:t>sufficient</w:t>
      </w:r>
      <w:r>
        <w:rPr>
          <w:spacing w:val="-13"/>
        </w:rPr>
        <w:t xml:space="preserve"> </w:t>
      </w:r>
      <w:r>
        <w:t>time</w:t>
      </w:r>
      <w:r>
        <w:rPr>
          <w:spacing w:val="-14"/>
        </w:rPr>
        <w:t xml:space="preserve"> </w:t>
      </w:r>
      <w:r>
        <w:t>to</w:t>
      </w:r>
      <w:r>
        <w:rPr>
          <w:spacing w:val="-14"/>
        </w:rPr>
        <w:t xml:space="preserve"> </w:t>
      </w:r>
      <w:r>
        <w:t>scrutinise</w:t>
      </w:r>
      <w:r>
        <w:rPr>
          <w:spacing w:val="-14"/>
        </w:rPr>
        <w:t xml:space="preserve"> </w:t>
      </w:r>
      <w:r>
        <w:t>Bills</w:t>
      </w:r>
      <w:r>
        <w:rPr>
          <w:spacing w:val="-13"/>
        </w:rPr>
        <w:t xml:space="preserve"> </w:t>
      </w:r>
      <w:r>
        <w:t>that</w:t>
      </w:r>
      <w:r>
        <w:rPr>
          <w:spacing w:val="-14"/>
        </w:rPr>
        <w:t xml:space="preserve"> </w:t>
      </w:r>
      <w:r>
        <w:t>raise</w:t>
      </w:r>
      <w:r>
        <w:rPr>
          <w:spacing w:val="-14"/>
        </w:rPr>
        <w:t xml:space="preserve"> </w:t>
      </w:r>
      <w:r>
        <w:t>significant human rights issues’.</w:t>
      </w:r>
      <w:r>
        <w:rPr>
          <w:position w:val="7"/>
          <w:sz w:val="13"/>
        </w:rPr>
        <w:t>466</w:t>
      </w:r>
    </w:p>
    <w:p w14:paraId="7CB26238" w14:textId="77777777" w:rsidR="008A4099" w:rsidRDefault="006A6EE2">
      <w:pPr>
        <w:pStyle w:val="Heading3"/>
        <w:spacing w:before="237"/>
      </w:pPr>
      <w:r>
        <w:t>TLRI’s</w:t>
      </w:r>
      <w:r>
        <w:rPr>
          <w:spacing w:val="-3"/>
        </w:rPr>
        <w:t xml:space="preserve"> </w:t>
      </w:r>
      <w:r>
        <w:t>current</w:t>
      </w:r>
      <w:r>
        <w:rPr>
          <w:spacing w:val="-3"/>
        </w:rPr>
        <w:t xml:space="preserve"> </w:t>
      </w:r>
      <w:r>
        <w:t>views</w:t>
      </w:r>
      <w:r>
        <w:rPr>
          <w:spacing w:val="-2"/>
        </w:rPr>
        <w:t xml:space="preserve"> </w:t>
      </w:r>
      <w:r>
        <w:t>and</w:t>
      </w:r>
      <w:r>
        <w:rPr>
          <w:spacing w:val="-3"/>
        </w:rPr>
        <w:t xml:space="preserve"> </w:t>
      </w:r>
      <w:r>
        <w:rPr>
          <w:spacing w:val="-2"/>
        </w:rPr>
        <w:t>recommendations</w:t>
      </w:r>
    </w:p>
    <w:p w14:paraId="7CB26239" w14:textId="77777777" w:rsidR="008A4099" w:rsidRDefault="006A6EE2">
      <w:pPr>
        <w:pStyle w:val="ListParagraph"/>
        <w:numPr>
          <w:ilvl w:val="2"/>
          <w:numId w:val="3"/>
        </w:numPr>
        <w:tabs>
          <w:tab w:val="left" w:pos="879"/>
        </w:tabs>
        <w:spacing w:before="261"/>
        <w:ind w:right="671" w:firstLine="0"/>
        <w:jc w:val="both"/>
      </w:pPr>
      <w:r>
        <w:t>The TLRI maintains its 2007 view that a dedicated PHRSC should be established and given responsibility for scrutiny of all Bills for compatibility with human rights. This is consistent with Recommendation 10 of the 2007 Final Report (see Appendix A). There are different models for Committee membership and, as noted in the 2007 Final report, the TLRI recommended that the Committee should be constituted across party lines and consist of members of both Houses of Parliament. No party should have dominant representation on the Committee (Recommendation 10). This remains to the view of the TLRI.</w:t>
      </w:r>
    </w:p>
    <w:p w14:paraId="7CB2623A" w14:textId="77777777" w:rsidR="008A4099" w:rsidRDefault="006A6EE2">
      <w:pPr>
        <w:pStyle w:val="ListParagraph"/>
        <w:numPr>
          <w:ilvl w:val="2"/>
          <w:numId w:val="3"/>
        </w:numPr>
        <w:tabs>
          <w:tab w:val="left" w:pos="879"/>
        </w:tabs>
        <w:spacing w:before="215"/>
        <w:ind w:right="673" w:firstLine="0"/>
        <w:jc w:val="both"/>
      </w:pPr>
      <w:r>
        <w:t>Further to its 2007 Final Report recommendations, the TLRI recommends that the Tasmanian human rights enactment provide a guaranteed minimum time period for the PHRSC to consider each new Bill before it can be debated in Parliament.</w:t>
      </w:r>
      <w:r>
        <w:rPr>
          <w:position w:val="7"/>
          <w:sz w:val="13"/>
        </w:rPr>
        <w:t>467</w:t>
      </w:r>
      <w:r>
        <w:rPr>
          <w:spacing w:val="40"/>
          <w:position w:val="7"/>
          <w:sz w:val="13"/>
        </w:rPr>
        <w:t xml:space="preserve"> </w:t>
      </w:r>
      <w:r>
        <w:t>This time may be extended if the statement of compatibility indicates that a Bill is potentially incompatible with human rights.</w:t>
      </w:r>
      <w:r>
        <w:rPr>
          <w:spacing w:val="40"/>
        </w:rPr>
        <w:t xml:space="preserve"> </w:t>
      </w:r>
      <w:r>
        <w:t>Additional time may be</w:t>
      </w:r>
      <w:r>
        <w:rPr>
          <w:spacing w:val="-2"/>
        </w:rPr>
        <w:t xml:space="preserve"> </w:t>
      </w:r>
      <w:r>
        <w:t>sought</w:t>
      </w:r>
      <w:r>
        <w:rPr>
          <w:spacing w:val="-1"/>
        </w:rPr>
        <w:t xml:space="preserve"> </w:t>
      </w:r>
      <w:r>
        <w:t>by</w:t>
      </w:r>
      <w:r>
        <w:rPr>
          <w:spacing w:val="-5"/>
        </w:rPr>
        <w:t xml:space="preserve"> </w:t>
      </w:r>
      <w:r>
        <w:t>the</w:t>
      </w:r>
      <w:r>
        <w:rPr>
          <w:spacing w:val="-2"/>
        </w:rPr>
        <w:t xml:space="preserve"> </w:t>
      </w:r>
      <w:r>
        <w:t>PHRSC</w:t>
      </w:r>
      <w:r>
        <w:rPr>
          <w:spacing w:val="-6"/>
        </w:rPr>
        <w:t xml:space="preserve"> </w:t>
      </w:r>
      <w:r>
        <w:t>if,</w:t>
      </w:r>
      <w:r>
        <w:rPr>
          <w:spacing w:val="-5"/>
        </w:rPr>
        <w:t xml:space="preserve"> </w:t>
      </w:r>
      <w:r>
        <w:t>despite</w:t>
      </w:r>
      <w:r>
        <w:rPr>
          <w:spacing w:val="-4"/>
        </w:rPr>
        <w:t xml:space="preserve"> </w:t>
      </w:r>
      <w:r>
        <w:t>no</w:t>
      </w:r>
      <w:r>
        <w:rPr>
          <w:spacing w:val="-5"/>
        </w:rPr>
        <w:t xml:space="preserve"> </w:t>
      </w:r>
      <w:r>
        <w:t>statement</w:t>
      </w:r>
      <w:r>
        <w:rPr>
          <w:spacing w:val="-4"/>
        </w:rPr>
        <w:t xml:space="preserve"> </w:t>
      </w:r>
      <w:r>
        <w:t>of</w:t>
      </w:r>
      <w:r>
        <w:rPr>
          <w:spacing w:val="-4"/>
        </w:rPr>
        <w:t xml:space="preserve"> </w:t>
      </w:r>
      <w:r>
        <w:t>incompatibility,</w:t>
      </w:r>
      <w:r>
        <w:rPr>
          <w:spacing w:val="-1"/>
        </w:rPr>
        <w:t xml:space="preserve"> </w:t>
      </w:r>
      <w:r>
        <w:t>the</w:t>
      </w:r>
      <w:r>
        <w:rPr>
          <w:spacing w:val="-4"/>
        </w:rPr>
        <w:t xml:space="preserve"> </w:t>
      </w:r>
      <w:r>
        <w:t>Committee</w:t>
      </w:r>
      <w:r>
        <w:rPr>
          <w:spacing w:val="-1"/>
        </w:rPr>
        <w:t xml:space="preserve"> </w:t>
      </w:r>
      <w:r>
        <w:t>is</w:t>
      </w:r>
      <w:r>
        <w:rPr>
          <w:spacing w:val="-4"/>
        </w:rPr>
        <w:t xml:space="preserve"> </w:t>
      </w:r>
      <w:r>
        <w:t>satisfied</w:t>
      </w:r>
      <w:r>
        <w:rPr>
          <w:spacing w:val="-4"/>
        </w:rPr>
        <w:t xml:space="preserve"> </w:t>
      </w:r>
      <w:r>
        <w:t>that</w:t>
      </w:r>
      <w:r>
        <w:rPr>
          <w:spacing w:val="-4"/>
        </w:rPr>
        <w:t xml:space="preserve"> </w:t>
      </w:r>
      <w:r>
        <w:t>the Bill might be incompatible with rights and would reasonably require a longer assessment period.</w:t>
      </w:r>
    </w:p>
    <w:p w14:paraId="7CB2623B" w14:textId="77777777" w:rsidR="008A4099" w:rsidRDefault="006A6EE2">
      <w:pPr>
        <w:pStyle w:val="BodyText"/>
        <w:spacing w:before="9"/>
        <w:rPr>
          <w:sz w:val="16"/>
        </w:rPr>
      </w:pPr>
      <w:r>
        <w:rPr>
          <w:noProof/>
        </w:rPr>
        <mc:AlternateContent>
          <mc:Choice Requires="wps">
            <w:drawing>
              <wp:anchor distT="0" distB="0" distL="0" distR="0" simplePos="0" relativeHeight="487631360" behindDoc="1" locked="0" layoutInCell="1" allowOverlap="1" wp14:anchorId="7CB26683" wp14:editId="7CB26684">
                <wp:simplePos x="0" y="0"/>
                <wp:positionH relativeFrom="page">
                  <wp:posOffset>914704</wp:posOffset>
                </wp:positionH>
                <wp:positionV relativeFrom="paragraph">
                  <wp:posOffset>138386</wp:posOffset>
                </wp:positionV>
                <wp:extent cx="5727065" cy="2294255"/>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294255"/>
                        </a:xfrm>
                        <a:prstGeom prst="rect">
                          <a:avLst/>
                        </a:prstGeom>
                        <a:solidFill>
                          <a:srgbClr val="E8E8E8"/>
                        </a:solidFill>
                      </wps:spPr>
                      <wps:txbx>
                        <w:txbxContent>
                          <w:p w14:paraId="7CB26783" w14:textId="77777777" w:rsidR="008A4099" w:rsidRDefault="006A6EE2">
                            <w:pPr>
                              <w:spacing w:before="219"/>
                              <w:ind w:left="108"/>
                              <w:jc w:val="both"/>
                              <w:rPr>
                                <w:b/>
                                <w:color w:val="000000"/>
                                <w:sz w:val="23"/>
                              </w:rPr>
                            </w:pPr>
                            <w:r>
                              <w:rPr>
                                <w:b/>
                                <w:color w:val="000000"/>
                                <w:sz w:val="23"/>
                              </w:rPr>
                              <w:t>Recommendation</w:t>
                            </w:r>
                            <w:r>
                              <w:rPr>
                                <w:b/>
                                <w:color w:val="000000"/>
                                <w:spacing w:val="-6"/>
                                <w:sz w:val="23"/>
                              </w:rPr>
                              <w:t xml:space="preserve"> </w:t>
                            </w:r>
                            <w:r>
                              <w:rPr>
                                <w:b/>
                                <w:color w:val="000000"/>
                                <w:sz w:val="23"/>
                              </w:rPr>
                              <w:t>11</w:t>
                            </w:r>
                            <w:r>
                              <w:rPr>
                                <w:b/>
                                <w:color w:val="000000"/>
                                <w:spacing w:val="-3"/>
                                <w:sz w:val="23"/>
                              </w:rPr>
                              <w:t xml:space="preserve"> </w:t>
                            </w:r>
                            <w:r>
                              <w:rPr>
                                <w:b/>
                                <w:color w:val="000000"/>
                                <w:sz w:val="23"/>
                              </w:rPr>
                              <w:t>–</w:t>
                            </w:r>
                            <w:r>
                              <w:rPr>
                                <w:b/>
                                <w:color w:val="000000"/>
                                <w:spacing w:val="-3"/>
                                <w:sz w:val="23"/>
                              </w:rPr>
                              <w:t xml:space="preserve"> </w:t>
                            </w:r>
                            <w:r>
                              <w:rPr>
                                <w:b/>
                                <w:color w:val="000000"/>
                                <w:sz w:val="23"/>
                              </w:rPr>
                              <w:t>Parliamentary</w:t>
                            </w:r>
                            <w:r>
                              <w:rPr>
                                <w:b/>
                                <w:color w:val="000000"/>
                                <w:spacing w:val="-6"/>
                                <w:sz w:val="23"/>
                              </w:rPr>
                              <w:t xml:space="preserve"> </w:t>
                            </w:r>
                            <w:r>
                              <w:rPr>
                                <w:b/>
                                <w:color w:val="000000"/>
                                <w:sz w:val="23"/>
                              </w:rPr>
                              <w:t>Human</w:t>
                            </w:r>
                            <w:r>
                              <w:rPr>
                                <w:b/>
                                <w:color w:val="000000"/>
                                <w:spacing w:val="-4"/>
                                <w:sz w:val="23"/>
                              </w:rPr>
                              <w:t xml:space="preserve"> </w:t>
                            </w:r>
                            <w:r>
                              <w:rPr>
                                <w:b/>
                                <w:color w:val="000000"/>
                                <w:sz w:val="23"/>
                              </w:rPr>
                              <w:t>Rights</w:t>
                            </w:r>
                            <w:r>
                              <w:rPr>
                                <w:b/>
                                <w:color w:val="000000"/>
                                <w:spacing w:val="-4"/>
                                <w:sz w:val="23"/>
                              </w:rPr>
                              <w:t xml:space="preserve"> </w:t>
                            </w:r>
                            <w:r>
                              <w:rPr>
                                <w:b/>
                                <w:color w:val="000000"/>
                                <w:sz w:val="23"/>
                              </w:rPr>
                              <w:t>Scrutiny</w:t>
                            </w:r>
                            <w:r>
                              <w:rPr>
                                <w:b/>
                                <w:color w:val="000000"/>
                                <w:spacing w:val="-2"/>
                                <w:sz w:val="23"/>
                              </w:rPr>
                              <w:t xml:space="preserve"> Committee</w:t>
                            </w:r>
                          </w:p>
                          <w:p w14:paraId="7CB26784" w14:textId="77777777" w:rsidR="008A4099" w:rsidRDefault="006A6EE2">
                            <w:pPr>
                              <w:pStyle w:val="BodyText"/>
                              <w:spacing w:before="237" w:line="244" w:lineRule="auto"/>
                              <w:ind w:left="108" w:right="226"/>
                              <w:jc w:val="both"/>
                              <w:rPr>
                                <w:color w:val="000000"/>
                              </w:rPr>
                            </w:pPr>
                            <w:r>
                              <w:rPr>
                                <w:color w:val="000000"/>
                              </w:rPr>
                              <w:t>That a dedicated Parliamentary Human Rights Scrutiny Committee (‘PHRSC’) be established and given responsibility for scrutiny of all Bills for compatibility with human rights.</w:t>
                            </w:r>
                          </w:p>
                          <w:p w14:paraId="7CB26785" w14:textId="77777777" w:rsidR="008A4099" w:rsidRDefault="006A6EE2">
                            <w:pPr>
                              <w:pStyle w:val="BodyText"/>
                              <w:spacing w:before="110" w:line="244" w:lineRule="auto"/>
                              <w:ind w:left="108" w:right="227"/>
                              <w:jc w:val="both"/>
                              <w:rPr>
                                <w:color w:val="000000"/>
                              </w:rPr>
                            </w:pPr>
                            <w:r>
                              <w:rPr>
                                <w:color w:val="000000"/>
                              </w:rPr>
                              <w:t xml:space="preserve">The PHRSC should be constituted across party lines and consist of members of both Houses of </w:t>
                            </w:r>
                            <w:r>
                              <w:rPr>
                                <w:color w:val="000000"/>
                                <w:spacing w:val="-2"/>
                              </w:rPr>
                              <w:t>Parliament.</w:t>
                            </w:r>
                          </w:p>
                          <w:p w14:paraId="7CB26786" w14:textId="77777777" w:rsidR="008A4099" w:rsidRDefault="006A6EE2">
                            <w:pPr>
                              <w:pStyle w:val="BodyText"/>
                              <w:spacing w:before="111"/>
                              <w:ind w:left="108" w:right="221"/>
                              <w:jc w:val="both"/>
                              <w:rPr>
                                <w:color w:val="000000"/>
                              </w:rPr>
                            </w:pPr>
                            <w:r>
                              <w:rPr>
                                <w:color w:val="000000"/>
                              </w:rPr>
                              <w:t>The</w:t>
                            </w:r>
                            <w:r>
                              <w:rPr>
                                <w:color w:val="000000"/>
                                <w:spacing w:val="-3"/>
                              </w:rPr>
                              <w:t xml:space="preserve"> </w:t>
                            </w:r>
                            <w:r>
                              <w:rPr>
                                <w:color w:val="000000"/>
                              </w:rPr>
                              <w:t>Tasmanian</w:t>
                            </w:r>
                            <w:r>
                              <w:rPr>
                                <w:color w:val="000000"/>
                                <w:spacing w:val="-3"/>
                              </w:rPr>
                              <w:t xml:space="preserve"> </w:t>
                            </w:r>
                            <w:r>
                              <w:rPr>
                                <w:color w:val="000000"/>
                              </w:rPr>
                              <w:t>human</w:t>
                            </w:r>
                            <w:r>
                              <w:rPr>
                                <w:color w:val="000000"/>
                                <w:spacing w:val="-3"/>
                              </w:rPr>
                              <w:t xml:space="preserve"> </w:t>
                            </w:r>
                            <w:r>
                              <w:rPr>
                                <w:color w:val="000000"/>
                              </w:rPr>
                              <w:t>rights</w:t>
                            </w:r>
                            <w:r>
                              <w:rPr>
                                <w:color w:val="000000"/>
                                <w:spacing w:val="-3"/>
                              </w:rPr>
                              <w:t xml:space="preserve"> </w:t>
                            </w:r>
                            <w:r>
                              <w:rPr>
                                <w:color w:val="000000"/>
                              </w:rPr>
                              <w:t>enactment</w:t>
                            </w:r>
                            <w:r>
                              <w:rPr>
                                <w:color w:val="000000"/>
                                <w:spacing w:val="-2"/>
                              </w:rPr>
                              <w:t xml:space="preserve"> </w:t>
                            </w:r>
                            <w:r>
                              <w:rPr>
                                <w:color w:val="000000"/>
                              </w:rPr>
                              <w:t>should</w:t>
                            </w:r>
                            <w:r>
                              <w:rPr>
                                <w:color w:val="000000"/>
                                <w:spacing w:val="-3"/>
                              </w:rPr>
                              <w:t xml:space="preserve"> </w:t>
                            </w:r>
                            <w:r>
                              <w:rPr>
                                <w:color w:val="000000"/>
                              </w:rPr>
                              <w:t>provide</w:t>
                            </w:r>
                            <w:r>
                              <w:rPr>
                                <w:color w:val="000000"/>
                                <w:spacing w:val="-3"/>
                              </w:rPr>
                              <w:t xml:space="preserve"> </w:t>
                            </w:r>
                            <w:r>
                              <w:rPr>
                                <w:color w:val="000000"/>
                              </w:rPr>
                              <w:t>a</w:t>
                            </w:r>
                            <w:r>
                              <w:rPr>
                                <w:color w:val="000000"/>
                                <w:spacing w:val="-3"/>
                              </w:rPr>
                              <w:t xml:space="preserve"> </w:t>
                            </w:r>
                            <w:r>
                              <w:rPr>
                                <w:color w:val="000000"/>
                              </w:rPr>
                              <w:t>guaranteed</w:t>
                            </w:r>
                            <w:r>
                              <w:rPr>
                                <w:color w:val="000000"/>
                                <w:spacing w:val="-6"/>
                              </w:rPr>
                              <w:t xml:space="preserve"> </w:t>
                            </w:r>
                            <w:r>
                              <w:rPr>
                                <w:color w:val="000000"/>
                              </w:rPr>
                              <w:t>minimum</w:t>
                            </w:r>
                            <w:r>
                              <w:rPr>
                                <w:color w:val="000000"/>
                                <w:spacing w:val="-2"/>
                              </w:rPr>
                              <w:t xml:space="preserve"> </w:t>
                            </w:r>
                            <w:r>
                              <w:rPr>
                                <w:color w:val="000000"/>
                              </w:rPr>
                              <w:t>time</w:t>
                            </w:r>
                            <w:r>
                              <w:rPr>
                                <w:color w:val="000000"/>
                                <w:spacing w:val="-3"/>
                              </w:rPr>
                              <w:t xml:space="preserve"> </w:t>
                            </w:r>
                            <w:r>
                              <w:rPr>
                                <w:color w:val="000000"/>
                              </w:rPr>
                              <w:t>period</w:t>
                            </w:r>
                            <w:r>
                              <w:rPr>
                                <w:color w:val="000000"/>
                                <w:spacing w:val="-3"/>
                              </w:rPr>
                              <w:t xml:space="preserve"> </w:t>
                            </w:r>
                            <w:r>
                              <w:rPr>
                                <w:color w:val="000000"/>
                              </w:rPr>
                              <w:t>for</w:t>
                            </w:r>
                            <w:r>
                              <w:rPr>
                                <w:color w:val="000000"/>
                                <w:spacing w:val="-3"/>
                              </w:rPr>
                              <w:t xml:space="preserve"> </w:t>
                            </w:r>
                            <w:r>
                              <w:rPr>
                                <w:color w:val="000000"/>
                              </w:rPr>
                              <w:t>the PHRSC to consider each new Bill before it can be debated in Parliament. This time may be extended, if the statement of compatibility indicates that the Bill is potentially incompatible with human rights. Additional time may also be sought by the PHRSC if, despite no statement of incompatibility, it is satisfied that the Bill may be incompatible with rights and will reasonably require a longer assessment period.</w:t>
                            </w:r>
                          </w:p>
                        </w:txbxContent>
                      </wps:txbx>
                      <wps:bodyPr wrap="square" lIns="0" tIns="0" rIns="0" bIns="0" rtlCol="0">
                        <a:noAutofit/>
                      </wps:bodyPr>
                    </wps:wsp>
                  </a:graphicData>
                </a:graphic>
              </wp:anchor>
            </w:drawing>
          </mc:Choice>
          <mc:Fallback>
            <w:pict>
              <v:shape w14:anchorId="7CB26683" id="Textbox 133" o:spid="_x0000_s1037" type="#_x0000_t202" style="position:absolute;margin-left:1in;margin-top:10.9pt;width:450.95pt;height:180.65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" fillcolor="#e8e8e8" stroked="f">
                <v:textbox inset="0,0,0,0">
                  <w:txbxContent>
                    <w:p w14:paraId="7CB26783" w14:textId="77777777" w:rsidR="008A4099" w:rsidRDefault="006A6EE2">
                      <w:pPr>
                        <w:spacing w:before="219"/>
                        <w:ind w:left="108"/>
                        <w:jc w:val="both"/>
                        <w:rPr>
                          <w:b/>
                          <w:color w:val="000000"/>
                          <w:sz w:val="23"/>
                        </w:rPr>
                      </w:pPr>
                      <w:r>
                        <w:rPr>
                          <w:b/>
                          <w:color w:val="000000"/>
                          <w:sz w:val="23"/>
                        </w:rPr>
                        <w:t>Recommendation</w:t>
                      </w:r>
                      <w:r>
                        <w:rPr>
                          <w:b/>
                          <w:color w:val="000000"/>
                          <w:spacing w:val="-6"/>
                          <w:sz w:val="23"/>
                        </w:rPr>
                        <w:t xml:space="preserve"> </w:t>
                      </w:r>
                      <w:r>
                        <w:rPr>
                          <w:b/>
                          <w:color w:val="000000"/>
                          <w:sz w:val="23"/>
                        </w:rPr>
                        <w:t>11</w:t>
                      </w:r>
                      <w:r>
                        <w:rPr>
                          <w:b/>
                          <w:color w:val="000000"/>
                          <w:spacing w:val="-3"/>
                          <w:sz w:val="23"/>
                        </w:rPr>
                        <w:t xml:space="preserve"> </w:t>
                      </w:r>
                      <w:r>
                        <w:rPr>
                          <w:b/>
                          <w:color w:val="000000"/>
                          <w:sz w:val="23"/>
                        </w:rPr>
                        <w:t>–</w:t>
                      </w:r>
                      <w:r>
                        <w:rPr>
                          <w:b/>
                          <w:color w:val="000000"/>
                          <w:spacing w:val="-3"/>
                          <w:sz w:val="23"/>
                        </w:rPr>
                        <w:t xml:space="preserve"> </w:t>
                      </w:r>
                      <w:r>
                        <w:rPr>
                          <w:b/>
                          <w:color w:val="000000"/>
                          <w:sz w:val="23"/>
                        </w:rPr>
                        <w:t>Parliamentary</w:t>
                      </w:r>
                      <w:r>
                        <w:rPr>
                          <w:b/>
                          <w:color w:val="000000"/>
                          <w:spacing w:val="-6"/>
                          <w:sz w:val="23"/>
                        </w:rPr>
                        <w:t xml:space="preserve"> </w:t>
                      </w:r>
                      <w:r>
                        <w:rPr>
                          <w:b/>
                          <w:color w:val="000000"/>
                          <w:sz w:val="23"/>
                        </w:rPr>
                        <w:t>Human</w:t>
                      </w:r>
                      <w:r>
                        <w:rPr>
                          <w:b/>
                          <w:color w:val="000000"/>
                          <w:spacing w:val="-4"/>
                          <w:sz w:val="23"/>
                        </w:rPr>
                        <w:t xml:space="preserve"> </w:t>
                      </w:r>
                      <w:r>
                        <w:rPr>
                          <w:b/>
                          <w:color w:val="000000"/>
                          <w:sz w:val="23"/>
                        </w:rPr>
                        <w:t>Rights</w:t>
                      </w:r>
                      <w:r>
                        <w:rPr>
                          <w:b/>
                          <w:color w:val="000000"/>
                          <w:spacing w:val="-4"/>
                          <w:sz w:val="23"/>
                        </w:rPr>
                        <w:t xml:space="preserve"> </w:t>
                      </w:r>
                      <w:r>
                        <w:rPr>
                          <w:b/>
                          <w:color w:val="000000"/>
                          <w:sz w:val="23"/>
                        </w:rPr>
                        <w:t>Scrutiny</w:t>
                      </w:r>
                      <w:r>
                        <w:rPr>
                          <w:b/>
                          <w:color w:val="000000"/>
                          <w:spacing w:val="-2"/>
                          <w:sz w:val="23"/>
                        </w:rPr>
                        <w:t xml:space="preserve"> Committee</w:t>
                      </w:r>
                    </w:p>
                    <w:p w14:paraId="7CB26784" w14:textId="77777777" w:rsidR="008A4099" w:rsidRDefault="006A6EE2">
                      <w:pPr>
                        <w:pStyle w:val="BodyText"/>
                        <w:spacing w:before="237" w:line="244" w:lineRule="auto"/>
                        <w:ind w:left="108" w:right="226"/>
                        <w:jc w:val="both"/>
                        <w:rPr>
                          <w:color w:val="000000"/>
                        </w:rPr>
                      </w:pPr>
                      <w:r>
                        <w:rPr>
                          <w:color w:val="000000"/>
                        </w:rPr>
                        <w:t>That a dedicated Parliamentary Human Rights Scrutiny Committee (‘PHRSC’) be established and given responsibility for scrutiny of all Bills for compatibility with human rights.</w:t>
                      </w:r>
                    </w:p>
                    <w:p w14:paraId="7CB26785" w14:textId="77777777" w:rsidR="008A4099" w:rsidRDefault="006A6EE2">
                      <w:pPr>
                        <w:pStyle w:val="BodyText"/>
                        <w:spacing w:before="110" w:line="244" w:lineRule="auto"/>
                        <w:ind w:left="108" w:right="227"/>
                        <w:jc w:val="both"/>
                        <w:rPr>
                          <w:color w:val="000000"/>
                        </w:rPr>
                      </w:pPr>
                      <w:r>
                        <w:rPr>
                          <w:color w:val="000000"/>
                        </w:rPr>
                        <w:t xml:space="preserve">The PHRSC should be constituted across party lines and consist of members of both Houses of </w:t>
                      </w:r>
                      <w:r>
                        <w:rPr>
                          <w:color w:val="000000"/>
                          <w:spacing w:val="-2"/>
                        </w:rPr>
                        <w:t>Parliament.</w:t>
                      </w:r>
                    </w:p>
                    <w:p w14:paraId="7CB26786" w14:textId="77777777" w:rsidR="008A4099" w:rsidRDefault="006A6EE2">
                      <w:pPr>
                        <w:pStyle w:val="BodyText"/>
                        <w:spacing w:before="111"/>
                        <w:ind w:left="108" w:right="221"/>
                        <w:jc w:val="both"/>
                        <w:rPr>
                          <w:color w:val="000000"/>
                        </w:rPr>
                      </w:pPr>
                      <w:r>
                        <w:rPr>
                          <w:color w:val="000000"/>
                        </w:rPr>
                        <w:t>The</w:t>
                      </w:r>
                      <w:r>
                        <w:rPr>
                          <w:color w:val="000000"/>
                          <w:spacing w:val="-3"/>
                        </w:rPr>
                        <w:t xml:space="preserve"> </w:t>
                      </w:r>
                      <w:r>
                        <w:rPr>
                          <w:color w:val="000000"/>
                        </w:rPr>
                        <w:t>Tasmanian</w:t>
                      </w:r>
                      <w:r>
                        <w:rPr>
                          <w:color w:val="000000"/>
                          <w:spacing w:val="-3"/>
                        </w:rPr>
                        <w:t xml:space="preserve"> </w:t>
                      </w:r>
                      <w:r>
                        <w:rPr>
                          <w:color w:val="000000"/>
                        </w:rPr>
                        <w:t>human</w:t>
                      </w:r>
                      <w:r>
                        <w:rPr>
                          <w:color w:val="000000"/>
                          <w:spacing w:val="-3"/>
                        </w:rPr>
                        <w:t xml:space="preserve"> </w:t>
                      </w:r>
                      <w:r>
                        <w:rPr>
                          <w:color w:val="000000"/>
                        </w:rPr>
                        <w:t>rights</w:t>
                      </w:r>
                      <w:r>
                        <w:rPr>
                          <w:color w:val="000000"/>
                          <w:spacing w:val="-3"/>
                        </w:rPr>
                        <w:t xml:space="preserve"> </w:t>
                      </w:r>
                      <w:r>
                        <w:rPr>
                          <w:color w:val="000000"/>
                        </w:rPr>
                        <w:t>enactment</w:t>
                      </w:r>
                      <w:r>
                        <w:rPr>
                          <w:color w:val="000000"/>
                          <w:spacing w:val="-2"/>
                        </w:rPr>
                        <w:t xml:space="preserve"> </w:t>
                      </w:r>
                      <w:r>
                        <w:rPr>
                          <w:color w:val="000000"/>
                        </w:rPr>
                        <w:t>should</w:t>
                      </w:r>
                      <w:r>
                        <w:rPr>
                          <w:color w:val="000000"/>
                          <w:spacing w:val="-3"/>
                        </w:rPr>
                        <w:t xml:space="preserve"> </w:t>
                      </w:r>
                      <w:r>
                        <w:rPr>
                          <w:color w:val="000000"/>
                        </w:rPr>
                        <w:t>provide</w:t>
                      </w:r>
                      <w:r>
                        <w:rPr>
                          <w:color w:val="000000"/>
                          <w:spacing w:val="-3"/>
                        </w:rPr>
                        <w:t xml:space="preserve"> </w:t>
                      </w:r>
                      <w:r>
                        <w:rPr>
                          <w:color w:val="000000"/>
                        </w:rPr>
                        <w:t>a</w:t>
                      </w:r>
                      <w:r>
                        <w:rPr>
                          <w:color w:val="000000"/>
                          <w:spacing w:val="-3"/>
                        </w:rPr>
                        <w:t xml:space="preserve"> </w:t>
                      </w:r>
                      <w:r>
                        <w:rPr>
                          <w:color w:val="000000"/>
                        </w:rPr>
                        <w:t>guaranteed</w:t>
                      </w:r>
                      <w:r>
                        <w:rPr>
                          <w:color w:val="000000"/>
                          <w:spacing w:val="-6"/>
                        </w:rPr>
                        <w:t xml:space="preserve"> </w:t>
                      </w:r>
                      <w:r>
                        <w:rPr>
                          <w:color w:val="000000"/>
                        </w:rPr>
                        <w:t>minimum</w:t>
                      </w:r>
                      <w:r>
                        <w:rPr>
                          <w:color w:val="000000"/>
                          <w:spacing w:val="-2"/>
                        </w:rPr>
                        <w:t xml:space="preserve"> </w:t>
                      </w:r>
                      <w:r>
                        <w:rPr>
                          <w:color w:val="000000"/>
                        </w:rPr>
                        <w:t>time</w:t>
                      </w:r>
                      <w:r>
                        <w:rPr>
                          <w:color w:val="000000"/>
                          <w:spacing w:val="-3"/>
                        </w:rPr>
                        <w:t xml:space="preserve"> </w:t>
                      </w:r>
                      <w:r>
                        <w:rPr>
                          <w:color w:val="000000"/>
                        </w:rPr>
                        <w:t>period</w:t>
                      </w:r>
                      <w:r>
                        <w:rPr>
                          <w:color w:val="000000"/>
                          <w:spacing w:val="-3"/>
                        </w:rPr>
                        <w:t xml:space="preserve"> </w:t>
                      </w:r>
                      <w:r>
                        <w:rPr>
                          <w:color w:val="000000"/>
                        </w:rPr>
                        <w:t>for</w:t>
                      </w:r>
                      <w:r>
                        <w:rPr>
                          <w:color w:val="000000"/>
                          <w:spacing w:val="-3"/>
                        </w:rPr>
                        <w:t xml:space="preserve"> </w:t>
                      </w:r>
                      <w:r>
                        <w:rPr>
                          <w:color w:val="000000"/>
                        </w:rPr>
                        <w:t>the PHRSC to consider each new Bill before it can be debated in Parliament. This time may be extended, if the statement of compatibility indicates that the Bill is potentially incompatible with human rights. Additional time may also be sought by the PHRSC if, despite no statement of incompatibility, it is satisfied that the Bill may be incompatible with rights and will reasonably require a longer assessment period.</w:t>
                      </w:r>
                    </w:p>
                  </w:txbxContent>
                </v:textbox>
                <w10:wrap type="topAndBottom" anchorx="page"/>
              </v:shape>
            </w:pict>
          </mc:Fallback>
        </mc:AlternateContent>
      </w:r>
    </w:p>
    <w:p w14:paraId="7CB2623C" w14:textId="77777777" w:rsidR="008A4099" w:rsidRDefault="008A4099">
      <w:pPr>
        <w:pStyle w:val="BodyText"/>
        <w:rPr>
          <w:sz w:val="20"/>
        </w:rPr>
      </w:pPr>
    </w:p>
    <w:p w14:paraId="7CB2623D" w14:textId="77777777" w:rsidR="008A4099" w:rsidRDefault="008A4099">
      <w:pPr>
        <w:pStyle w:val="BodyText"/>
        <w:rPr>
          <w:sz w:val="20"/>
        </w:rPr>
      </w:pPr>
    </w:p>
    <w:p w14:paraId="7CB2623E" w14:textId="77777777" w:rsidR="008A4099" w:rsidRDefault="008A4099">
      <w:pPr>
        <w:pStyle w:val="BodyText"/>
        <w:rPr>
          <w:sz w:val="20"/>
        </w:rPr>
      </w:pPr>
    </w:p>
    <w:p w14:paraId="7CB2623F" w14:textId="77777777" w:rsidR="008A4099" w:rsidRDefault="006A6EE2">
      <w:pPr>
        <w:pStyle w:val="BodyText"/>
        <w:spacing w:before="68"/>
        <w:rPr>
          <w:sz w:val="20"/>
        </w:rPr>
      </w:pPr>
      <w:r>
        <w:rPr>
          <w:noProof/>
        </w:rPr>
        <mc:AlternateContent>
          <mc:Choice Requires="wps">
            <w:drawing>
              <wp:anchor distT="0" distB="0" distL="0" distR="0" simplePos="0" relativeHeight="487631872" behindDoc="1" locked="0" layoutInCell="1" allowOverlap="1" wp14:anchorId="7CB26685" wp14:editId="7CB26686">
                <wp:simplePos x="0" y="0"/>
                <wp:positionH relativeFrom="page">
                  <wp:posOffset>914704</wp:posOffset>
                </wp:positionH>
                <wp:positionV relativeFrom="paragraph">
                  <wp:posOffset>205015</wp:posOffset>
                </wp:positionV>
                <wp:extent cx="1829435" cy="762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52B08" id="Graphic 134" o:spid="_x0000_s1026" style="position:absolute;margin-left:1in;margin-top:16.15pt;width:144.05pt;height:.6pt;z-index:-156846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" path="m1829054,l,,,7619r1829054,l1829054,xe" fillcolor="black" stroked="f">
                <v:path arrowok="t"/>
                <w10:wrap type="topAndBottom" anchorx="page"/>
              </v:shape>
            </w:pict>
          </mc:Fallback>
        </mc:AlternateContent>
      </w:r>
    </w:p>
    <w:p w14:paraId="7CB26240" w14:textId="77777777" w:rsidR="008A4099" w:rsidRDefault="006A6EE2">
      <w:pPr>
        <w:spacing w:before="112"/>
        <w:ind w:left="160"/>
        <w:rPr>
          <w:sz w:val="18"/>
        </w:rPr>
      </w:pPr>
      <w:r>
        <w:rPr>
          <w:sz w:val="18"/>
          <w:vertAlign w:val="superscript"/>
        </w:rPr>
        <w:t>465</w:t>
      </w:r>
      <w:r>
        <w:rPr>
          <w:spacing w:val="-1"/>
          <w:sz w:val="18"/>
        </w:rPr>
        <w:t xml:space="preserve"> </w:t>
      </w:r>
      <w:r>
        <w:rPr>
          <w:sz w:val="18"/>
        </w:rPr>
        <w:t>McDougall, ‘Making</w:t>
      </w:r>
      <w:r>
        <w:rPr>
          <w:spacing w:val="1"/>
          <w:sz w:val="18"/>
        </w:rPr>
        <w:t xml:space="preserve"> </w:t>
      </w:r>
      <w:r>
        <w:rPr>
          <w:sz w:val="18"/>
        </w:rPr>
        <w:t>Rights</w:t>
      </w:r>
      <w:r>
        <w:rPr>
          <w:spacing w:val="-2"/>
          <w:sz w:val="18"/>
        </w:rPr>
        <w:t xml:space="preserve"> </w:t>
      </w:r>
      <w:r>
        <w:rPr>
          <w:sz w:val="18"/>
        </w:rPr>
        <w:t xml:space="preserve">Real’ </w:t>
      </w:r>
      <w:r>
        <w:rPr>
          <w:spacing w:val="-5"/>
          <w:sz w:val="18"/>
        </w:rPr>
        <w:t>6.</w:t>
      </w:r>
    </w:p>
    <w:p w14:paraId="7CB26241" w14:textId="77777777" w:rsidR="008A4099" w:rsidRDefault="006A6EE2">
      <w:pPr>
        <w:spacing w:before="24"/>
        <w:ind w:left="160"/>
        <w:rPr>
          <w:sz w:val="18"/>
        </w:rPr>
      </w:pPr>
      <w:r>
        <w:rPr>
          <w:sz w:val="18"/>
          <w:vertAlign w:val="superscript"/>
        </w:rPr>
        <w:t>466</w:t>
      </w:r>
      <w:r>
        <w:rPr>
          <w:sz w:val="18"/>
        </w:rPr>
        <w:t xml:space="preserve"> Brett Young,</w:t>
      </w:r>
      <w:r>
        <w:rPr>
          <w:spacing w:val="1"/>
          <w:sz w:val="18"/>
        </w:rPr>
        <w:t xml:space="preserve"> </w:t>
      </w:r>
      <w:r>
        <w:rPr>
          <w:i/>
          <w:sz w:val="18"/>
        </w:rPr>
        <w:t>From Commitment</w:t>
      </w:r>
      <w:r>
        <w:rPr>
          <w:i/>
          <w:spacing w:val="-2"/>
          <w:sz w:val="18"/>
        </w:rPr>
        <w:t xml:space="preserve"> </w:t>
      </w:r>
      <w:r>
        <w:rPr>
          <w:i/>
          <w:sz w:val="18"/>
        </w:rPr>
        <w:t>to</w:t>
      </w:r>
      <w:r>
        <w:rPr>
          <w:i/>
          <w:spacing w:val="1"/>
          <w:sz w:val="18"/>
        </w:rPr>
        <w:t xml:space="preserve"> </w:t>
      </w:r>
      <w:r>
        <w:rPr>
          <w:i/>
          <w:sz w:val="18"/>
        </w:rPr>
        <w:t>Culture</w:t>
      </w:r>
      <w:r>
        <w:rPr>
          <w:sz w:val="18"/>
        </w:rPr>
        <w:t>, Recommendation</w:t>
      </w:r>
      <w:r>
        <w:rPr>
          <w:spacing w:val="-1"/>
          <w:sz w:val="18"/>
        </w:rPr>
        <w:t xml:space="preserve"> </w:t>
      </w:r>
      <w:r>
        <w:rPr>
          <w:spacing w:val="-5"/>
          <w:sz w:val="18"/>
        </w:rPr>
        <w:t>37.</w:t>
      </w:r>
    </w:p>
    <w:p w14:paraId="7CB26242" w14:textId="77777777" w:rsidR="008A4099" w:rsidRDefault="006A6EE2">
      <w:pPr>
        <w:spacing w:before="23" w:line="244" w:lineRule="auto"/>
        <w:ind w:left="160" w:right="680"/>
        <w:rPr>
          <w:sz w:val="18"/>
        </w:rPr>
      </w:pPr>
      <w:r>
        <w:rPr>
          <w:sz w:val="18"/>
          <w:vertAlign w:val="superscript"/>
        </w:rPr>
        <w:t>467</w:t>
      </w:r>
      <w:r>
        <w:rPr>
          <w:sz w:val="18"/>
        </w:rPr>
        <w:t xml:space="preserve"> Exceptions could apply for emergency Bills or Bills that seek to introduce amendments previously recommended by the </w:t>
      </w:r>
      <w:r>
        <w:rPr>
          <w:spacing w:val="-2"/>
          <w:sz w:val="18"/>
        </w:rPr>
        <w:t>PHRSC.</w:t>
      </w:r>
    </w:p>
    <w:p w14:paraId="7CB26243" w14:textId="77777777" w:rsidR="008A4099" w:rsidRDefault="008A4099">
      <w:pPr>
        <w:spacing w:line="244" w:lineRule="auto"/>
        <w:rPr>
          <w:sz w:val="18"/>
        </w:rPr>
        <w:sectPr w:rsidR="008A4099" w:rsidSect="00D43B2D">
          <w:pgSz w:w="11910" w:h="16840"/>
          <w:pgMar w:top="980" w:right="760" w:bottom="940" w:left="1280" w:header="718" w:footer="753" w:gutter="0"/>
          <w:cols w:space="720"/>
        </w:sectPr>
      </w:pPr>
    </w:p>
    <w:p w14:paraId="7CB26244" w14:textId="77777777" w:rsidR="008A4099" w:rsidRDefault="008A4099">
      <w:pPr>
        <w:pStyle w:val="BodyText"/>
        <w:spacing w:before="183"/>
        <w:rPr>
          <w:sz w:val="23"/>
        </w:rPr>
      </w:pPr>
    </w:p>
    <w:p w14:paraId="7CB26245" w14:textId="77777777" w:rsidR="008A4099" w:rsidRDefault="006A6EE2">
      <w:pPr>
        <w:pStyle w:val="Heading4"/>
        <w:spacing w:before="0"/>
      </w:pPr>
      <w:bookmarkStart w:id="49" w:name="_TOC_250011"/>
      <w:r>
        <w:t>Override</w:t>
      </w:r>
      <w:r>
        <w:rPr>
          <w:spacing w:val="-3"/>
        </w:rPr>
        <w:t xml:space="preserve"> </w:t>
      </w:r>
      <w:bookmarkEnd w:id="49"/>
      <w:r>
        <w:rPr>
          <w:spacing w:val="-2"/>
        </w:rPr>
        <w:t>provisions</w:t>
      </w:r>
    </w:p>
    <w:p w14:paraId="7CB26246" w14:textId="77777777" w:rsidR="008A4099" w:rsidRDefault="008A4099">
      <w:pPr>
        <w:pStyle w:val="BodyText"/>
        <w:spacing w:before="16"/>
        <w:rPr>
          <w:b/>
          <w:i/>
          <w:sz w:val="23"/>
        </w:rPr>
      </w:pPr>
    </w:p>
    <w:p w14:paraId="7CB26247" w14:textId="77777777" w:rsidR="008A4099" w:rsidRDefault="006A6EE2">
      <w:pPr>
        <w:pStyle w:val="Heading3"/>
      </w:pPr>
      <w:r>
        <w:t>2007</w:t>
      </w:r>
      <w:r>
        <w:rPr>
          <w:spacing w:val="-3"/>
        </w:rPr>
        <w:t xml:space="preserve"> </w:t>
      </w:r>
      <w:r>
        <w:t>Final</w:t>
      </w:r>
      <w:r>
        <w:rPr>
          <w:spacing w:val="-5"/>
        </w:rPr>
        <w:t xml:space="preserve"> </w:t>
      </w:r>
      <w:r>
        <w:t>report</w:t>
      </w:r>
      <w:r>
        <w:rPr>
          <w:spacing w:val="-2"/>
        </w:rPr>
        <w:t xml:space="preserve"> </w:t>
      </w:r>
      <w:r>
        <w:t>and</w:t>
      </w:r>
      <w:r>
        <w:rPr>
          <w:spacing w:val="-4"/>
        </w:rPr>
        <w:t xml:space="preserve"> </w:t>
      </w:r>
      <w:r>
        <w:t xml:space="preserve">subsequent </w:t>
      </w:r>
      <w:r>
        <w:rPr>
          <w:spacing w:val="-2"/>
        </w:rPr>
        <w:t>developments</w:t>
      </w:r>
    </w:p>
    <w:p w14:paraId="7CB26248" w14:textId="77777777" w:rsidR="008A4099" w:rsidRDefault="006A6EE2">
      <w:pPr>
        <w:pStyle w:val="ListParagraph"/>
        <w:numPr>
          <w:ilvl w:val="2"/>
          <w:numId w:val="3"/>
        </w:numPr>
        <w:tabs>
          <w:tab w:val="left" w:pos="879"/>
        </w:tabs>
        <w:spacing w:before="259"/>
        <w:ind w:right="676" w:firstLine="0"/>
        <w:jc w:val="both"/>
      </w:pPr>
      <w:r>
        <w:t>In the 2007 Final Report, the TLRI set out the process for the Supreme Court to make a declaration of incompatibility with a requirement for Parliament to respond to this declaration. It recommended</w:t>
      </w:r>
      <w:r>
        <w:rPr>
          <w:spacing w:val="-4"/>
        </w:rPr>
        <w:t xml:space="preserve"> </w:t>
      </w:r>
      <w:r>
        <w:t>that</w:t>
      </w:r>
      <w:r>
        <w:rPr>
          <w:spacing w:val="-1"/>
        </w:rPr>
        <w:t xml:space="preserve"> </w:t>
      </w:r>
      <w:r>
        <w:t>Parliament</w:t>
      </w:r>
      <w:r>
        <w:rPr>
          <w:spacing w:val="-4"/>
        </w:rPr>
        <w:t xml:space="preserve"> </w:t>
      </w:r>
      <w:r>
        <w:t>should</w:t>
      </w:r>
      <w:r>
        <w:rPr>
          <w:spacing w:val="-2"/>
        </w:rPr>
        <w:t xml:space="preserve"> </w:t>
      </w:r>
      <w:r>
        <w:t>have</w:t>
      </w:r>
      <w:r>
        <w:rPr>
          <w:spacing w:val="-4"/>
        </w:rPr>
        <w:t xml:space="preserve"> </w:t>
      </w:r>
      <w:r>
        <w:t>the</w:t>
      </w:r>
      <w:r>
        <w:rPr>
          <w:spacing w:val="-4"/>
        </w:rPr>
        <w:t xml:space="preserve"> </w:t>
      </w:r>
      <w:r>
        <w:t>ability</w:t>
      </w:r>
      <w:r>
        <w:rPr>
          <w:spacing w:val="-2"/>
        </w:rPr>
        <w:t xml:space="preserve"> </w:t>
      </w:r>
      <w:r>
        <w:t>to</w:t>
      </w:r>
      <w:r>
        <w:rPr>
          <w:spacing w:val="-2"/>
        </w:rPr>
        <w:t xml:space="preserve"> </w:t>
      </w:r>
      <w:r>
        <w:t>enact</w:t>
      </w:r>
      <w:r>
        <w:rPr>
          <w:spacing w:val="-4"/>
        </w:rPr>
        <w:t xml:space="preserve"> </w:t>
      </w:r>
      <w:r>
        <w:t>an</w:t>
      </w:r>
      <w:r>
        <w:rPr>
          <w:spacing w:val="-2"/>
        </w:rPr>
        <w:t xml:space="preserve"> </w:t>
      </w:r>
      <w:r>
        <w:t>override</w:t>
      </w:r>
      <w:r>
        <w:rPr>
          <w:spacing w:val="-2"/>
        </w:rPr>
        <w:t xml:space="preserve"> </w:t>
      </w:r>
      <w:r>
        <w:t>clause</w:t>
      </w:r>
      <w:r>
        <w:rPr>
          <w:spacing w:val="-4"/>
        </w:rPr>
        <w:t xml:space="preserve"> </w:t>
      </w:r>
      <w:r>
        <w:t>in</w:t>
      </w:r>
      <w:r>
        <w:rPr>
          <w:spacing w:val="-2"/>
        </w:rPr>
        <w:t xml:space="preserve"> </w:t>
      </w:r>
      <w:r>
        <w:t>the</w:t>
      </w:r>
      <w:r>
        <w:rPr>
          <w:spacing w:val="-4"/>
        </w:rPr>
        <w:t xml:space="preserve"> </w:t>
      </w:r>
      <w:r>
        <w:t>legislation,</w:t>
      </w:r>
      <w:r>
        <w:rPr>
          <w:spacing w:val="-5"/>
        </w:rPr>
        <w:t xml:space="preserve"> </w:t>
      </w:r>
      <w:r>
        <w:t>if</w:t>
      </w:r>
      <w:r>
        <w:rPr>
          <w:spacing w:val="-4"/>
        </w:rPr>
        <w:t xml:space="preserve"> </w:t>
      </w:r>
      <w:r>
        <w:t>it wished to confirm the legislation. It was recommended that the override clause should lapse after two years,</w:t>
      </w:r>
      <w:r>
        <w:rPr>
          <w:spacing w:val="-1"/>
        </w:rPr>
        <w:t xml:space="preserve"> </w:t>
      </w:r>
      <w:r>
        <w:t>unless Parliament</w:t>
      </w:r>
      <w:r>
        <w:rPr>
          <w:spacing w:val="-2"/>
        </w:rPr>
        <w:t xml:space="preserve"> </w:t>
      </w:r>
      <w:r>
        <w:t>reconfirms</w:t>
      </w:r>
      <w:r>
        <w:rPr>
          <w:spacing w:val="-3"/>
        </w:rPr>
        <w:t xml:space="preserve"> </w:t>
      </w:r>
      <w:r>
        <w:t>its</w:t>
      </w:r>
      <w:r>
        <w:rPr>
          <w:spacing w:val="-3"/>
        </w:rPr>
        <w:t xml:space="preserve"> </w:t>
      </w:r>
      <w:r>
        <w:t>continued</w:t>
      </w:r>
      <w:r>
        <w:rPr>
          <w:spacing w:val="-1"/>
        </w:rPr>
        <w:t xml:space="preserve"> </w:t>
      </w:r>
      <w:r>
        <w:t>operation.</w:t>
      </w:r>
      <w:r>
        <w:rPr>
          <w:spacing w:val="-1"/>
        </w:rPr>
        <w:t xml:space="preserve"> </w:t>
      </w:r>
      <w:r>
        <w:t>All</w:t>
      </w:r>
      <w:r>
        <w:rPr>
          <w:spacing w:val="-2"/>
        </w:rPr>
        <w:t xml:space="preserve"> </w:t>
      </w:r>
      <w:r>
        <w:t>subsequent</w:t>
      </w:r>
      <w:r>
        <w:rPr>
          <w:spacing w:val="-2"/>
        </w:rPr>
        <w:t xml:space="preserve"> </w:t>
      </w:r>
      <w:r>
        <w:t>renewals</w:t>
      </w:r>
      <w:r>
        <w:rPr>
          <w:spacing w:val="-1"/>
        </w:rPr>
        <w:t xml:space="preserve"> </w:t>
      </w:r>
      <w:r>
        <w:t>of</w:t>
      </w:r>
      <w:r>
        <w:rPr>
          <w:spacing w:val="-3"/>
        </w:rPr>
        <w:t xml:space="preserve"> </w:t>
      </w:r>
      <w:r>
        <w:t>the</w:t>
      </w:r>
      <w:r>
        <w:rPr>
          <w:spacing w:val="-3"/>
        </w:rPr>
        <w:t xml:space="preserve"> </w:t>
      </w:r>
      <w:r>
        <w:t>legislation should operate for only two years.</w:t>
      </w:r>
    </w:p>
    <w:p w14:paraId="7CB26249" w14:textId="77777777" w:rsidR="008A4099" w:rsidRDefault="006A6EE2">
      <w:pPr>
        <w:pStyle w:val="ListParagraph"/>
        <w:numPr>
          <w:ilvl w:val="2"/>
          <w:numId w:val="3"/>
        </w:numPr>
        <w:tabs>
          <w:tab w:val="left" w:pos="879"/>
        </w:tabs>
        <w:spacing w:before="216"/>
        <w:ind w:right="676" w:firstLine="0"/>
        <w:jc w:val="both"/>
      </w:pPr>
      <w:r>
        <w:t>One of the key differences between the ACT and other jurisdictions with human rights enactments</w:t>
      </w:r>
      <w:r>
        <w:rPr>
          <w:spacing w:val="-7"/>
        </w:rPr>
        <w:t xml:space="preserve"> </w:t>
      </w:r>
      <w:r>
        <w:t>is</w:t>
      </w:r>
      <w:r>
        <w:rPr>
          <w:spacing w:val="-7"/>
        </w:rPr>
        <w:t xml:space="preserve"> </w:t>
      </w:r>
      <w:r>
        <w:t>that</w:t>
      </w:r>
      <w:r>
        <w:rPr>
          <w:spacing w:val="-6"/>
        </w:rPr>
        <w:t xml:space="preserve"> </w:t>
      </w:r>
      <w:r>
        <w:t>Victorian</w:t>
      </w:r>
      <w:r>
        <w:rPr>
          <w:spacing w:val="-7"/>
        </w:rPr>
        <w:t xml:space="preserve"> </w:t>
      </w:r>
      <w:r>
        <w:t>and</w:t>
      </w:r>
      <w:r>
        <w:rPr>
          <w:spacing w:val="-7"/>
        </w:rPr>
        <w:t xml:space="preserve"> </w:t>
      </w:r>
      <w:r>
        <w:t>Queensland</w:t>
      </w:r>
      <w:r>
        <w:rPr>
          <w:spacing w:val="-7"/>
        </w:rPr>
        <w:t xml:space="preserve"> </w:t>
      </w:r>
      <w:r>
        <w:t>legislation</w:t>
      </w:r>
      <w:r>
        <w:rPr>
          <w:spacing w:val="-7"/>
        </w:rPr>
        <w:t xml:space="preserve"> </w:t>
      </w:r>
      <w:r>
        <w:t>provides</w:t>
      </w:r>
      <w:r>
        <w:rPr>
          <w:spacing w:val="-7"/>
        </w:rPr>
        <w:t xml:space="preserve"> </w:t>
      </w:r>
      <w:r>
        <w:t>for</w:t>
      </w:r>
      <w:r>
        <w:rPr>
          <w:spacing w:val="-4"/>
        </w:rPr>
        <w:t xml:space="preserve"> </w:t>
      </w:r>
      <w:r>
        <w:t>an</w:t>
      </w:r>
      <w:r>
        <w:rPr>
          <w:spacing w:val="-7"/>
        </w:rPr>
        <w:t xml:space="preserve"> </w:t>
      </w:r>
      <w:r>
        <w:t>‘override</w:t>
      </w:r>
      <w:r>
        <w:rPr>
          <w:spacing w:val="-7"/>
        </w:rPr>
        <w:t xml:space="preserve"> </w:t>
      </w:r>
      <w:r>
        <w:t>provision’</w:t>
      </w:r>
      <w:r>
        <w:rPr>
          <w:spacing w:val="-6"/>
        </w:rPr>
        <w:t xml:space="preserve"> </w:t>
      </w:r>
      <w:r>
        <w:t>to</w:t>
      </w:r>
      <w:r>
        <w:rPr>
          <w:spacing w:val="-7"/>
        </w:rPr>
        <w:t xml:space="preserve"> </w:t>
      </w:r>
      <w:r>
        <w:t>exclude particular</w:t>
      </w:r>
      <w:r>
        <w:rPr>
          <w:spacing w:val="-11"/>
        </w:rPr>
        <w:t xml:space="preserve"> </w:t>
      </w:r>
      <w:r>
        <w:t>legislation</w:t>
      </w:r>
      <w:r>
        <w:rPr>
          <w:spacing w:val="-12"/>
        </w:rPr>
        <w:t xml:space="preserve"> </w:t>
      </w:r>
      <w:r>
        <w:t>(or</w:t>
      </w:r>
      <w:r>
        <w:rPr>
          <w:spacing w:val="-9"/>
        </w:rPr>
        <w:t xml:space="preserve"> </w:t>
      </w:r>
      <w:r>
        <w:t>parts</w:t>
      </w:r>
      <w:r>
        <w:rPr>
          <w:spacing w:val="-9"/>
        </w:rPr>
        <w:t xml:space="preserve"> </w:t>
      </w:r>
      <w:r>
        <w:t>of</w:t>
      </w:r>
      <w:r>
        <w:rPr>
          <w:spacing w:val="-11"/>
        </w:rPr>
        <w:t xml:space="preserve"> </w:t>
      </w:r>
      <w:r>
        <w:t>legislation)</w:t>
      </w:r>
      <w:r>
        <w:rPr>
          <w:spacing w:val="-11"/>
        </w:rPr>
        <w:t xml:space="preserve"> </w:t>
      </w:r>
      <w:r>
        <w:t>from</w:t>
      </w:r>
      <w:r>
        <w:rPr>
          <w:spacing w:val="-11"/>
        </w:rPr>
        <w:t xml:space="preserve"> </w:t>
      </w:r>
      <w:r>
        <w:t>the</w:t>
      </w:r>
      <w:r>
        <w:rPr>
          <w:spacing w:val="-12"/>
        </w:rPr>
        <w:t xml:space="preserve"> </w:t>
      </w:r>
      <w:r>
        <w:t>operation</w:t>
      </w:r>
      <w:r>
        <w:rPr>
          <w:spacing w:val="-5"/>
        </w:rPr>
        <w:t xml:space="preserve"> </w:t>
      </w:r>
      <w:r>
        <w:t>of</w:t>
      </w:r>
      <w:r>
        <w:rPr>
          <w:spacing w:val="-11"/>
        </w:rPr>
        <w:t xml:space="preserve"> </w:t>
      </w:r>
      <w:r>
        <w:t>the</w:t>
      </w:r>
      <w:r>
        <w:rPr>
          <w:spacing w:val="-12"/>
        </w:rPr>
        <w:t xml:space="preserve"> </w:t>
      </w:r>
      <w:r>
        <w:t>Human</w:t>
      </w:r>
      <w:r>
        <w:rPr>
          <w:spacing w:val="-10"/>
        </w:rPr>
        <w:t xml:space="preserve"> </w:t>
      </w:r>
      <w:r>
        <w:t>Rights</w:t>
      </w:r>
      <w:r>
        <w:rPr>
          <w:spacing w:val="-9"/>
        </w:rPr>
        <w:t xml:space="preserve"> </w:t>
      </w:r>
      <w:r>
        <w:t>Act</w:t>
      </w:r>
      <w:r>
        <w:rPr>
          <w:spacing w:val="-11"/>
        </w:rPr>
        <w:t xml:space="preserve"> </w:t>
      </w:r>
      <w:r>
        <w:t>in</w:t>
      </w:r>
      <w:r>
        <w:rPr>
          <w:spacing w:val="-12"/>
        </w:rPr>
        <w:t xml:space="preserve"> </w:t>
      </w:r>
      <w:r>
        <w:t>exceptional circumstances.</w:t>
      </w:r>
      <w:r>
        <w:rPr>
          <w:spacing w:val="-2"/>
        </w:rPr>
        <w:t xml:space="preserve"> </w:t>
      </w:r>
      <w:r>
        <w:t>Override</w:t>
      </w:r>
      <w:r>
        <w:rPr>
          <w:spacing w:val="-4"/>
        </w:rPr>
        <w:t xml:space="preserve"> </w:t>
      </w:r>
      <w:r>
        <w:t>declarations</w:t>
      </w:r>
      <w:r>
        <w:rPr>
          <w:spacing w:val="-2"/>
        </w:rPr>
        <w:t xml:space="preserve"> </w:t>
      </w:r>
      <w:r>
        <w:t>are</w:t>
      </w:r>
      <w:r>
        <w:rPr>
          <w:spacing w:val="-4"/>
        </w:rPr>
        <w:t xml:space="preserve"> </w:t>
      </w:r>
      <w:r>
        <w:t>in</w:t>
      </w:r>
      <w:r>
        <w:rPr>
          <w:spacing w:val="-5"/>
        </w:rPr>
        <w:t xml:space="preserve"> </w:t>
      </w:r>
      <w:r>
        <w:t>effect</w:t>
      </w:r>
      <w:r>
        <w:rPr>
          <w:spacing w:val="-3"/>
        </w:rPr>
        <w:t xml:space="preserve"> </w:t>
      </w:r>
      <w:r>
        <w:t>for</w:t>
      </w:r>
      <w:r>
        <w:rPr>
          <w:spacing w:val="-2"/>
        </w:rPr>
        <w:t xml:space="preserve"> </w:t>
      </w:r>
      <w:r>
        <w:t>up</w:t>
      </w:r>
      <w:r>
        <w:rPr>
          <w:spacing w:val="-2"/>
        </w:rPr>
        <w:t xml:space="preserve"> </w:t>
      </w:r>
      <w:r>
        <w:t>to</w:t>
      </w:r>
      <w:r>
        <w:rPr>
          <w:spacing w:val="-5"/>
        </w:rPr>
        <w:t xml:space="preserve"> </w:t>
      </w:r>
      <w:r>
        <w:t>five</w:t>
      </w:r>
      <w:r>
        <w:rPr>
          <w:spacing w:val="-4"/>
        </w:rPr>
        <w:t xml:space="preserve"> </w:t>
      </w:r>
      <w:r>
        <w:t>years</w:t>
      </w:r>
      <w:r>
        <w:rPr>
          <w:spacing w:val="-4"/>
        </w:rPr>
        <w:t xml:space="preserve"> </w:t>
      </w:r>
      <w:r>
        <w:t>and</w:t>
      </w:r>
      <w:r>
        <w:rPr>
          <w:spacing w:val="-4"/>
        </w:rPr>
        <w:t xml:space="preserve"> </w:t>
      </w:r>
      <w:r>
        <w:t>can</w:t>
      </w:r>
      <w:r>
        <w:rPr>
          <w:spacing w:val="-5"/>
        </w:rPr>
        <w:t xml:space="preserve"> </w:t>
      </w:r>
      <w:r>
        <w:t>be</w:t>
      </w:r>
      <w:r>
        <w:rPr>
          <w:spacing w:val="-4"/>
        </w:rPr>
        <w:t xml:space="preserve"> </w:t>
      </w:r>
      <w:r>
        <w:t>renewed</w:t>
      </w:r>
      <w:r>
        <w:rPr>
          <w:spacing w:val="-4"/>
        </w:rPr>
        <w:t xml:space="preserve"> </w:t>
      </w:r>
      <w:r>
        <w:t>at</w:t>
      </w:r>
      <w:r>
        <w:rPr>
          <w:spacing w:val="-3"/>
        </w:rPr>
        <w:t xml:space="preserve"> </w:t>
      </w:r>
      <w:r>
        <w:t>the</w:t>
      </w:r>
      <w:r>
        <w:rPr>
          <w:spacing w:val="-2"/>
        </w:rPr>
        <w:t xml:space="preserve"> </w:t>
      </w:r>
      <w:r>
        <w:t>expiry of that time.</w:t>
      </w:r>
    </w:p>
    <w:p w14:paraId="7CB2624A" w14:textId="77777777" w:rsidR="008A4099" w:rsidRDefault="006A6EE2">
      <w:pPr>
        <w:pStyle w:val="ListParagraph"/>
        <w:numPr>
          <w:ilvl w:val="2"/>
          <w:numId w:val="3"/>
        </w:numPr>
        <w:tabs>
          <w:tab w:val="left" w:pos="879"/>
        </w:tabs>
        <w:spacing w:before="218"/>
        <w:ind w:right="673" w:firstLine="0"/>
        <w:jc w:val="both"/>
        <w:rPr>
          <w:sz w:val="13"/>
        </w:rPr>
      </w:pPr>
      <w:r>
        <w:t>The</w:t>
      </w:r>
      <w:r>
        <w:rPr>
          <w:spacing w:val="-7"/>
        </w:rPr>
        <w:t xml:space="preserve"> </w:t>
      </w:r>
      <w:r>
        <w:t>2015</w:t>
      </w:r>
      <w:r>
        <w:rPr>
          <w:spacing w:val="-10"/>
        </w:rPr>
        <w:t xml:space="preserve"> </w:t>
      </w:r>
      <w:r>
        <w:t>Review</w:t>
      </w:r>
      <w:r>
        <w:rPr>
          <w:spacing w:val="-8"/>
        </w:rPr>
        <w:t xml:space="preserve"> </w:t>
      </w:r>
      <w:r>
        <w:t>of</w:t>
      </w:r>
      <w:r>
        <w:rPr>
          <w:spacing w:val="-9"/>
        </w:rPr>
        <w:t xml:space="preserve"> </w:t>
      </w:r>
      <w:r>
        <w:t>the</w:t>
      </w:r>
      <w:r>
        <w:rPr>
          <w:spacing w:val="-7"/>
        </w:rPr>
        <w:t xml:space="preserve"> </w:t>
      </w:r>
      <w:r>
        <w:t>Vic</w:t>
      </w:r>
      <w:r>
        <w:rPr>
          <w:spacing w:val="-7"/>
        </w:rPr>
        <w:t xml:space="preserve"> </w:t>
      </w:r>
      <w:r>
        <w:t>Human</w:t>
      </w:r>
      <w:r>
        <w:rPr>
          <w:spacing w:val="-7"/>
        </w:rPr>
        <w:t xml:space="preserve"> </w:t>
      </w:r>
      <w:r>
        <w:t>Rights</w:t>
      </w:r>
      <w:r>
        <w:rPr>
          <w:spacing w:val="-6"/>
        </w:rPr>
        <w:t xml:space="preserve"> </w:t>
      </w:r>
      <w:r>
        <w:t>Charter</w:t>
      </w:r>
      <w:r>
        <w:rPr>
          <w:spacing w:val="-8"/>
        </w:rPr>
        <w:t xml:space="preserve"> </w:t>
      </w:r>
      <w:r>
        <w:t>recommended</w:t>
      </w:r>
      <w:r>
        <w:rPr>
          <w:spacing w:val="-10"/>
        </w:rPr>
        <w:t xml:space="preserve"> </w:t>
      </w:r>
      <w:r>
        <w:t>that</w:t>
      </w:r>
      <w:r>
        <w:rPr>
          <w:spacing w:val="-6"/>
        </w:rPr>
        <w:t xml:space="preserve"> </w:t>
      </w:r>
      <w:r>
        <w:t>the</w:t>
      </w:r>
      <w:r>
        <w:rPr>
          <w:spacing w:val="-7"/>
        </w:rPr>
        <w:t xml:space="preserve"> </w:t>
      </w:r>
      <w:r>
        <w:t>override</w:t>
      </w:r>
      <w:r>
        <w:rPr>
          <w:spacing w:val="-7"/>
        </w:rPr>
        <w:t xml:space="preserve"> </w:t>
      </w:r>
      <w:r>
        <w:t>declaration be repealed.</w:t>
      </w:r>
      <w:r>
        <w:rPr>
          <w:position w:val="7"/>
          <w:sz w:val="13"/>
        </w:rPr>
        <w:t>468</w:t>
      </w:r>
      <w:r>
        <w:rPr>
          <w:spacing w:val="30"/>
          <w:position w:val="7"/>
          <w:sz w:val="13"/>
        </w:rPr>
        <w:t xml:space="preserve"> </w:t>
      </w:r>
      <w:r>
        <w:t>It was noted that, under the statutory human rights model adopted, ‘Parliament retains its supremacy and does not need (in an emergency or at any time) a provision to allow it to pass legislation that is incompatible with human rights’.</w:t>
      </w:r>
      <w:r>
        <w:rPr>
          <w:position w:val="7"/>
          <w:sz w:val="13"/>
        </w:rPr>
        <w:t>469</w:t>
      </w:r>
      <w:r>
        <w:rPr>
          <w:spacing w:val="40"/>
          <w:position w:val="7"/>
          <w:sz w:val="13"/>
        </w:rPr>
        <w:t xml:space="preserve"> </w:t>
      </w:r>
      <w:r>
        <w:t>Both the 2011 and 2015 Reviews of the Vic Human Rights Charter recommended removing the override provision because it was unnecessary, given that the ‘Parliament can enact any legislation, including legislation that it or a court regards as incompatible</w:t>
      </w:r>
      <w:r>
        <w:rPr>
          <w:spacing w:val="-13"/>
        </w:rPr>
        <w:t xml:space="preserve"> </w:t>
      </w:r>
      <w:r>
        <w:t>with</w:t>
      </w:r>
      <w:r>
        <w:rPr>
          <w:spacing w:val="-13"/>
        </w:rPr>
        <w:t xml:space="preserve"> </w:t>
      </w:r>
      <w:r>
        <w:t>human</w:t>
      </w:r>
      <w:r>
        <w:rPr>
          <w:spacing w:val="-13"/>
        </w:rPr>
        <w:t xml:space="preserve"> </w:t>
      </w:r>
      <w:r>
        <w:t>rights’.</w:t>
      </w:r>
      <w:r>
        <w:rPr>
          <w:position w:val="7"/>
          <w:sz w:val="13"/>
        </w:rPr>
        <w:t>470</w:t>
      </w:r>
      <w:r>
        <w:rPr>
          <w:spacing w:val="9"/>
          <w:position w:val="7"/>
          <w:sz w:val="13"/>
        </w:rPr>
        <w:t xml:space="preserve"> </w:t>
      </w:r>
      <w:r>
        <w:t>It</w:t>
      </w:r>
      <w:r>
        <w:rPr>
          <w:spacing w:val="-12"/>
        </w:rPr>
        <w:t xml:space="preserve"> </w:t>
      </w:r>
      <w:r>
        <w:t>was</w:t>
      </w:r>
      <w:r>
        <w:rPr>
          <w:spacing w:val="-13"/>
        </w:rPr>
        <w:t xml:space="preserve"> </w:t>
      </w:r>
      <w:r>
        <w:t>observed</w:t>
      </w:r>
      <w:r>
        <w:rPr>
          <w:spacing w:val="-13"/>
        </w:rPr>
        <w:t xml:space="preserve"> </w:t>
      </w:r>
      <w:r>
        <w:t>that</w:t>
      </w:r>
      <w:r>
        <w:rPr>
          <w:spacing w:val="-12"/>
        </w:rPr>
        <w:t xml:space="preserve"> </w:t>
      </w:r>
      <w:r>
        <w:t>‘the</w:t>
      </w:r>
      <w:r>
        <w:rPr>
          <w:spacing w:val="-13"/>
        </w:rPr>
        <w:t xml:space="preserve"> </w:t>
      </w:r>
      <w:r>
        <w:t>use</w:t>
      </w:r>
      <w:r>
        <w:rPr>
          <w:spacing w:val="-13"/>
        </w:rPr>
        <w:t xml:space="preserve"> </w:t>
      </w:r>
      <w:r>
        <w:t>of</w:t>
      </w:r>
      <w:r>
        <w:rPr>
          <w:spacing w:val="-13"/>
        </w:rPr>
        <w:t xml:space="preserve"> </w:t>
      </w:r>
      <w:r>
        <w:t>the</w:t>
      </w:r>
      <w:r>
        <w:rPr>
          <w:spacing w:val="-13"/>
        </w:rPr>
        <w:t xml:space="preserve"> </w:t>
      </w:r>
      <w:r>
        <w:t>provision</w:t>
      </w:r>
      <w:r>
        <w:rPr>
          <w:spacing w:val="-13"/>
        </w:rPr>
        <w:t xml:space="preserve"> </w:t>
      </w:r>
      <w:r>
        <w:t>has</w:t>
      </w:r>
      <w:r>
        <w:rPr>
          <w:spacing w:val="-13"/>
        </w:rPr>
        <w:t xml:space="preserve"> </w:t>
      </w:r>
      <w:r>
        <w:t>been</w:t>
      </w:r>
      <w:r>
        <w:rPr>
          <w:spacing w:val="-13"/>
        </w:rPr>
        <w:t xml:space="preserve"> </w:t>
      </w:r>
      <w:r>
        <w:t>inappropriate and</w:t>
      </w:r>
      <w:r>
        <w:rPr>
          <w:spacing w:val="-3"/>
        </w:rPr>
        <w:t xml:space="preserve"> </w:t>
      </w:r>
      <w:r>
        <w:t>confusing</w:t>
      </w:r>
      <w:r>
        <w:rPr>
          <w:spacing w:val="-4"/>
        </w:rPr>
        <w:t xml:space="preserve"> </w:t>
      </w:r>
      <w:r>
        <w:t>to</w:t>
      </w:r>
      <w:r>
        <w:rPr>
          <w:spacing w:val="-4"/>
        </w:rPr>
        <w:t xml:space="preserve"> </w:t>
      </w:r>
      <w:r>
        <w:t>the</w:t>
      </w:r>
      <w:r>
        <w:rPr>
          <w:spacing w:val="-3"/>
        </w:rPr>
        <w:t xml:space="preserve"> </w:t>
      </w:r>
      <w:r>
        <w:t>public’,</w:t>
      </w:r>
      <w:r>
        <w:rPr>
          <w:spacing w:val="-4"/>
        </w:rPr>
        <w:t xml:space="preserve"> </w:t>
      </w:r>
      <w:r>
        <w:t>given</w:t>
      </w:r>
      <w:r>
        <w:rPr>
          <w:spacing w:val="-6"/>
        </w:rPr>
        <w:t xml:space="preserve"> </w:t>
      </w:r>
      <w:r>
        <w:t>that</w:t>
      </w:r>
      <w:r>
        <w:rPr>
          <w:spacing w:val="-3"/>
        </w:rPr>
        <w:t xml:space="preserve"> </w:t>
      </w:r>
      <w:r>
        <w:t>it</w:t>
      </w:r>
      <w:r>
        <w:rPr>
          <w:spacing w:val="-3"/>
        </w:rPr>
        <w:t xml:space="preserve"> </w:t>
      </w:r>
      <w:r>
        <w:t>fails</w:t>
      </w:r>
      <w:r>
        <w:rPr>
          <w:spacing w:val="-3"/>
        </w:rPr>
        <w:t xml:space="preserve"> </w:t>
      </w:r>
      <w:r>
        <w:t>to</w:t>
      </w:r>
      <w:r>
        <w:rPr>
          <w:spacing w:val="-6"/>
        </w:rPr>
        <w:t xml:space="preserve"> </w:t>
      </w:r>
      <w:r>
        <w:t>make</w:t>
      </w:r>
      <w:r>
        <w:rPr>
          <w:spacing w:val="-5"/>
        </w:rPr>
        <w:t xml:space="preserve"> </w:t>
      </w:r>
      <w:r>
        <w:t>clear</w:t>
      </w:r>
      <w:r>
        <w:rPr>
          <w:spacing w:val="-3"/>
        </w:rPr>
        <w:t xml:space="preserve"> </w:t>
      </w:r>
      <w:r>
        <w:t>that Parliament</w:t>
      </w:r>
      <w:r>
        <w:rPr>
          <w:spacing w:val="-3"/>
        </w:rPr>
        <w:t xml:space="preserve"> </w:t>
      </w:r>
      <w:r>
        <w:t>can</w:t>
      </w:r>
      <w:r>
        <w:rPr>
          <w:spacing w:val="-4"/>
        </w:rPr>
        <w:t xml:space="preserve"> </w:t>
      </w:r>
      <w:r>
        <w:t>pass</w:t>
      </w:r>
      <w:r>
        <w:rPr>
          <w:spacing w:val="-3"/>
        </w:rPr>
        <w:t xml:space="preserve"> </w:t>
      </w:r>
      <w:r>
        <w:t>legislation</w:t>
      </w:r>
      <w:r>
        <w:rPr>
          <w:spacing w:val="-4"/>
        </w:rPr>
        <w:t xml:space="preserve"> </w:t>
      </w:r>
      <w:r>
        <w:t>that</w:t>
      </w:r>
      <w:r>
        <w:rPr>
          <w:spacing w:val="-3"/>
        </w:rPr>
        <w:t xml:space="preserve"> </w:t>
      </w:r>
      <w:r>
        <w:t>is incompatible with human rights without an override declaration.</w:t>
      </w:r>
      <w:r>
        <w:rPr>
          <w:position w:val="7"/>
          <w:sz w:val="13"/>
        </w:rPr>
        <w:t>471</w:t>
      </w:r>
      <w:r>
        <w:rPr>
          <w:spacing w:val="32"/>
          <w:position w:val="7"/>
          <w:sz w:val="13"/>
        </w:rPr>
        <w:t xml:space="preserve"> </w:t>
      </w:r>
      <w:r>
        <w:t>However, the government did not support the recommendation, preferring to retain the section as a ‘clear statement of Parliament’s sovereignty’.</w:t>
      </w:r>
      <w:r>
        <w:rPr>
          <w:position w:val="7"/>
          <w:sz w:val="13"/>
        </w:rPr>
        <w:t>472</w:t>
      </w:r>
      <w:r>
        <w:rPr>
          <w:spacing w:val="25"/>
          <w:position w:val="7"/>
          <w:sz w:val="13"/>
        </w:rPr>
        <w:t xml:space="preserve"> </w:t>
      </w:r>
      <w:r>
        <w:t xml:space="preserve">Others have viewed the override provision as making a ‘powerful statement of human </w:t>
      </w:r>
      <w:r>
        <w:rPr>
          <w:spacing w:val="-2"/>
        </w:rPr>
        <w:t>rights’.</w:t>
      </w:r>
      <w:r>
        <w:rPr>
          <w:spacing w:val="-2"/>
          <w:position w:val="7"/>
          <w:sz w:val="13"/>
        </w:rPr>
        <w:t>473</w:t>
      </w:r>
    </w:p>
    <w:p w14:paraId="7CB2624B" w14:textId="77777777" w:rsidR="008A4099" w:rsidRDefault="006A6EE2">
      <w:pPr>
        <w:pStyle w:val="ListParagraph"/>
        <w:numPr>
          <w:ilvl w:val="2"/>
          <w:numId w:val="3"/>
        </w:numPr>
        <w:tabs>
          <w:tab w:val="left" w:pos="879"/>
        </w:tabs>
        <w:spacing w:before="217" w:line="237" w:lineRule="auto"/>
        <w:ind w:right="675" w:firstLine="0"/>
        <w:jc w:val="both"/>
        <w:rPr>
          <w:sz w:val="13"/>
        </w:rPr>
      </w:pPr>
      <w:r>
        <w:t>In Victoria, override declarations have been made on only two occasions: in relation to the Legal Profession Uniform Application Bill 2013 and the Corrections Amendment (Parole) Bill 2014 (which related to one prisoner).</w:t>
      </w:r>
      <w:r>
        <w:rPr>
          <w:position w:val="7"/>
          <w:sz w:val="13"/>
        </w:rPr>
        <w:t>474</w:t>
      </w:r>
    </w:p>
    <w:p w14:paraId="7CB2624C" w14:textId="77777777" w:rsidR="008A4099" w:rsidRDefault="006A6EE2">
      <w:pPr>
        <w:pStyle w:val="Heading3"/>
        <w:spacing w:before="241"/>
      </w:pPr>
      <w:r>
        <w:t>TLRI’s</w:t>
      </w:r>
      <w:r>
        <w:rPr>
          <w:spacing w:val="-4"/>
        </w:rPr>
        <w:t xml:space="preserve"> </w:t>
      </w:r>
      <w:r>
        <w:t>current</w:t>
      </w:r>
      <w:r>
        <w:rPr>
          <w:spacing w:val="-4"/>
        </w:rPr>
        <w:t xml:space="preserve"> </w:t>
      </w:r>
      <w:r>
        <w:t>views</w:t>
      </w:r>
      <w:r>
        <w:rPr>
          <w:spacing w:val="-4"/>
        </w:rPr>
        <w:t xml:space="preserve"> </w:t>
      </w:r>
      <w:r>
        <w:t>and</w:t>
      </w:r>
      <w:r>
        <w:rPr>
          <w:spacing w:val="-3"/>
        </w:rPr>
        <w:t xml:space="preserve"> </w:t>
      </w:r>
      <w:r>
        <w:rPr>
          <w:spacing w:val="-2"/>
        </w:rPr>
        <w:t>recommendations</w:t>
      </w:r>
    </w:p>
    <w:p w14:paraId="7CB2624D" w14:textId="77777777" w:rsidR="008A4099" w:rsidRDefault="006A6EE2">
      <w:pPr>
        <w:pStyle w:val="ListParagraph"/>
        <w:numPr>
          <w:ilvl w:val="2"/>
          <w:numId w:val="3"/>
        </w:numPr>
        <w:tabs>
          <w:tab w:val="left" w:pos="879"/>
        </w:tabs>
        <w:spacing w:before="259"/>
        <w:ind w:right="674" w:firstLine="0"/>
        <w:jc w:val="both"/>
      </w:pPr>
      <w:r>
        <w:t>The</w:t>
      </w:r>
      <w:r>
        <w:rPr>
          <w:spacing w:val="-9"/>
        </w:rPr>
        <w:t xml:space="preserve"> </w:t>
      </w:r>
      <w:r>
        <w:t>TLRI’s</w:t>
      </w:r>
      <w:r>
        <w:rPr>
          <w:spacing w:val="-8"/>
        </w:rPr>
        <w:t xml:space="preserve"> </w:t>
      </w:r>
      <w:r>
        <w:t>view</w:t>
      </w:r>
      <w:r>
        <w:rPr>
          <w:spacing w:val="-9"/>
        </w:rPr>
        <w:t xml:space="preserve"> </w:t>
      </w:r>
      <w:r>
        <w:t>is</w:t>
      </w:r>
      <w:r>
        <w:rPr>
          <w:spacing w:val="-10"/>
        </w:rPr>
        <w:t xml:space="preserve"> </w:t>
      </w:r>
      <w:r>
        <w:t>that</w:t>
      </w:r>
      <w:r>
        <w:rPr>
          <w:spacing w:val="-8"/>
        </w:rPr>
        <w:t xml:space="preserve"> </w:t>
      </w:r>
      <w:r>
        <w:t>provision</w:t>
      </w:r>
      <w:r>
        <w:rPr>
          <w:spacing w:val="-9"/>
        </w:rPr>
        <w:t xml:space="preserve"> </w:t>
      </w:r>
      <w:r>
        <w:t>for</w:t>
      </w:r>
      <w:r>
        <w:rPr>
          <w:spacing w:val="-8"/>
        </w:rPr>
        <w:t xml:space="preserve"> </w:t>
      </w:r>
      <w:r>
        <w:t>an</w:t>
      </w:r>
      <w:r>
        <w:rPr>
          <w:spacing w:val="-8"/>
        </w:rPr>
        <w:t xml:space="preserve"> </w:t>
      </w:r>
      <w:r>
        <w:t>override</w:t>
      </w:r>
      <w:r>
        <w:rPr>
          <w:spacing w:val="-8"/>
        </w:rPr>
        <w:t xml:space="preserve"> </w:t>
      </w:r>
      <w:r>
        <w:t>declaration</w:t>
      </w:r>
      <w:r>
        <w:rPr>
          <w:spacing w:val="-9"/>
        </w:rPr>
        <w:t xml:space="preserve"> </w:t>
      </w:r>
      <w:r>
        <w:t>should</w:t>
      </w:r>
      <w:r>
        <w:rPr>
          <w:spacing w:val="-9"/>
        </w:rPr>
        <w:t xml:space="preserve"> </w:t>
      </w:r>
      <w:r>
        <w:t>be</w:t>
      </w:r>
      <w:r>
        <w:rPr>
          <w:spacing w:val="-8"/>
        </w:rPr>
        <w:t xml:space="preserve"> </w:t>
      </w:r>
      <w:r>
        <w:t>included</w:t>
      </w:r>
      <w:r>
        <w:rPr>
          <w:spacing w:val="-9"/>
        </w:rPr>
        <w:t xml:space="preserve"> </w:t>
      </w:r>
      <w:r>
        <w:t>in</w:t>
      </w:r>
      <w:r>
        <w:rPr>
          <w:spacing w:val="-11"/>
        </w:rPr>
        <w:t xml:space="preserve"> </w:t>
      </w:r>
      <w:r>
        <w:t>recognition of the primacy of Parliament. Under the ‘dialogue model’ proposed in the 2007 Final Report, the Supreme Court has the power to make a declaration of incompatibility (see [4.4.34]–[4.4.44]), and if Parliament does not amend, repeal, or confirm the legislation within seven months of tabling a declaration of incompatibility, the legislation should be inoperative to the extent of its incompatibility.</w:t>
      </w:r>
      <w:r>
        <w:rPr>
          <w:position w:val="7"/>
          <w:sz w:val="13"/>
        </w:rPr>
        <w:t>475</w:t>
      </w:r>
      <w:r>
        <w:rPr>
          <w:spacing w:val="40"/>
          <w:position w:val="7"/>
          <w:sz w:val="13"/>
        </w:rPr>
        <w:t xml:space="preserve"> </w:t>
      </w:r>
      <w:r>
        <w:t>If the Parliament wishes for the legislation to be confirmed, it needs to enact an override</w:t>
      </w:r>
      <w:r>
        <w:rPr>
          <w:spacing w:val="-7"/>
        </w:rPr>
        <w:t xml:space="preserve"> </w:t>
      </w:r>
      <w:r>
        <w:t>clause.</w:t>
      </w:r>
      <w:r>
        <w:rPr>
          <w:spacing w:val="-7"/>
        </w:rPr>
        <w:t xml:space="preserve"> </w:t>
      </w:r>
      <w:r>
        <w:t>This</w:t>
      </w:r>
      <w:r>
        <w:rPr>
          <w:spacing w:val="-6"/>
        </w:rPr>
        <w:t xml:space="preserve"> </w:t>
      </w:r>
      <w:r>
        <w:t>is</w:t>
      </w:r>
      <w:r>
        <w:rPr>
          <w:spacing w:val="-6"/>
        </w:rPr>
        <w:t xml:space="preserve"> </w:t>
      </w:r>
      <w:r>
        <w:t>different</w:t>
      </w:r>
      <w:r>
        <w:rPr>
          <w:spacing w:val="-6"/>
        </w:rPr>
        <w:t xml:space="preserve"> </w:t>
      </w:r>
      <w:r>
        <w:t>from</w:t>
      </w:r>
      <w:r>
        <w:rPr>
          <w:spacing w:val="-6"/>
        </w:rPr>
        <w:t xml:space="preserve"> </w:t>
      </w:r>
      <w:r>
        <w:t>the</w:t>
      </w:r>
      <w:r>
        <w:rPr>
          <w:spacing w:val="-7"/>
        </w:rPr>
        <w:t xml:space="preserve"> </w:t>
      </w:r>
      <w:r>
        <w:t>situation</w:t>
      </w:r>
      <w:r>
        <w:rPr>
          <w:spacing w:val="-10"/>
        </w:rPr>
        <w:t xml:space="preserve"> </w:t>
      </w:r>
      <w:r>
        <w:t>in</w:t>
      </w:r>
      <w:r>
        <w:rPr>
          <w:spacing w:val="-10"/>
        </w:rPr>
        <w:t xml:space="preserve"> </w:t>
      </w:r>
      <w:r>
        <w:t>Victoria,</w:t>
      </w:r>
      <w:r>
        <w:rPr>
          <w:spacing w:val="-7"/>
        </w:rPr>
        <w:t xml:space="preserve"> </w:t>
      </w:r>
      <w:r>
        <w:t>where</w:t>
      </w:r>
      <w:r>
        <w:rPr>
          <w:spacing w:val="-7"/>
        </w:rPr>
        <w:t xml:space="preserve"> </w:t>
      </w:r>
      <w:r>
        <w:t>legislation</w:t>
      </w:r>
      <w:r>
        <w:rPr>
          <w:spacing w:val="-7"/>
        </w:rPr>
        <w:t xml:space="preserve"> </w:t>
      </w:r>
      <w:r>
        <w:t>that</w:t>
      </w:r>
      <w:r>
        <w:rPr>
          <w:spacing w:val="-6"/>
        </w:rPr>
        <w:t xml:space="preserve"> </w:t>
      </w:r>
      <w:r>
        <w:t>has</w:t>
      </w:r>
      <w:r>
        <w:rPr>
          <w:spacing w:val="-6"/>
        </w:rPr>
        <w:t xml:space="preserve"> </w:t>
      </w:r>
      <w:r>
        <w:t>been</w:t>
      </w:r>
      <w:r>
        <w:rPr>
          <w:spacing w:val="-7"/>
        </w:rPr>
        <w:t xml:space="preserve"> </w:t>
      </w:r>
      <w:r>
        <w:t>declared to</w:t>
      </w:r>
      <w:r>
        <w:rPr>
          <w:spacing w:val="21"/>
        </w:rPr>
        <w:t xml:space="preserve"> </w:t>
      </w:r>
      <w:r>
        <w:t>be</w:t>
      </w:r>
      <w:r>
        <w:rPr>
          <w:spacing w:val="22"/>
        </w:rPr>
        <w:t xml:space="preserve"> </w:t>
      </w:r>
      <w:r>
        <w:t>incompatible</w:t>
      </w:r>
      <w:r>
        <w:rPr>
          <w:spacing w:val="22"/>
        </w:rPr>
        <w:t xml:space="preserve"> </w:t>
      </w:r>
      <w:r>
        <w:t>does</w:t>
      </w:r>
      <w:r>
        <w:rPr>
          <w:spacing w:val="25"/>
        </w:rPr>
        <w:t xml:space="preserve"> </w:t>
      </w:r>
      <w:r>
        <w:t>not</w:t>
      </w:r>
      <w:r>
        <w:rPr>
          <w:spacing w:val="25"/>
        </w:rPr>
        <w:t xml:space="preserve"> </w:t>
      </w:r>
      <w:r>
        <w:t>become</w:t>
      </w:r>
      <w:r>
        <w:rPr>
          <w:spacing w:val="22"/>
        </w:rPr>
        <w:t xml:space="preserve"> </w:t>
      </w:r>
      <w:r>
        <w:t>inoperative.</w:t>
      </w:r>
      <w:r>
        <w:rPr>
          <w:spacing w:val="26"/>
        </w:rPr>
        <w:t xml:space="preserve"> </w:t>
      </w:r>
      <w:r>
        <w:t>Accordingly,</w:t>
      </w:r>
      <w:r>
        <w:rPr>
          <w:spacing w:val="22"/>
        </w:rPr>
        <w:t xml:space="preserve"> </w:t>
      </w:r>
      <w:r>
        <w:t>in</w:t>
      </w:r>
      <w:r>
        <w:rPr>
          <w:spacing w:val="24"/>
        </w:rPr>
        <w:t xml:space="preserve"> </w:t>
      </w:r>
      <w:r>
        <w:t>Tasmania,</w:t>
      </w:r>
      <w:r>
        <w:rPr>
          <w:spacing w:val="22"/>
        </w:rPr>
        <w:t xml:space="preserve"> </w:t>
      </w:r>
      <w:r>
        <w:t>the</w:t>
      </w:r>
      <w:r>
        <w:rPr>
          <w:spacing w:val="25"/>
        </w:rPr>
        <w:t xml:space="preserve"> </w:t>
      </w:r>
      <w:r>
        <w:t>TLRI</w:t>
      </w:r>
      <w:r>
        <w:rPr>
          <w:spacing w:val="26"/>
        </w:rPr>
        <w:t xml:space="preserve"> </w:t>
      </w:r>
      <w:r>
        <w:t>continues</w:t>
      </w:r>
      <w:r>
        <w:rPr>
          <w:spacing w:val="23"/>
        </w:rPr>
        <w:t xml:space="preserve"> </w:t>
      </w:r>
      <w:r>
        <w:rPr>
          <w:spacing w:val="-5"/>
        </w:rPr>
        <w:t>to</w:t>
      </w:r>
    </w:p>
    <w:p w14:paraId="7CB2624E" w14:textId="77777777" w:rsidR="008A4099" w:rsidRDefault="006A6EE2">
      <w:pPr>
        <w:pStyle w:val="BodyText"/>
        <w:spacing w:before="153"/>
        <w:rPr>
          <w:sz w:val="20"/>
        </w:rPr>
      </w:pPr>
      <w:r>
        <w:rPr>
          <w:noProof/>
        </w:rPr>
        <mc:AlternateContent>
          <mc:Choice Requires="wps">
            <w:drawing>
              <wp:anchor distT="0" distB="0" distL="0" distR="0" simplePos="0" relativeHeight="487632384" behindDoc="1" locked="0" layoutInCell="1" allowOverlap="1" wp14:anchorId="7CB26687" wp14:editId="7CB26688">
                <wp:simplePos x="0" y="0"/>
                <wp:positionH relativeFrom="page">
                  <wp:posOffset>914704</wp:posOffset>
                </wp:positionH>
                <wp:positionV relativeFrom="paragraph">
                  <wp:posOffset>258935</wp:posOffset>
                </wp:positionV>
                <wp:extent cx="1829435" cy="762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9FFC1" id="Graphic 135" o:spid="_x0000_s1026" style="position:absolute;margin-left:1in;margin-top:20.4pt;width:144.05pt;height:.6pt;z-index:-156840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" path="m1829054,l,,,7619r1829054,l1829054,xe" fillcolor="black" stroked="f">
                <v:path arrowok="t"/>
                <w10:wrap type="topAndBottom" anchorx="page"/>
              </v:shape>
            </w:pict>
          </mc:Fallback>
        </mc:AlternateContent>
      </w:r>
    </w:p>
    <w:p w14:paraId="7CB2624F" w14:textId="77777777" w:rsidR="008A4099" w:rsidRDefault="006A6EE2">
      <w:pPr>
        <w:spacing w:before="115"/>
        <w:ind w:left="160"/>
        <w:rPr>
          <w:sz w:val="18"/>
        </w:rPr>
      </w:pPr>
      <w:r>
        <w:rPr>
          <w:sz w:val="18"/>
          <w:vertAlign w:val="superscript"/>
        </w:rPr>
        <w:t>468</w:t>
      </w:r>
      <w:r>
        <w:rPr>
          <w:sz w:val="18"/>
        </w:rPr>
        <w:t xml:space="preserve"> Brett Young,</w:t>
      </w:r>
      <w:r>
        <w:rPr>
          <w:spacing w:val="1"/>
          <w:sz w:val="18"/>
        </w:rPr>
        <w:t xml:space="preserve"> </w:t>
      </w:r>
      <w:r>
        <w:rPr>
          <w:i/>
          <w:sz w:val="18"/>
        </w:rPr>
        <w:t>From Commitment</w:t>
      </w:r>
      <w:r>
        <w:rPr>
          <w:i/>
          <w:spacing w:val="-2"/>
          <w:sz w:val="18"/>
        </w:rPr>
        <w:t xml:space="preserve"> </w:t>
      </w:r>
      <w:r>
        <w:rPr>
          <w:i/>
          <w:sz w:val="18"/>
        </w:rPr>
        <w:t>to</w:t>
      </w:r>
      <w:r>
        <w:rPr>
          <w:i/>
          <w:spacing w:val="1"/>
          <w:sz w:val="18"/>
        </w:rPr>
        <w:t xml:space="preserve"> </w:t>
      </w:r>
      <w:r>
        <w:rPr>
          <w:i/>
          <w:sz w:val="18"/>
        </w:rPr>
        <w:t>Culture</w:t>
      </w:r>
      <w:r>
        <w:rPr>
          <w:sz w:val="18"/>
        </w:rPr>
        <w:t>, Recommendation</w:t>
      </w:r>
      <w:r>
        <w:rPr>
          <w:spacing w:val="-1"/>
          <w:sz w:val="18"/>
        </w:rPr>
        <w:t xml:space="preserve"> </w:t>
      </w:r>
      <w:r>
        <w:rPr>
          <w:spacing w:val="-5"/>
          <w:sz w:val="18"/>
        </w:rPr>
        <w:t>46.</w:t>
      </w:r>
    </w:p>
    <w:p w14:paraId="7CB26250" w14:textId="77777777" w:rsidR="008A4099" w:rsidRDefault="006A6EE2">
      <w:pPr>
        <w:spacing w:before="21"/>
        <w:ind w:left="160"/>
        <w:rPr>
          <w:sz w:val="18"/>
        </w:rPr>
      </w:pPr>
      <w:r>
        <w:rPr>
          <w:sz w:val="18"/>
          <w:vertAlign w:val="superscript"/>
        </w:rPr>
        <w:t>469</w:t>
      </w:r>
      <w:r>
        <w:rPr>
          <w:spacing w:val="6"/>
          <w:sz w:val="18"/>
        </w:rPr>
        <w:t xml:space="preserve"> </w:t>
      </w:r>
      <w:r>
        <w:rPr>
          <w:sz w:val="18"/>
        </w:rPr>
        <w:t>Ibid</w:t>
      </w:r>
      <w:r>
        <w:rPr>
          <w:spacing w:val="6"/>
          <w:sz w:val="18"/>
        </w:rPr>
        <w:t xml:space="preserve"> </w:t>
      </w:r>
      <w:r>
        <w:rPr>
          <w:spacing w:val="-5"/>
          <w:sz w:val="18"/>
        </w:rPr>
        <w:t>14.</w:t>
      </w:r>
    </w:p>
    <w:p w14:paraId="7CB26251" w14:textId="77777777" w:rsidR="008A4099" w:rsidRDefault="006A6EE2">
      <w:pPr>
        <w:spacing w:before="23"/>
        <w:ind w:left="160"/>
        <w:rPr>
          <w:sz w:val="18"/>
        </w:rPr>
      </w:pPr>
      <w:r>
        <w:rPr>
          <w:sz w:val="18"/>
          <w:vertAlign w:val="superscript"/>
        </w:rPr>
        <w:t>470</w:t>
      </w:r>
      <w:r>
        <w:rPr>
          <w:spacing w:val="6"/>
          <w:sz w:val="18"/>
        </w:rPr>
        <w:t xml:space="preserve"> </w:t>
      </w:r>
      <w:r>
        <w:rPr>
          <w:sz w:val="18"/>
        </w:rPr>
        <w:t>Ibid</w:t>
      </w:r>
      <w:r>
        <w:rPr>
          <w:spacing w:val="6"/>
          <w:sz w:val="18"/>
        </w:rPr>
        <w:t xml:space="preserve"> </w:t>
      </w:r>
      <w:r>
        <w:rPr>
          <w:spacing w:val="-4"/>
          <w:sz w:val="18"/>
        </w:rPr>
        <w:t>197.</w:t>
      </w:r>
    </w:p>
    <w:p w14:paraId="7CB26252" w14:textId="77777777" w:rsidR="008A4099" w:rsidRDefault="006A6EE2">
      <w:pPr>
        <w:spacing w:before="24"/>
        <w:ind w:left="160"/>
        <w:rPr>
          <w:sz w:val="18"/>
        </w:rPr>
      </w:pPr>
      <w:r>
        <w:rPr>
          <w:sz w:val="18"/>
          <w:vertAlign w:val="superscript"/>
        </w:rPr>
        <w:t>471</w:t>
      </w:r>
      <w:r>
        <w:rPr>
          <w:spacing w:val="6"/>
          <w:sz w:val="18"/>
        </w:rPr>
        <w:t xml:space="preserve"> </w:t>
      </w:r>
      <w:r>
        <w:rPr>
          <w:sz w:val="18"/>
        </w:rPr>
        <w:t>Ibid</w:t>
      </w:r>
      <w:r>
        <w:rPr>
          <w:spacing w:val="6"/>
          <w:sz w:val="18"/>
        </w:rPr>
        <w:t xml:space="preserve"> </w:t>
      </w:r>
      <w:r>
        <w:rPr>
          <w:spacing w:val="-4"/>
          <w:sz w:val="18"/>
        </w:rPr>
        <w:t>196.</w:t>
      </w:r>
    </w:p>
    <w:p w14:paraId="7CB26253" w14:textId="77777777" w:rsidR="008A4099" w:rsidRDefault="006A6EE2">
      <w:pPr>
        <w:spacing w:before="23" w:line="244" w:lineRule="auto"/>
        <w:ind w:left="160" w:right="680"/>
        <w:rPr>
          <w:sz w:val="18"/>
        </w:rPr>
      </w:pPr>
      <w:r>
        <w:rPr>
          <w:sz w:val="18"/>
          <w:vertAlign w:val="superscript"/>
        </w:rPr>
        <w:t>472</w:t>
      </w:r>
      <w:r>
        <w:rPr>
          <w:spacing w:val="-7"/>
          <w:sz w:val="18"/>
        </w:rPr>
        <w:t xml:space="preserve"> </w:t>
      </w:r>
      <w:r>
        <w:rPr>
          <w:sz w:val="18"/>
        </w:rPr>
        <w:t>See</w:t>
      </w:r>
      <w:r>
        <w:rPr>
          <w:spacing w:val="-7"/>
          <w:sz w:val="18"/>
        </w:rPr>
        <w:t xml:space="preserve"> </w:t>
      </w:r>
      <w:r>
        <w:rPr>
          <w:sz w:val="18"/>
        </w:rPr>
        <w:t>Victorian</w:t>
      </w:r>
      <w:r>
        <w:rPr>
          <w:spacing w:val="-6"/>
          <w:sz w:val="18"/>
        </w:rPr>
        <w:t xml:space="preserve"> </w:t>
      </w:r>
      <w:r>
        <w:rPr>
          <w:sz w:val="18"/>
        </w:rPr>
        <w:t>Government,</w:t>
      </w:r>
      <w:r>
        <w:rPr>
          <w:spacing w:val="-5"/>
          <w:sz w:val="18"/>
        </w:rPr>
        <w:t xml:space="preserve"> </w:t>
      </w:r>
      <w:r>
        <w:rPr>
          <w:i/>
          <w:sz w:val="18"/>
        </w:rPr>
        <w:t>Government</w:t>
      </w:r>
      <w:r>
        <w:rPr>
          <w:i/>
          <w:spacing w:val="-6"/>
          <w:sz w:val="18"/>
        </w:rPr>
        <w:t xml:space="preserve"> </w:t>
      </w:r>
      <w:r>
        <w:rPr>
          <w:i/>
          <w:sz w:val="18"/>
        </w:rPr>
        <w:t>Response</w:t>
      </w:r>
      <w:r>
        <w:rPr>
          <w:i/>
          <w:spacing w:val="-10"/>
          <w:sz w:val="18"/>
        </w:rPr>
        <w:t xml:space="preserve"> </w:t>
      </w:r>
      <w:r>
        <w:rPr>
          <w:i/>
          <w:sz w:val="18"/>
        </w:rPr>
        <w:t>to</w:t>
      </w:r>
      <w:r>
        <w:rPr>
          <w:i/>
          <w:spacing w:val="-8"/>
          <w:sz w:val="18"/>
        </w:rPr>
        <w:t xml:space="preserve"> </w:t>
      </w:r>
      <w:r>
        <w:rPr>
          <w:i/>
          <w:sz w:val="18"/>
        </w:rPr>
        <w:t>the</w:t>
      </w:r>
      <w:r>
        <w:rPr>
          <w:i/>
          <w:spacing w:val="-10"/>
          <w:sz w:val="18"/>
        </w:rPr>
        <w:t xml:space="preserve"> </w:t>
      </w:r>
      <w:r>
        <w:rPr>
          <w:i/>
          <w:sz w:val="18"/>
        </w:rPr>
        <w:t>2015</w:t>
      </w:r>
      <w:r>
        <w:rPr>
          <w:i/>
          <w:spacing w:val="-8"/>
          <w:sz w:val="18"/>
        </w:rPr>
        <w:t xml:space="preserve"> </w:t>
      </w:r>
      <w:r>
        <w:rPr>
          <w:i/>
          <w:sz w:val="18"/>
        </w:rPr>
        <w:t>Review</w:t>
      </w:r>
      <w:r>
        <w:rPr>
          <w:i/>
          <w:spacing w:val="-7"/>
          <w:sz w:val="18"/>
        </w:rPr>
        <w:t xml:space="preserve"> </w:t>
      </w:r>
      <w:r>
        <w:rPr>
          <w:i/>
          <w:sz w:val="18"/>
        </w:rPr>
        <w:t>of</w:t>
      </w:r>
      <w:r>
        <w:rPr>
          <w:i/>
          <w:spacing w:val="-9"/>
          <w:sz w:val="18"/>
        </w:rPr>
        <w:t xml:space="preserve"> </w:t>
      </w:r>
      <w:r>
        <w:rPr>
          <w:i/>
          <w:sz w:val="18"/>
        </w:rPr>
        <w:t>the</w:t>
      </w:r>
      <w:r>
        <w:rPr>
          <w:i/>
          <w:spacing w:val="-10"/>
          <w:sz w:val="18"/>
        </w:rPr>
        <w:t xml:space="preserve"> </w:t>
      </w:r>
      <w:r>
        <w:rPr>
          <w:i/>
          <w:sz w:val="18"/>
        </w:rPr>
        <w:t>Charter</w:t>
      </w:r>
      <w:r>
        <w:rPr>
          <w:i/>
          <w:spacing w:val="-7"/>
          <w:sz w:val="18"/>
        </w:rPr>
        <w:t xml:space="preserve"> </w:t>
      </w:r>
      <w:r>
        <w:rPr>
          <w:i/>
          <w:sz w:val="18"/>
        </w:rPr>
        <w:t>of</w:t>
      </w:r>
      <w:r>
        <w:rPr>
          <w:i/>
          <w:spacing w:val="-9"/>
          <w:sz w:val="18"/>
        </w:rPr>
        <w:t xml:space="preserve"> </w:t>
      </w:r>
      <w:r>
        <w:rPr>
          <w:i/>
          <w:sz w:val="18"/>
        </w:rPr>
        <w:t>Human</w:t>
      </w:r>
      <w:r>
        <w:rPr>
          <w:i/>
          <w:spacing w:val="-8"/>
          <w:sz w:val="18"/>
        </w:rPr>
        <w:t xml:space="preserve"> </w:t>
      </w:r>
      <w:r>
        <w:rPr>
          <w:i/>
          <w:sz w:val="18"/>
        </w:rPr>
        <w:t>Rights</w:t>
      </w:r>
      <w:r>
        <w:rPr>
          <w:i/>
          <w:spacing w:val="-7"/>
          <w:sz w:val="18"/>
        </w:rPr>
        <w:t xml:space="preserve"> </w:t>
      </w:r>
      <w:r>
        <w:rPr>
          <w:i/>
          <w:sz w:val="18"/>
        </w:rPr>
        <w:t>and</w:t>
      </w:r>
      <w:r>
        <w:rPr>
          <w:i/>
          <w:spacing w:val="-8"/>
          <w:sz w:val="18"/>
        </w:rPr>
        <w:t xml:space="preserve"> </w:t>
      </w:r>
      <w:r>
        <w:rPr>
          <w:i/>
          <w:sz w:val="18"/>
        </w:rPr>
        <w:t xml:space="preserve">Responsibilities </w:t>
      </w:r>
      <w:r>
        <w:rPr>
          <w:i/>
          <w:spacing w:val="-4"/>
          <w:sz w:val="18"/>
        </w:rPr>
        <w:t>Act</w:t>
      </w:r>
      <w:r>
        <w:rPr>
          <w:spacing w:val="-4"/>
          <w:sz w:val="18"/>
        </w:rPr>
        <w:t>.</w:t>
      </w:r>
    </w:p>
    <w:p w14:paraId="7CB26254" w14:textId="77777777" w:rsidR="008A4099" w:rsidRDefault="006A6EE2">
      <w:pPr>
        <w:spacing w:before="15"/>
        <w:ind w:left="160"/>
        <w:rPr>
          <w:sz w:val="18"/>
        </w:rPr>
      </w:pPr>
      <w:r>
        <w:rPr>
          <w:sz w:val="18"/>
          <w:vertAlign w:val="superscript"/>
        </w:rPr>
        <w:t>473</w:t>
      </w:r>
      <w:r>
        <w:rPr>
          <w:sz w:val="18"/>
        </w:rPr>
        <w:t xml:space="preserve"> Brett</w:t>
      </w:r>
      <w:r>
        <w:rPr>
          <w:spacing w:val="1"/>
          <w:sz w:val="18"/>
        </w:rPr>
        <w:t xml:space="preserve"> </w:t>
      </w:r>
      <w:r>
        <w:rPr>
          <w:sz w:val="18"/>
        </w:rPr>
        <w:t>Young,</w:t>
      </w:r>
      <w:r>
        <w:rPr>
          <w:spacing w:val="1"/>
          <w:sz w:val="18"/>
        </w:rPr>
        <w:t xml:space="preserve"> </w:t>
      </w:r>
      <w:r>
        <w:rPr>
          <w:i/>
          <w:sz w:val="18"/>
        </w:rPr>
        <w:t>From</w:t>
      </w:r>
      <w:r>
        <w:rPr>
          <w:i/>
          <w:spacing w:val="1"/>
          <w:sz w:val="18"/>
        </w:rPr>
        <w:t xml:space="preserve"> </w:t>
      </w:r>
      <w:r>
        <w:rPr>
          <w:i/>
          <w:sz w:val="18"/>
        </w:rPr>
        <w:t>Commitment</w:t>
      </w:r>
      <w:r>
        <w:rPr>
          <w:i/>
          <w:spacing w:val="-1"/>
          <w:sz w:val="18"/>
        </w:rPr>
        <w:t xml:space="preserve"> </w:t>
      </w:r>
      <w:r>
        <w:rPr>
          <w:i/>
          <w:sz w:val="18"/>
        </w:rPr>
        <w:t>to</w:t>
      </w:r>
      <w:r>
        <w:rPr>
          <w:i/>
          <w:spacing w:val="1"/>
          <w:sz w:val="18"/>
        </w:rPr>
        <w:t xml:space="preserve"> </w:t>
      </w:r>
      <w:r>
        <w:rPr>
          <w:i/>
          <w:sz w:val="18"/>
        </w:rPr>
        <w:t>Culture</w:t>
      </w:r>
      <w:r>
        <w:rPr>
          <w:i/>
          <w:spacing w:val="2"/>
          <w:sz w:val="18"/>
        </w:rPr>
        <w:t xml:space="preserve"> </w:t>
      </w:r>
      <w:r>
        <w:rPr>
          <w:spacing w:val="-4"/>
          <w:sz w:val="18"/>
        </w:rPr>
        <w:t>198.</w:t>
      </w:r>
    </w:p>
    <w:p w14:paraId="7CB26255" w14:textId="77777777" w:rsidR="008A4099" w:rsidRDefault="006A6EE2">
      <w:pPr>
        <w:spacing w:before="23"/>
        <w:ind w:left="160"/>
        <w:rPr>
          <w:sz w:val="18"/>
        </w:rPr>
      </w:pPr>
      <w:r>
        <w:rPr>
          <w:sz w:val="18"/>
          <w:vertAlign w:val="superscript"/>
        </w:rPr>
        <w:t>474</w:t>
      </w:r>
      <w:r>
        <w:rPr>
          <w:spacing w:val="6"/>
          <w:sz w:val="18"/>
        </w:rPr>
        <w:t xml:space="preserve"> </w:t>
      </w:r>
      <w:r>
        <w:rPr>
          <w:sz w:val="18"/>
        </w:rPr>
        <w:t>Ibid</w:t>
      </w:r>
      <w:r>
        <w:rPr>
          <w:spacing w:val="6"/>
          <w:sz w:val="18"/>
        </w:rPr>
        <w:t xml:space="preserve"> </w:t>
      </w:r>
      <w:r>
        <w:rPr>
          <w:spacing w:val="-4"/>
          <w:sz w:val="18"/>
        </w:rPr>
        <w:t>197.</w:t>
      </w:r>
    </w:p>
    <w:p w14:paraId="7CB26256" w14:textId="77777777" w:rsidR="008A4099" w:rsidRDefault="006A6EE2">
      <w:pPr>
        <w:spacing w:before="23" w:line="244" w:lineRule="auto"/>
        <w:ind w:left="160" w:right="679"/>
        <w:rPr>
          <w:sz w:val="18"/>
        </w:rPr>
      </w:pPr>
      <w:r>
        <w:rPr>
          <w:sz w:val="18"/>
          <w:vertAlign w:val="superscript"/>
        </w:rPr>
        <w:t>475</w:t>
      </w:r>
      <w:r>
        <w:rPr>
          <w:spacing w:val="-1"/>
          <w:sz w:val="18"/>
        </w:rPr>
        <w:t xml:space="preserve"> </w:t>
      </w:r>
      <w:r>
        <w:rPr>
          <w:sz w:val="18"/>
        </w:rPr>
        <w:t>TLRI</w:t>
      </w:r>
      <w:r>
        <w:rPr>
          <w:spacing w:val="-1"/>
          <w:sz w:val="18"/>
        </w:rPr>
        <w:t xml:space="preserve"> </w:t>
      </w:r>
      <w:r>
        <w:rPr>
          <w:sz w:val="18"/>
        </w:rPr>
        <w:t>2007 Final</w:t>
      </w:r>
      <w:r>
        <w:rPr>
          <w:spacing w:val="-1"/>
          <w:sz w:val="18"/>
        </w:rPr>
        <w:t xml:space="preserve"> </w:t>
      </w:r>
      <w:r>
        <w:rPr>
          <w:sz w:val="18"/>
        </w:rPr>
        <w:t>Report, Recommendation</w:t>
      </w:r>
      <w:r>
        <w:rPr>
          <w:spacing w:val="-2"/>
          <w:sz w:val="18"/>
        </w:rPr>
        <w:t xml:space="preserve"> </w:t>
      </w:r>
      <w:r>
        <w:rPr>
          <w:sz w:val="18"/>
        </w:rPr>
        <w:t>10.</w:t>
      </w:r>
      <w:r>
        <w:rPr>
          <w:spacing w:val="-1"/>
          <w:sz w:val="18"/>
        </w:rPr>
        <w:t xml:space="preserve"> </w:t>
      </w:r>
      <w:r>
        <w:rPr>
          <w:sz w:val="18"/>
        </w:rPr>
        <w:t>It</w:t>
      </w:r>
      <w:r>
        <w:rPr>
          <w:spacing w:val="-3"/>
          <w:sz w:val="18"/>
        </w:rPr>
        <w:t xml:space="preserve"> </w:t>
      </w:r>
      <w:r>
        <w:rPr>
          <w:sz w:val="18"/>
        </w:rPr>
        <w:t>is</w:t>
      </w:r>
      <w:r>
        <w:rPr>
          <w:spacing w:val="-1"/>
          <w:sz w:val="18"/>
        </w:rPr>
        <w:t xml:space="preserve"> </w:t>
      </w:r>
      <w:r>
        <w:rPr>
          <w:sz w:val="18"/>
        </w:rPr>
        <w:t>noted that</w:t>
      </w:r>
      <w:r>
        <w:rPr>
          <w:spacing w:val="-1"/>
          <w:sz w:val="18"/>
        </w:rPr>
        <w:t xml:space="preserve"> </w:t>
      </w:r>
      <w:r>
        <w:rPr>
          <w:sz w:val="18"/>
        </w:rPr>
        <w:t>this</w:t>
      </w:r>
      <w:r>
        <w:rPr>
          <w:spacing w:val="-1"/>
          <w:sz w:val="18"/>
        </w:rPr>
        <w:t xml:space="preserve"> </w:t>
      </w:r>
      <w:r>
        <w:rPr>
          <w:sz w:val="18"/>
        </w:rPr>
        <w:t>process</w:t>
      </w:r>
      <w:r>
        <w:rPr>
          <w:spacing w:val="-2"/>
          <w:sz w:val="18"/>
        </w:rPr>
        <w:t xml:space="preserve"> </w:t>
      </w:r>
      <w:r>
        <w:rPr>
          <w:sz w:val="18"/>
        </w:rPr>
        <w:t>is</w:t>
      </w:r>
      <w:r>
        <w:rPr>
          <w:spacing w:val="-1"/>
          <w:sz w:val="18"/>
        </w:rPr>
        <w:t xml:space="preserve"> </w:t>
      </w:r>
      <w:r>
        <w:rPr>
          <w:sz w:val="18"/>
        </w:rPr>
        <w:t>different</w:t>
      </w:r>
      <w:r>
        <w:rPr>
          <w:spacing w:val="-3"/>
          <w:sz w:val="18"/>
        </w:rPr>
        <w:t xml:space="preserve"> </w:t>
      </w:r>
      <w:r>
        <w:rPr>
          <w:sz w:val="18"/>
        </w:rPr>
        <w:t>from</w:t>
      </w:r>
      <w:r>
        <w:rPr>
          <w:spacing w:val="-2"/>
          <w:sz w:val="18"/>
        </w:rPr>
        <w:t xml:space="preserve"> </w:t>
      </w:r>
      <w:r>
        <w:rPr>
          <w:sz w:val="18"/>
        </w:rPr>
        <w:t>the</w:t>
      </w:r>
      <w:r>
        <w:rPr>
          <w:spacing w:val="-2"/>
          <w:sz w:val="18"/>
        </w:rPr>
        <w:t xml:space="preserve"> </w:t>
      </w:r>
      <w:r>
        <w:rPr>
          <w:sz w:val="18"/>
        </w:rPr>
        <w:t>model</w:t>
      </w:r>
      <w:r>
        <w:rPr>
          <w:spacing w:val="-1"/>
          <w:sz w:val="18"/>
        </w:rPr>
        <w:t xml:space="preserve"> </w:t>
      </w:r>
      <w:r>
        <w:rPr>
          <w:sz w:val="18"/>
        </w:rPr>
        <w:t>under</w:t>
      </w:r>
      <w:r>
        <w:rPr>
          <w:spacing w:val="-1"/>
          <w:sz w:val="18"/>
        </w:rPr>
        <w:t xml:space="preserve"> </w:t>
      </w:r>
      <w:r>
        <w:rPr>
          <w:sz w:val="18"/>
        </w:rPr>
        <w:t>the</w:t>
      </w:r>
      <w:r>
        <w:rPr>
          <w:spacing w:val="-2"/>
          <w:sz w:val="18"/>
        </w:rPr>
        <w:t xml:space="preserve"> </w:t>
      </w:r>
      <w:r>
        <w:rPr>
          <w:sz w:val="18"/>
        </w:rPr>
        <w:t>Victorian Charter, as legislation is not invalidated if a court declares it to be incompatible: Ibid [4.11.13]–[4.11.18].</w:t>
      </w:r>
    </w:p>
    <w:p w14:paraId="7CB26257" w14:textId="77777777" w:rsidR="008A4099" w:rsidRDefault="008A4099">
      <w:pPr>
        <w:spacing w:line="244" w:lineRule="auto"/>
        <w:rPr>
          <w:sz w:val="18"/>
        </w:rPr>
        <w:sectPr w:rsidR="008A4099" w:rsidSect="00D43B2D">
          <w:pgSz w:w="11910" w:h="16840"/>
          <w:pgMar w:top="980" w:right="760" w:bottom="940" w:left="1280" w:header="718" w:footer="753" w:gutter="0"/>
          <w:cols w:space="720"/>
        </w:sectPr>
      </w:pPr>
    </w:p>
    <w:p w14:paraId="7CB26258" w14:textId="77777777" w:rsidR="008A4099" w:rsidRDefault="008A4099">
      <w:pPr>
        <w:pStyle w:val="BodyText"/>
        <w:spacing w:before="194"/>
      </w:pPr>
    </w:p>
    <w:p w14:paraId="7CB26259" w14:textId="77777777" w:rsidR="008A4099" w:rsidRDefault="006A6EE2">
      <w:pPr>
        <w:pStyle w:val="BodyText"/>
        <w:ind w:left="160"/>
      </w:pPr>
      <w:r>
        <w:t>support allowing the use of</w:t>
      </w:r>
      <w:r>
        <w:rPr>
          <w:spacing w:val="-2"/>
        </w:rPr>
        <w:t xml:space="preserve"> </w:t>
      </w:r>
      <w:r>
        <w:t>override declarations in exceptional circumstances. This is consistent with Recommendation 10 of the 2007 Final Report (see Appendix A).</w:t>
      </w:r>
    </w:p>
    <w:p w14:paraId="7CB2625A" w14:textId="77777777" w:rsidR="008A4099" w:rsidRDefault="006A6EE2">
      <w:pPr>
        <w:pStyle w:val="ListParagraph"/>
        <w:numPr>
          <w:ilvl w:val="2"/>
          <w:numId w:val="3"/>
        </w:numPr>
        <w:tabs>
          <w:tab w:val="left" w:pos="879"/>
        </w:tabs>
        <w:ind w:right="676" w:firstLine="0"/>
        <w:jc w:val="both"/>
        <w:rPr>
          <w:sz w:val="13"/>
        </w:rPr>
      </w:pPr>
      <w:r>
        <w:t>As</w:t>
      </w:r>
      <w:r>
        <w:rPr>
          <w:spacing w:val="-16"/>
        </w:rPr>
        <w:t xml:space="preserve"> </w:t>
      </w:r>
      <w:r>
        <w:t>with</w:t>
      </w:r>
      <w:r>
        <w:rPr>
          <w:spacing w:val="-14"/>
        </w:rPr>
        <w:t xml:space="preserve"> </w:t>
      </w:r>
      <w:r>
        <w:t>the</w:t>
      </w:r>
      <w:r>
        <w:rPr>
          <w:spacing w:val="-14"/>
        </w:rPr>
        <w:t xml:space="preserve"> </w:t>
      </w:r>
      <w:r>
        <w:t>2007</w:t>
      </w:r>
      <w:r>
        <w:rPr>
          <w:spacing w:val="-13"/>
        </w:rPr>
        <w:t xml:space="preserve"> </w:t>
      </w:r>
      <w:r>
        <w:t>Final</w:t>
      </w:r>
      <w:r>
        <w:rPr>
          <w:spacing w:val="-14"/>
        </w:rPr>
        <w:t xml:space="preserve"> </w:t>
      </w:r>
      <w:r>
        <w:t>Report,</w:t>
      </w:r>
      <w:r>
        <w:rPr>
          <w:spacing w:val="-14"/>
        </w:rPr>
        <w:t xml:space="preserve"> </w:t>
      </w:r>
      <w:r>
        <w:t>the</w:t>
      </w:r>
      <w:r>
        <w:rPr>
          <w:spacing w:val="-14"/>
        </w:rPr>
        <w:t xml:space="preserve"> </w:t>
      </w:r>
      <w:r>
        <w:t>override</w:t>
      </w:r>
      <w:r>
        <w:rPr>
          <w:spacing w:val="-13"/>
        </w:rPr>
        <w:t xml:space="preserve"> </w:t>
      </w:r>
      <w:r>
        <w:t>clause</w:t>
      </w:r>
      <w:r>
        <w:rPr>
          <w:spacing w:val="-14"/>
        </w:rPr>
        <w:t xml:space="preserve"> </w:t>
      </w:r>
      <w:r>
        <w:t>should</w:t>
      </w:r>
      <w:r>
        <w:rPr>
          <w:spacing w:val="-14"/>
        </w:rPr>
        <w:t xml:space="preserve"> </w:t>
      </w:r>
      <w:r>
        <w:t>be</w:t>
      </w:r>
      <w:r>
        <w:rPr>
          <w:spacing w:val="-14"/>
        </w:rPr>
        <w:t xml:space="preserve"> </w:t>
      </w:r>
      <w:r>
        <w:t>subject</w:t>
      </w:r>
      <w:r>
        <w:rPr>
          <w:spacing w:val="-13"/>
        </w:rPr>
        <w:t xml:space="preserve"> </w:t>
      </w:r>
      <w:r>
        <w:t>to</w:t>
      </w:r>
      <w:r>
        <w:rPr>
          <w:spacing w:val="-14"/>
        </w:rPr>
        <w:t xml:space="preserve"> </w:t>
      </w:r>
      <w:r>
        <w:t>a</w:t>
      </w:r>
      <w:r>
        <w:rPr>
          <w:spacing w:val="-14"/>
        </w:rPr>
        <w:t xml:space="preserve"> </w:t>
      </w:r>
      <w:r>
        <w:t>two-year</w:t>
      </w:r>
      <w:r>
        <w:rPr>
          <w:spacing w:val="-14"/>
        </w:rPr>
        <w:t xml:space="preserve"> </w:t>
      </w:r>
      <w:r>
        <w:t>sunset</w:t>
      </w:r>
      <w:r>
        <w:rPr>
          <w:spacing w:val="-13"/>
        </w:rPr>
        <w:t xml:space="preserve"> </w:t>
      </w:r>
      <w:r>
        <w:t>clause. The TLRI also recommended that Parliament be able to reinstitute override declarations prior to expiration of the two-year period.</w:t>
      </w:r>
      <w:r>
        <w:rPr>
          <w:position w:val="7"/>
          <w:sz w:val="13"/>
        </w:rPr>
        <w:t>476</w:t>
      </w:r>
    </w:p>
    <w:p w14:paraId="7CB2625B" w14:textId="77777777" w:rsidR="008A4099" w:rsidRDefault="006A6EE2">
      <w:pPr>
        <w:pStyle w:val="BodyText"/>
        <w:spacing w:before="9"/>
        <w:rPr>
          <w:sz w:val="16"/>
        </w:rPr>
      </w:pPr>
      <w:r>
        <w:rPr>
          <w:noProof/>
        </w:rPr>
        <mc:AlternateContent>
          <mc:Choice Requires="wps">
            <w:drawing>
              <wp:anchor distT="0" distB="0" distL="0" distR="0" simplePos="0" relativeHeight="487632896" behindDoc="1" locked="0" layoutInCell="1" allowOverlap="1" wp14:anchorId="7CB26689" wp14:editId="7CB2668A">
                <wp:simplePos x="0" y="0"/>
                <wp:positionH relativeFrom="page">
                  <wp:posOffset>917752</wp:posOffset>
                </wp:positionH>
                <wp:positionV relativeFrom="paragraph">
                  <wp:posOffset>138259</wp:posOffset>
                </wp:positionV>
                <wp:extent cx="5727065" cy="1568450"/>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568450"/>
                        </a:xfrm>
                        <a:prstGeom prst="rect">
                          <a:avLst/>
                        </a:prstGeom>
                        <a:solidFill>
                          <a:srgbClr val="E8E8E8"/>
                        </a:solidFill>
                      </wps:spPr>
                      <wps:txbx>
                        <w:txbxContent>
                          <w:p w14:paraId="7CB26787" w14:textId="77777777" w:rsidR="008A4099" w:rsidRDefault="006A6EE2">
                            <w:pPr>
                              <w:spacing w:before="219"/>
                              <w:ind w:left="108"/>
                              <w:rPr>
                                <w:b/>
                                <w:color w:val="000000"/>
                                <w:sz w:val="23"/>
                              </w:rPr>
                            </w:pPr>
                            <w:r>
                              <w:rPr>
                                <w:b/>
                                <w:color w:val="000000"/>
                                <w:sz w:val="23"/>
                              </w:rPr>
                              <w:t>Recommendation</w:t>
                            </w:r>
                            <w:r>
                              <w:rPr>
                                <w:b/>
                                <w:color w:val="000000"/>
                                <w:spacing w:val="-4"/>
                                <w:sz w:val="23"/>
                              </w:rPr>
                              <w:t xml:space="preserve"> </w:t>
                            </w:r>
                            <w:r>
                              <w:rPr>
                                <w:b/>
                                <w:color w:val="000000"/>
                                <w:sz w:val="23"/>
                              </w:rPr>
                              <w:t>12</w:t>
                            </w:r>
                            <w:r>
                              <w:rPr>
                                <w:b/>
                                <w:color w:val="000000"/>
                                <w:spacing w:val="-3"/>
                                <w:sz w:val="23"/>
                              </w:rPr>
                              <w:t xml:space="preserve"> </w:t>
                            </w:r>
                            <w:r>
                              <w:rPr>
                                <w:b/>
                                <w:color w:val="000000"/>
                                <w:sz w:val="23"/>
                              </w:rPr>
                              <w:t>–</w:t>
                            </w:r>
                            <w:r>
                              <w:rPr>
                                <w:b/>
                                <w:color w:val="000000"/>
                                <w:spacing w:val="-3"/>
                                <w:sz w:val="23"/>
                              </w:rPr>
                              <w:t xml:space="preserve"> </w:t>
                            </w:r>
                            <w:r>
                              <w:rPr>
                                <w:b/>
                                <w:color w:val="000000"/>
                                <w:sz w:val="23"/>
                              </w:rPr>
                              <w:t>Override</w:t>
                            </w:r>
                            <w:r>
                              <w:rPr>
                                <w:b/>
                                <w:color w:val="000000"/>
                                <w:spacing w:val="-2"/>
                                <w:sz w:val="23"/>
                              </w:rPr>
                              <w:t xml:space="preserve"> Clauses</w:t>
                            </w:r>
                          </w:p>
                          <w:p w14:paraId="7CB26788" w14:textId="77777777" w:rsidR="008A4099" w:rsidRDefault="006A6EE2">
                            <w:pPr>
                              <w:pStyle w:val="BodyText"/>
                              <w:spacing w:before="239"/>
                              <w:ind w:left="108"/>
                              <w:rPr>
                                <w:color w:val="000000"/>
                              </w:rPr>
                            </w:pPr>
                            <w:r>
                              <w:rPr>
                                <w:color w:val="000000"/>
                              </w:rPr>
                              <w:t>That,</w:t>
                            </w:r>
                            <w:r>
                              <w:rPr>
                                <w:color w:val="000000"/>
                                <w:spacing w:val="36"/>
                              </w:rPr>
                              <w:t xml:space="preserve"> </w:t>
                            </w:r>
                            <w:r>
                              <w:rPr>
                                <w:color w:val="000000"/>
                              </w:rPr>
                              <w:t>in</w:t>
                            </w:r>
                            <w:r>
                              <w:rPr>
                                <w:color w:val="000000"/>
                                <w:spacing w:val="33"/>
                              </w:rPr>
                              <w:t xml:space="preserve"> </w:t>
                            </w:r>
                            <w:r>
                              <w:rPr>
                                <w:color w:val="000000"/>
                              </w:rPr>
                              <w:t>recognition</w:t>
                            </w:r>
                            <w:r>
                              <w:rPr>
                                <w:color w:val="000000"/>
                                <w:spacing w:val="36"/>
                              </w:rPr>
                              <w:t xml:space="preserve"> </w:t>
                            </w:r>
                            <w:r>
                              <w:rPr>
                                <w:color w:val="000000"/>
                              </w:rPr>
                              <w:t>of</w:t>
                            </w:r>
                            <w:r>
                              <w:rPr>
                                <w:color w:val="000000"/>
                                <w:spacing w:val="37"/>
                              </w:rPr>
                              <w:t xml:space="preserve"> </w:t>
                            </w:r>
                            <w:r>
                              <w:rPr>
                                <w:color w:val="000000"/>
                              </w:rPr>
                              <w:t>the</w:t>
                            </w:r>
                            <w:r>
                              <w:rPr>
                                <w:color w:val="000000"/>
                                <w:spacing w:val="36"/>
                              </w:rPr>
                              <w:t xml:space="preserve"> </w:t>
                            </w:r>
                            <w:r>
                              <w:rPr>
                                <w:color w:val="000000"/>
                              </w:rPr>
                              <w:t>primacy</w:t>
                            </w:r>
                            <w:r>
                              <w:rPr>
                                <w:color w:val="000000"/>
                                <w:spacing w:val="36"/>
                              </w:rPr>
                              <w:t xml:space="preserve"> </w:t>
                            </w:r>
                            <w:r>
                              <w:rPr>
                                <w:color w:val="000000"/>
                              </w:rPr>
                              <w:t>of</w:t>
                            </w:r>
                            <w:r>
                              <w:rPr>
                                <w:color w:val="000000"/>
                                <w:spacing w:val="37"/>
                              </w:rPr>
                              <w:t xml:space="preserve"> </w:t>
                            </w:r>
                            <w:r>
                              <w:rPr>
                                <w:color w:val="000000"/>
                              </w:rPr>
                              <w:t>Parliament,</w:t>
                            </w:r>
                            <w:r>
                              <w:rPr>
                                <w:color w:val="000000"/>
                                <w:spacing w:val="36"/>
                              </w:rPr>
                              <w:t xml:space="preserve"> </w:t>
                            </w:r>
                            <w:r>
                              <w:rPr>
                                <w:color w:val="000000"/>
                              </w:rPr>
                              <w:t>Parliament</w:t>
                            </w:r>
                            <w:r>
                              <w:rPr>
                                <w:color w:val="000000"/>
                                <w:spacing w:val="37"/>
                              </w:rPr>
                              <w:t xml:space="preserve"> </w:t>
                            </w:r>
                            <w:r>
                              <w:rPr>
                                <w:color w:val="000000"/>
                              </w:rPr>
                              <w:t>be</w:t>
                            </w:r>
                            <w:r>
                              <w:rPr>
                                <w:color w:val="000000"/>
                                <w:spacing w:val="36"/>
                              </w:rPr>
                              <w:t xml:space="preserve"> </w:t>
                            </w:r>
                            <w:r>
                              <w:rPr>
                                <w:color w:val="000000"/>
                              </w:rPr>
                              <w:t>able</w:t>
                            </w:r>
                            <w:r>
                              <w:rPr>
                                <w:color w:val="000000"/>
                                <w:spacing w:val="36"/>
                              </w:rPr>
                              <w:t xml:space="preserve"> </w:t>
                            </w:r>
                            <w:r>
                              <w:rPr>
                                <w:color w:val="000000"/>
                              </w:rPr>
                              <w:t>to</w:t>
                            </w:r>
                            <w:r>
                              <w:rPr>
                                <w:color w:val="000000"/>
                                <w:spacing w:val="36"/>
                              </w:rPr>
                              <w:t xml:space="preserve"> </w:t>
                            </w:r>
                            <w:r>
                              <w:rPr>
                                <w:color w:val="000000"/>
                              </w:rPr>
                              <w:t>respond</w:t>
                            </w:r>
                            <w:r>
                              <w:rPr>
                                <w:color w:val="000000"/>
                                <w:spacing w:val="36"/>
                              </w:rPr>
                              <w:t xml:space="preserve"> </w:t>
                            </w:r>
                            <w:r>
                              <w:rPr>
                                <w:color w:val="000000"/>
                              </w:rPr>
                              <w:t>to</w:t>
                            </w:r>
                            <w:r>
                              <w:rPr>
                                <w:color w:val="000000"/>
                                <w:spacing w:val="36"/>
                              </w:rPr>
                              <w:t xml:space="preserve"> </w:t>
                            </w:r>
                            <w:r>
                              <w:rPr>
                                <w:color w:val="000000"/>
                              </w:rPr>
                              <w:t>a</w:t>
                            </w:r>
                            <w:r>
                              <w:rPr>
                                <w:color w:val="000000"/>
                                <w:spacing w:val="36"/>
                              </w:rPr>
                              <w:t xml:space="preserve"> </w:t>
                            </w:r>
                            <w:r>
                              <w:rPr>
                                <w:color w:val="000000"/>
                              </w:rPr>
                              <w:t>court’s declaration of incompatibility by enacting an override clause to confirm the legislation.</w:t>
                            </w:r>
                          </w:p>
                          <w:p w14:paraId="7CB26789" w14:textId="77777777" w:rsidR="008A4099" w:rsidRDefault="006A6EE2">
                            <w:pPr>
                              <w:pStyle w:val="BodyText"/>
                              <w:spacing w:before="123" w:line="352" w:lineRule="auto"/>
                              <w:ind w:left="108" w:right="2708"/>
                              <w:rPr>
                                <w:color w:val="000000"/>
                              </w:rPr>
                            </w:pPr>
                            <w:r>
                              <w:rPr>
                                <w:color w:val="000000"/>
                              </w:rPr>
                              <w:t>The</w:t>
                            </w:r>
                            <w:r>
                              <w:rPr>
                                <w:color w:val="000000"/>
                                <w:spacing w:val="-5"/>
                              </w:rPr>
                              <w:t xml:space="preserve"> </w:t>
                            </w:r>
                            <w:r>
                              <w:rPr>
                                <w:color w:val="000000"/>
                              </w:rPr>
                              <w:t>override</w:t>
                            </w:r>
                            <w:r>
                              <w:rPr>
                                <w:color w:val="000000"/>
                                <w:spacing w:val="-6"/>
                              </w:rPr>
                              <w:t xml:space="preserve"> </w:t>
                            </w:r>
                            <w:r>
                              <w:rPr>
                                <w:color w:val="000000"/>
                              </w:rPr>
                              <w:t>clauses</w:t>
                            </w:r>
                            <w:r>
                              <w:rPr>
                                <w:color w:val="000000"/>
                                <w:spacing w:val="-6"/>
                              </w:rPr>
                              <w:t xml:space="preserve"> </w:t>
                            </w:r>
                            <w:r>
                              <w:rPr>
                                <w:color w:val="000000"/>
                              </w:rPr>
                              <w:t>should</w:t>
                            </w:r>
                            <w:r>
                              <w:rPr>
                                <w:color w:val="000000"/>
                                <w:spacing w:val="-5"/>
                              </w:rPr>
                              <w:t xml:space="preserve"> </w:t>
                            </w:r>
                            <w:r>
                              <w:rPr>
                                <w:color w:val="000000"/>
                              </w:rPr>
                              <w:t>be</w:t>
                            </w:r>
                            <w:r>
                              <w:rPr>
                                <w:color w:val="000000"/>
                                <w:spacing w:val="-5"/>
                              </w:rPr>
                              <w:t xml:space="preserve"> </w:t>
                            </w:r>
                            <w:r>
                              <w:rPr>
                                <w:color w:val="000000"/>
                              </w:rPr>
                              <w:t>confined</w:t>
                            </w:r>
                            <w:r>
                              <w:rPr>
                                <w:color w:val="000000"/>
                                <w:spacing w:val="-6"/>
                              </w:rPr>
                              <w:t xml:space="preserve"> </w:t>
                            </w:r>
                            <w:r>
                              <w:rPr>
                                <w:color w:val="000000"/>
                              </w:rPr>
                              <w:t>to</w:t>
                            </w:r>
                            <w:r>
                              <w:rPr>
                                <w:color w:val="000000"/>
                                <w:spacing w:val="-5"/>
                              </w:rPr>
                              <w:t xml:space="preserve"> </w:t>
                            </w:r>
                            <w:r>
                              <w:rPr>
                                <w:color w:val="000000"/>
                              </w:rPr>
                              <w:t>exceptional</w:t>
                            </w:r>
                            <w:r>
                              <w:rPr>
                                <w:color w:val="000000"/>
                                <w:spacing w:val="-4"/>
                              </w:rPr>
                              <w:t xml:space="preserve"> </w:t>
                            </w:r>
                            <w:r>
                              <w:rPr>
                                <w:color w:val="000000"/>
                              </w:rPr>
                              <w:t>circumstances. The override clauses should be subject to a two-year sunset clause.</w:t>
                            </w:r>
                          </w:p>
                          <w:p w14:paraId="7CB2678A" w14:textId="77777777" w:rsidR="008A4099" w:rsidRDefault="006A6EE2">
                            <w:pPr>
                              <w:pStyle w:val="BodyText"/>
                              <w:spacing w:before="4"/>
                              <w:ind w:left="108"/>
                              <w:rPr>
                                <w:color w:val="000000"/>
                              </w:rPr>
                            </w:pPr>
                            <w:r>
                              <w:rPr>
                                <w:color w:val="000000"/>
                              </w:rPr>
                              <w:t>Parliament</w:t>
                            </w:r>
                            <w:r>
                              <w:rPr>
                                <w:color w:val="000000"/>
                                <w:spacing w:val="-4"/>
                              </w:rPr>
                              <w:t xml:space="preserve"> </w:t>
                            </w:r>
                            <w:r>
                              <w:rPr>
                                <w:color w:val="000000"/>
                              </w:rPr>
                              <w:t>should</w:t>
                            </w:r>
                            <w:r>
                              <w:rPr>
                                <w:color w:val="000000"/>
                                <w:spacing w:val="-6"/>
                              </w:rPr>
                              <w:t xml:space="preserve"> </w:t>
                            </w:r>
                            <w:r>
                              <w:rPr>
                                <w:color w:val="000000"/>
                              </w:rPr>
                              <w:t>be</w:t>
                            </w:r>
                            <w:r>
                              <w:rPr>
                                <w:color w:val="000000"/>
                                <w:spacing w:val="-2"/>
                              </w:rPr>
                              <w:t xml:space="preserve"> </w:t>
                            </w:r>
                            <w:r>
                              <w:rPr>
                                <w:color w:val="000000"/>
                              </w:rPr>
                              <w:t>able</w:t>
                            </w:r>
                            <w:r>
                              <w:rPr>
                                <w:color w:val="000000"/>
                                <w:spacing w:val="-5"/>
                              </w:rPr>
                              <w:t xml:space="preserve"> </w:t>
                            </w:r>
                            <w:r>
                              <w:rPr>
                                <w:color w:val="000000"/>
                              </w:rPr>
                              <w:t>to</w:t>
                            </w:r>
                            <w:r>
                              <w:rPr>
                                <w:color w:val="000000"/>
                                <w:spacing w:val="-3"/>
                              </w:rPr>
                              <w:t xml:space="preserve"> </w:t>
                            </w:r>
                            <w:r>
                              <w:rPr>
                                <w:color w:val="000000"/>
                              </w:rPr>
                              <w:t>reinstitute</w:t>
                            </w:r>
                            <w:r>
                              <w:rPr>
                                <w:color w:val="000000"/>
                                <w:spacing w:val="-2"/>
                              </w:rPr>
                              <w:t xml:space="preserve"> </w:t>
                            </w:r>
                            <w:r>
                              <w:rPr>
                                <w:color w:val="000000"/>
                              </w:rPr>
                              <w:t>override</w:t>
                            </w:r>
                            <w:r>
                              <w:rPr>
                                <w:color w:val="000000"/>
                                <w:spacing w:val="-5"/>
                              </w:rPr>
                              <w:t xml:space="preserve"> </w:t>
                            </w:r>
                            <w:r>
                              <w:rPr>
                                <w:color w:val="000000"/>
                              </w:rPr>
                              <w:t>clauses</w:t>
                            </w:r>
                            <w:r>
                              <w:rPr>
                                <w:color w:val="000000"/>
                                <w:spacing w:val="-3"/>
                              </w:rPr>
                              <w:t xml:space="preserve"> </w:t>
                            </w:r>
                            <w:r>
                              <w:rPr>
                                <w:color w:val="000000"/>
                              </w:rPr>
                              <w:t>prior</w:t>
                            </w:r>
                            <w:r>
                              <w:rPr>
                                <w:color w:val="000000"/>
                                <w:spacing w:val="-4"/>
                              </w:rPr>
                              <w:t xml:space="preserve"> </w:t>
                            </w:r>
                            <w:r>
                              <w:rPr>
                                <w:color w:val="000000"/>
                              </w:rPr>
                              <w:t>to</w:t>
                            </w:r>
                            <w:r>
                              <w:rPr>
                                <w:color w:val="000000"/>
                                <w:spacing w:val="-3"/>
                              </w:rPr>
                              <w:t xml:space="preserve"> </w:t>
                            </w:r>
                            <w:r>
                              <w:rPr>
                                <w:color w:val="000000"/>
                              </w:rPr>
                              <w:t>expiration</w:t>
                            </w:r>
                            <w:r>
                              <w:rPr>
                                <w:color w:val="000000"/>
                                <w:spacing w:val="-6"/>
                              </w:rPr>
                              <w:t xml:space="preserve"> </w:t>
                            </w:r>
                            <w:r>
                              <w:rPr>
                                <w:color w:val="000000"/>
                              </w:rPr>
                              <w:t>of</w:t>
                            </w:r>
                            <w:r>
                              <w:rPr>
                                <w:color w:val="000000"/>
                                <w:spacing w:val="-4"/>
                              </w:rPr>
                              <w:t xml:space="preserve"> </w:t>
                            </w:r>
                            <w:r>
                              <w:rPr>
                                <w:color w:val="000000"/>
                              </w:rPr>
                              <w:t>the</w:t>
                            </w:r>
                            <w:r>
                              <w:rPr>
                                <w:color w:val="000000"/>
                                <w:spacing w:val="-5"/>
                              </w:rPr>
                              <w:t xml:space="preserve"> </w:t>
                            </w:r>
                            <w:r>
                              <w:rPr>
                                <w:color w:val="000000"/>
                              </w:rPr>
                              <w:t>two-year</w:t>
                            </w:r>
                            <w:r>
                              <w:rPr>
                                <w:color w:val="000000"/>
                                <w:spacing w:val="-2"/>
                              </w:rPr>
                              <w:t xml:space="preserve"> period.</w:t>
                            </w:r>
                          </w:p>
                        </w:txbxContent>
                      </wps:txbx>
                      <wps:bodyPr wrap="square" lIns="0" tIns="0" rIns="0" bIns="0" rtlCol="0">
                        <a:noAutofit/>
                      </wps:bodyPr>
                    </wps:wsp>
                  </a:graphicData>
                </a:graphic>
              </wp:anchor>
            </w:drawing>
          </mc:Choice>
          <mc:Fallback>
            <w:pict>
              <v:shape w14:anchorId="7CB26689" id="Textbox 136" o:spid="_x0000_s1038" type="#_x0000_t202" style="position:absolute;margin-left:72.25pt;margin-top:10.9pt;width:450.95pt;height:123.5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" fillcolor="#e8e8e8" stroked="f">
                <v:textbox inset="0,0,0,0">
                  <w:txbxContent>
                    <w:p w14:paraId="7CB26787" w14:textId="77777777" w:rsidR="008A4099" w:rsidRDefault="006A6EE2">
                      <w:pPr>
                        <w:spacing w:before="219"/>
                        <w:ind w:left="108"/>
                        <w:rPr>
                          <w:b/>
                          <w:color w:val="000000"/>
                          <w:sz w:val="23"/>
                        </w:rPr>
                      </w:pPr>
                      <w:r>
                        <w:rPr>
                          <w:b/>
                          <w:color w:val="000000"/>
                          <w:sz w:val="23"/>
                        </w:rPr>
                        <w:t>Recommendation</w:t>
                      </w:r>
                      <w:r>
                        <w:rPr>
                          <w:b/>
                          <w:color w:val="000000"/>
                          <w:spacing w:val="-4"/>
                          <w:sz w:val="23"/>
                        </w:rPr>
                        <w:t xml:space="preserve"> </w:t>
                      </w:r>
                      <w:r>
                        <w:rPr>
                          <w:b/>
                          <w:color w:val="000000"/>
                          <w:sz w:val="23"/>
                        </w:rPr>
                        <w:t>12</w:t>
                      </w:r>
                      <w:r>
                        <w:rPr>
                          <w:b/>
                          <w:color w:val="000000"/>
                          <w:spacing w:val="-3"/>
                          <w:sz w:val="23"/>
                        </w:rPr>
                        <w:t xml:space="preserve"> </w:t>
                      </w:r>
                      <w:r>
                        <w:rPr>
                          <w:b/>
                          <w:color w:val="000000"/>
                          <w:sz w:val="23"/>
                        </w:rPr>
                        <w:t>–</w:t>
                      </w:r>
                      <w:r>
                        <w:rPr>
                          <w:b/>
                          <w:color w:val="000000"/>
                          <w:spacing w:val="-3"/>
                          <w:sz w:val="23"/>
                        </w:rPr>
                        <w:t xml:space="preserve"> </w:t>
                      </w:r>
                      <w:r>
                        <w:rPr>
                          <w:b/>
                          <w:color w:val="000000"/>
                          <w:sz w:val="23"/>
                        </w:rPr>
                        <w:t>Override</w:t>
                      </w:r>
                      <w:r>
                        <w:rPr>
                          <w:b/>
                          <w:color w:val="000000"/>
                          <w:spacing w:val="-2"/>
                          <w:sz w:val="23"/>
                        </w:rPr>
                        <w:t xml:space="preserve"> Clauses</w:t>
                      </w:r>
                    </w:p>
                    <w:p w14:paraId="7CB26788" w14:textId="77777777" w:rsidR="008A4099" w:rsidRDefault="006A6EE2">
                      <w:pPr>
                        <w:pStyle w:val="BodyText"/>
                        <w:spacing w:before="239"/>
                        <w:ind w:left="108"/>
                        <w:rPr>
                          <w:color w:val="000000"/>
                        </w:rPr>
                      </w:pPr>
                      <w:r>
                        <w:rPr>
                          <w:color w:val="000000"/>
                        </w:rPr>
                        <w:t>That,</w:t>
                      </w:r>
                      <w:r>
                        <w:rPr>
                          <w:color w:val="000000"/>
                          <w:spacing w:val="36"/>
                        </w:rPr>
                        <w:t xml:space="preserve"> </w:t>
                      </w:r>
                      <w:r>
                        <w:rPr>
                          <w:color w:val="000000"/>
                        </w:rPr>
                        <w:t>in</w:t>
                      </w:r>
                      <w:r>
                        <w:rPr>
                          <w:color w:val="000000"/>
                          <w:spacing w:val="33"/>
                        </w:rPr>
                        <w:t xml:space="preserve"> </w:t>
                      </w:r>
                      <w:r>
                        <w:rPr>
                          <w:color w:val="000000"/>
                        </w:rPr>
                        <w:t>recognition</w:t>
                      </w:r>
                      <w:r>
                        <w:rPr>
                          <w:color w:val="000000"/>
                          <w:spacing w:val="36"/>
                        </w:rPr>
                        <w:t xml:space="preserve"> </w:t>
                      </w:r>
                      <w:r>
                        <w:rPr>
                          <w:color w:val="000000"/>
                        </w:rPr>
                        <w:t>of</w:t>
                      </w:r>
                      <w:r>
                        <w:rPr>
                          <w:color w:val="000000"/>
                          <w:spacing w:val="37"/>
                        </w:rPr>
                        <w:t xml:space="preserve"> </w:t>
                      </w:r>
                      <w:r>
                        <w:rPr>
                          <w:color w:val="000000"/>
                        </w:rPr>
                        <w:t>the</w:t>
                      </w:r>
                      <w:r>
                        <w:rPr>
                          <w:color w:val="000000"/>
                          <w:spacing w:val="36"/>
                        </w:rPr>
                        <w:t xml:space="preserve"> </w:t>
                      </w:r>
                      <w:r>
                        <w:rPr>
                          <w:color w:val="000000"/>
                        </w:rPr>
                        <w:t>primacy</w:t>
                      </w:r>
                      <w:r>
                        <w:rPr>
                          <w:color w:val="000000"/>
                          <w:spacing w:val="36"/>
                        </w:rPr>
                        <w:t xml:space="preserve"> </w:t>
                      </w:r>
                      <w:r>
                        <w:rPr>
                          <w:color w:val="000000"/>
                        </w:rPr>
                        <w:t>of</w:t>
                      </w:r>
                      <w:r>
                        <w:rPr>
                          <w:color w:val="000000"/>
                          <w:spacing w:val="37"/>
                        </w:rPr>
                        <w:t xml:space="preserve"> </w:t>
                      </w:r>
                      <w:r>
                        <w:rPr>
                          <w:color w:val="000000"/>
                        </w:rPr>
                        <w:t>Parliament,</w:t>
                      </w:r>
                      <w:r>
                        <w:rPr>
                          <w:color w:val="000000"/>
                          <w:spacing w:val="36"/>
                        </w:rPr>
                        <w:t xml:space="preserve"> </w:t>
                      </w:r>
                      <w:r>
                        <w:rPr>
                          <w:color w:val="000000"/>
                        </w:rPr>
                        <w:t>Parliament</w:t>
                      </w:r>
                      <w:r>
                        <w:rPr>
                          <w:color w:val="000000"/>
                          <w:spacing w:val="37"/>
                        </w:rPr>
                        <w:t xml:space="preserve"> </w:t>
                      </w:r>
                      <w:r>
                        <w:rPr>
                          <w:color w:val="000000"/>
                        </w:rPr>
                        <w:t>be</w:t>
                      </w:r>
                      <w:r>
                        <w:rPr>
                          <w:color w:val="000000"/>
                          <w:spacing w:val="36"/>
                        </w:rPr>
                        <w:t xml:space="preserve"> </w:t>
                      </w:r>
                      <w:r>
                        <w:rPr>
                          <w:color w:val="000000"/>
                        </w:rPr>
                        <w:t>able</w:t>
                      </w:r>
                      <w:r>
                        <w:rPr>
                          <w:color w:val="000000"/>
                          <w:spacing w:val="36"/>
                        </w:rPr>
                        <w:t xml:space="preserve"> </w:t>
                      </w:r>
                      <w:r>
                        <w:rPr>
                          <w:color w:val="000000"/>
                        </w:rPr>
                        <w:t>to</w:t>
                      </w:r>
                      <w:r>
                        <w:rPr>
                          <w:color w:val="000000"/>
                          <w:spacing w:val="36"/>
                        </w:rPr>
                        <w:t xml:space="preserve"> </w:t>
                      </w:r>
                      <w:r>
                        <w:rPr>
                          <w:color w:val="000000"/>
                        </w:rPr>
                        <w:t>respond</w:t>
                      </w:r>
                      <w:r>
                        <w:rPr>
                          <w:color w:val="000000"/>
                          <w:spacing w:val="36"/>
                        </w:rPr>
                        <w:t xml:space="preserve"> </w:t>
                      </w:r>
                      <w:r>
                        <w:rPr>
                          <w:color w:val="000000"/>
                        </w:rPr>
                        <w:t>to</w:t>
                      </w:r>
                      <w:r>
                        <w:rPr>
                          <w:color w:val="000000"/>
                          <w:spacing w:val="36"/>
                        </w:rPr>
                        <w:t xml:space="preserve"> </w:t>
                      </w:r>
                      <w:r>
                        <w:rPr>
                          <w:color w:val="000000"/>
                        </w:rPr>
                        <w:t>a</w:t>
                      </w:r>
                      <w:r>
                        <w:rPr>
                          <w:color w:val="000000"/>
                          <w:spacing w:val="36"/>
                        </w:rPr>
                        <w:t xml:space="preserve"> </w:t>
                      </w:r>
                      <w:r>
                        <w:rPr>
                          <w:color w:val="000000"/>
                        </w:rPr>
                        <w:t>court’s declaration of incompatibility by enacting an override clause to confirm the legislation.</w:t>
                      </w:r>
                    </w:p>
                    <w:p w14:paraId="7CB26789" w14:textId="77777777" w:rsidR="008A4099" w:rsidRDefault="006A6EE2">
                      <w:pPr>
                        <w:pStyle w:val="BodyText"/>
                        <w:spacing w:before="123" w:line="352" w:lineRule="auto"/>
                        <w:ind w:left="108" w:right="2708"/>
                        <w:rPr>
                          <w:color w:val="000000"/>
                        </w:rPr>
                      </w:pPr>
                      <w:r>
                        <w:rPr>
                          <w:color w:val="000000"/>
                        </w:rPr>
                        <w:t>The</w:t>
                      </w:r>
                      <w:r>
                        <w:rPr>
                          <w:color w:val="000000"/>
                          <w:spacing w:val="-5"/>
                        </w:rPr>
                        <w:t xml:space="preserve"> </w:t>
                      </w:r>
                      <w:r>
                        <w:rPr>
                          <w:color w:val="000000"/>
                        </w:rPr>
                        <w:t>override</w:t>
                      </w:r>
                      <w:r>
                        <w:rPr>
                          <w:color w:val="000000"/>
                          <w:spacing w:val="-6"/>
                        </w:rPr>
                        <w:t xml:space="preserve"> </w:t>
                      </w:r>
                      <w:r>
                        <w:rPr>
                          <w:color w:val="000000"/>
                        </w:rPr>
                        <w:t>clauses</w:t>
                      </w:r>
                      <w:r>
                        <w:rPr>
                          <w:color w:val="000000"/>
                          <w:spacing w:val="-6"/>
                        </w:rPr>
                        <w:t xml:space="preserve"> </w:t>
                      </w:r>
                      <w:r>
                        <w:rPr>
                          <w:color w:val="000000"/>
                        </w:rPr>
                        <w:t>should</w:t>
                      </w:r>
                      <w:r>
                        <w:rPr>
                          <w:color w:val="000000"/>
                          <w:spacing w:val="-5"/>
                        </w:rPr>
                        <w:t xml:space="preserve"> </w:t>
                      </w:r>
                      <w:r>
                        <w:rPr>
                          <w:color w:val="000000"/>
                        </w:rPr>
                        <w:t>be</w:t>
                      </w:r>
                      <w:r>
                        <w:rPr>
                          <w:color w:val="000000"/>
                          <w:spacing w:val="-5"/>
                        </w:rPr>
                        <w:t xml:space="preserve"> </w:t>
                      </w:r>
                      <w:r>
                        <w:rPr>
                          <w:color w:val="000000"/>
                        </w:rPr>
                        <w:t>confined</w:t>
                      </w:r>
                      <w:r>
                        <w:rPr>
                          <w:color w:val="000000"/>
                          <w:spacing w:val="-6"/>
                        </w:rPr>
                        <w:t xml:space="preserve"> </w:t>
                      </w:r>
                      <w:r>
                        <w:rPr>
                          <w:color w:val="000000"/>
                        </w:rPr>
                        <w:t>to</w:t>
                      </w:r>
                      <w:r>
                        <w:rPr>
                          <w:color w:val="000000"/>
                          <w:spacing w:val="-5"/>
                        </w:rPr>
                        <w:t xml:space="preserve"> </w:t>
                      </w:r>
                      <w:r>
                        <w:rPr>
                          <w:color w:val="000000"/>
                        </w:rPr>
                        <w:t>exceptional</w:t>
                      </w:r>
                      <w:r>
                        <w:rPr>
                          <w:color w:val="000000"/>
                          <w:spacing w:val="-4"/>
                        </w:rPr>
                        <w:t xml:space="preserve"> </w:t>
                      </w:r>
                      <w:r>
                        <w:rPr>
                          <w:color w:val="000000"/>
                        </w:rPr>
                        <w:t>circumstances. The override clauses should be subject to a two-year sunset clause.</w:t>
                      </w:r>
                    </w:p>
                    <w:p w14:paraId="7CB2678A" w14:textId="77777777" w:rsidR="008A4099" w:rsidRDefault="006A6EE2">
                      <w:pPr>
                        <w:pStyle w:val="BodyText"/>
                        <w:spacing w:before="4"/>
                        <w:ind w:left="108"/>
                        <w:rPr>
                          <w:color w:val="000000"/>
                        </w:rPr>
                      </w:pPr>
                      <w:r>
                        <w:rPr>
                          <w:color w:val="000000"/>
                        </w:rPr>
                        <w:t>Parliament</w:t>
                      </w:r>
                      <w:r>
                        <w:rPr>
                          <w:color w:val="000000"/>
                          <w:spacing w:val="-4"/>
                        </w:rPr>
                        <w:t xml:space="preserve"> </w:t>
                      </w:r>
                      <w:r>
                        <w:rPr>
                          <w:color w:val="000000"/>
                        </w:rPr>
                        <w:t>should</w:t>
                      </w:r>
                      <w:r>
                        <w:rPr>
                          <w:color w:val="000000"/>
                          <w:spacing w:val="-6"/>
                        </w:rPr>
                        <w:t xml:space="preserve"> </w:t>
                      </w:r>
                      <w:r>
                        <w:rPr>
                          <w:color w:val="000000"/>
                        </w:rPr>
                        <w:t>be</w:t>
                      </w:r>
                      <w:r>
                        <w:rPr>
                          <w:color w:val="000000"/>
                          <w:spacing w:val="-2"/>
                        </w:rPr>
                        <w:t xml:space="preserve"> </w:t>
                      </w:r>
                      <w:r>
                        <w:rPr>
                          <w:color w:val="000000"/>
                        </w:rPr>
                        <w:t>able</w:t>
                      </w:r>
                      <w:r>
                        <w:rPr>
                          <w:color w:val="000000"/>
                          <w:spacing w:val="-5"/>
                        </w:rPr>
                        <w:t xml:space="preserve"> </w:t>
                      </w:r>
                      <w:r>
                        <w:rPr>
                          <w:color w:val="000000"/>
                        </w:rPr>
                        <w:t>to</w:t>
                      </w:r>
                      <w:r>
                        <w:rPr>
                          <w:color w:val="000000"/>
                          <w:spacing w:val="-3"/>
                        </w:rPr>
                        <w:t xml:space="preserve"> </w:t>
                      </w:r>
                      <w:r>
                        <w:rPr>
                          <w:color w:val="000000"/>
                        </w:rPr>
                        <w:t>reinstitute</w:t>
                      </w:r>
                      <w:r>
                        <w:rPr>
                          <w:color w:val="000000"/>
                          <w:spacing w:val="-2"/>
                        </w:rPr>
                        <w:t xml:space="preserve"> </w:t>
                      </w:r>
                      <w:r>
                        <w:rPr>
                          <w:color w:val="000000"/>
                        </w:rPr>
                        <w:t>override</w:t>
                      </w:r>
                      <w:r>
                        <w:rPr>
                          <w:color w:val="000000"/>
                          <w:spacing w:val="-5"/>
                        </w:rPr>
                        <w:t xml:space="preserve"> </w:t>
                      </w:r>
                      <w:r>
                        <w:rPr>
                          <w:color w:val="000000"/>
                        </w:rPr>
                        <w:t>clauses</w:t>
                      </w:r>
                      <w:r>
                        <w:rPr>
                          <w:color w:val="000000"/>
                          <w:spacing w:val="-3"/>
                        </w:rPr>
                        <w:t xml:space="preserve"> </w:t>
                      </w:r>
                      <w:r>
                        <w:rPr>
                          <w:color w:val="000000"/>
                        </w:rPr>
                        <w:t>prior</w:t>
                      </w:r>
                      <w:r>
                        <w:rPr>
                          <w:color w:val="000000"/>
                          <w:spacing w:val="-4"/>
                        </w:rPr>
                        <w:t xml:space="preserve"> </w:t>
                      </w:r>
                      <w:r>
                        <w:rPr>
                          <w:color w:val="000000"/>
                        </w:rPr>
                        <w:t>to</w:t>
                      </w:r>
                      <w:r>
                        <w:rPr>
                          <w:color w:val="000000"/>
                          <w:spacing w:val="-3"/>
                        </w:rPr>
                        <w:t xml:space="preserve"> </w:t>
                      </w:r>
                      <w:r>
                        <w:rPr>
                          <w:color w:val="000000"/>
                        </w:rPr>
                        <w:t>expiration</w:t>
                      </w:r>
                      <w:r>
                        <w:rPr>
                          <w:color w:val="000000"/>
                          <w:spacing w:val="-6"/>
                        </w:rPr>
                        <w:t xml:space="preserve"> </w:t>
                      </w:r>
                      <w:r>
                        <w:rPr>
                          <w:color w:val="000000"/>
                        </w:rPr>
                        <w:t>of</w:t>
                      </w:r>
                      <w:r>
                        <w:rPr>
                          <w:color w:val="000000"/>
                          <w:spacing w:val="-4"/>
                        </w:rPr>
                        <w:t xml:space="preserve"> </w:t>
                      </w:r>
                      <w:r>
                        <w:rPr>
                          <w:color w:val="000000"/>
                        </w:rPr>
                        <w:t>the</w:t>
                      </w:r>
                      <w:r>
                        <w:rPr>
                          <w:color w:val="000000"/>
                          <w:spacing w:val="-5"/>
                        </w:rPr>
                        <w:t xml:space="preserve"> </w:t>
                      </w:r>
                      <w:r>
                        <w:rPr>
                          <w:color w:val="000000"/>
                        </w:rPr>
                        <w:t>two-year</w:t>
                      </w:r>
                      <w:r>
                        <w:rPr>
                          <w:color w:val="000000"/>
                          <w:spacing w:val="-2"/>
                        </w:rPr>
                        <w:t xml:space="preserve"> period.</w:t>
                      </w:r>
                    </w:p>
                  </w:txbxContent>
                </v:textbox>
                <w10:wrap type="topAndBottom" anchorx="page"/>
              </v:shape>
            </w:pict>
          </mc:Fallback>
        </mc:AlternateContent>
      </w:r>
    </w:p>
    <w:p w14:paraId="7CB2625C" w14:textId="77777777" w:rsidR="008A4099" w:rsidRDefault="006A6EE2">
      <w:pPr>
        <w:pStyle w:val="Heading4"/>
      </w:pPr>
      <w:bookmarkStart w:id="50" w:name="_TOC_250010"/>
      <w:r>
        <w:t>Responding</w:t>
      </w:r>
      <w:r>
        <w:rPr>
          <w:spacing w:val="-4"/>
        </w:rPr>
        <w:t xml:space="preserve"> </w:t>
      </w:r>
      <w:r>
        <w:t>to</w:t>
      </w:r>
      <w:r>
        <w:rPr>
          <w:spacing w:val="-3"/>
        </w:rPr>
        <w:t xml:space="preserve"> </w:t>
      </w:r>
      <w:r>
        <w:t>declarations</w:t>
      </w:r>
      <w:r>
        <w:rPr>
          <w:spacing w:val="-3"/>
        </w:rPr>
        <w:t xml:space="preserve"> </w:t>
      </w:r>
      <w:r>
        <w:t>of</w:t>
      </w:r>
      <w:r>
        <w:rPr>
          <w:spacing w:val="-3"/>
        </w:rPr>
        <w:t xml:space="preserve"> </w:t>
      </w:r>
      <w:bookmarkEnd w:id="50"/>
      <w:r>
        <w:rPr>
          <w:spacing w:val="-2"/>
        </w:rPr>
        <w:t>incompatibility</w:t>
      </w:r>
    </w:p>
    <w:p w14:paraId="7CB2625D" w14:textId="77777777" w:rsidR="008A4099" w:rsidRDefault="008A4099">
      <w:pPr>
        <w:pStyle w:val="BodyText"/>
        <w:spacing w:before="15"/>
        <w:rPr>
          <w:b/>
          <w:i/>
          <w:sz w:val="23"/>
        </w:rPr>
      </w:pPr>
    </w:p>
    <w:p w14:paraId="7CB2625E" w14:textId="77777777" w:rsidR="008A4099" w:rsidRDefault="006A6EE2">
      <w:pPr>
        <w:pStyle w:val="Heading3"/>
      </w:pPr>
      <w:r>
        <w:t>2007</w:t>
      </w:r>
      <w:r>
        <w:rPr>
          <w:spacing w:val="-3"/>
        </w:rPr>
        <w:t xml:space="preserve"> </w:t>
      </w:r>
      <w:r>
        <w:t>Final</w:t>
      </w:r>
      <w:r>
        <w:rPr>
          <w:spacing w:val="-5"/>
        </w:rPr>
        <w:t xml:space="preserve"> </w:t>
      </w:r>
      <w:r>
        <w:t>report</w:t>
      </w:r>
      <w:r>
        <w:rPr>
          <w:spacing w:val="-2"/>
        </w:rPr>
        <w:t xml:space="preserve"> </w:t>
      </w:r>
      <w:r>
        <w:t>and</w:t>
      </w:r>
      <w:r>
        <w:rPr>
          <w:spacing w:val="-4"/>
        </w:rPr>
        <w:t xml:space="preserve"> </w:t>
      </w:r>
      <w:r>
        <w:t>subsequent</w:t>
      </w:r>
      <w:r>
        <w:rPr>
          <w:spacing w:val="-2"/>
        </w:rPr>
        <w:t xml:space="preserve"> developments</w:t>
      </w:r>
    </w:p>
    <w:p w14:paraId="7CB2625F" w14:textId="77777777" w:rsidR="008A4099" w:rsidRDefault="006A6EE2">
      <w:pPr>
        <w:pStyle w:val="ListParagraph"/>
        <w:numPr>
          <w:ilvl w:val="2"/>
          <w:numId w:val="3"/>
        </w:numPr>
        <w:tabs>
          <w:tab w:val="left" w:pos="879"/>
        </w:tabs>
        <w:spacing w:before="259"/>
        <w:ind w:right="671" w:firstLine="0"/>
        <w:jc w:val="both"/>
        <w:rPr>
          <w:sz w:val="13"/>
        </w:rPr>
      </w:pPr>
      <w:r>
        <w:t>In the 2007 Final Report, the TLRI recommended that, where the Supreme Court makes a declaration</w:t>
      </w:r>
      <w:r>
        <w:rPr>
          <w:spacing w:val="-14"/>
        </w:rPr>
        <w:t xml:space="preserve"> </w:t>
      </w:r>
      <w:r>
        <w:t>of</w:t>
      </w:r>
      <w:r>
        <w:rPr>
          <w:spacing w:val="-13"/>
        </w:rPr>
        <w:t xml:space="preserve"> </w:t>
      </w:r>
      <w:r>
        <w:t>incompatibility</w:t>
      </w:r>
      <w:r>
        <w:rPr>
          <w:spacing w:val="-14"/>
        </w:rPr>
        <w:t xml:space="preserve"> </w:t>
      </w:r>
      <w:r>
        <w:t>regarding</w:t>
      </w:r>
      <w:r>
        <w:rPr>
          <w:spacing w:val="-13"/>
        </w:rPr>
        <w:t xml:space="preserve"> </w:t>
      </w:r>
      <w:r>
        <w:t>legislation,</w:t>
      </w:r>
      <w:r>
        <w:rPr>
          <w:spacing w:val="-14"/>
        </w:rPr>
        <w:t xml:space="preserve"> </w:t>
      </w:r>
      <w:r>
        <w:t>the</w:t>
      </w:r>
      <w:r>
        <w:rPr>
          <w:spacing w:val="-13"/>
        </w:rPr>
        <w:t xml:space="preserve"> </w:t>
      </w:r>
      <w:r>
        <w:t>Parliament</w:t>
      </w:r>
      <w:r>
        <w:rPr>
          <w:spacing w:val="-13"/>
        </w:rPr>
        <w:t xml:space="preserve"> </w:t>
      </w:r>
      <w:r>
        <w:t>should</w:t>
      </w:r>
      <w:r>
        <w:rPr>
          <w:spacing w:val="-14"/>
        </w:rPr>
        <w:t xml:space="preserve"> </w:t>
      </w:r>
      <w:r>
        <w:t>respond</w:t>
      </w:r>
      <w:r>
        <w:rPr>
          <w:spacing w:val="-13"/>
        </w:rPr>
        <w:t xml:space="preserve"> </w:t>
      </w:r>
      <w:r>
        <w:t>within</w:t>
      </w:r>
      <w:r>
        <w:rPr>
          <w:spacing w:val="-12"/>
        </w:rPr>
        <w:t xml:space="preserve"> </w:t>
      </w:r>
      <w:r>
        <w:t>seven</w:t>
      </w:r>
      <w:r>
        <w:rPr>
          <w:spacing w:val="-14"/>
        </w:rPr>
        <w:t xml:space="preserve"> </w:t>
      </w:r>
      <w:r>
        <w:t>months of</w:t>
      </w:r>
      <w:r>
        <w:rPr>
          <w:spacing w:val="-1"/>
        </w:rPr>
        <w:t xml:space="preserve"> </w:t>
      </w:r>
      <w:r>
        <w:t>receiving</w:t>
      </w:r>
      <w:r>
        <w:rPr>
          <w:spacing w:val="-2"/>
        </w:rPr>
        <w:t xml:space="preserve"> </w:t>
      </w:r>
      <w:r>
        <w:t>notice of</w:t>
      </w:r>
      <w:r>
        <w:rPr>
          <w:spacing w:val="-1"/>
        </w:rPr>
        <w:t xml:space="preserve"> </w:t>
      </w:r>
      <w:r>
        <w:t>the</w:t>
      </w:r>
      <w:r>
        <w:rPr>
          <w:spacing w:val="-1"/>
        </w:rPr>
        <w:t xml:space="preserve"> </w:t>
      </w:r>
      <w:r>
        <w:t>declaration. If</w:t>
      </w:r>
      <w:r>
        <w:rPr>
          <w:spacing w:val="-1"/>
        </w:rPr>
        <w:t xml:space="preserve"> </w:t>
      </w:r>
      <w:r>
        <w:t>no</w:t>
      </w:r>
      <w:r>
        <w:rPr>
          <w:spacing w:val="-2"/>
        </w:rPr>
        <w:t xml:space="preserve"> </w:t>
      </w:r>
      <w:r>
        <w:t>action</w:t>
      </w:r>
      <w:r>
        <w:rPr>
          <w:spacing w:val="-1"/>
        </w:rPr>
        <w:t xml:space="preserve"> </w:t>
      </w:r>
      <w:r>
        <w:t>is</w:t>
      </w:r>
      <w:r>
        <w:rPr>
          <w:spacing w:val="-1"/>
        </w:rPr>
        <w:t xml:space="preserve"> </w:t>
      </w:r>
      <w:r>
        <w:t>taken within</w:t>
      </w:r>
      <w:r>
        <w:rPr>
          <w:spacing w:val="-1"/>
        </w:rPr>
        <w:t xml:space="preserve"> </w:t>
      </w:r>
      <w:r>
        <w:t>that period,</w:t>
      </w:r>
      <w:r>
        <w:rPr>
          <w:spacing w:val="-2"/>
        </w:rPr>
        <w:t xml:space="preserve"> </w:t>
      </w:r>
      <w:r>
        <w:t>the</w:t>
      </w:r>
      <w:r>
        <w:rPr>
          <w:spacing w:val="-1"/>
        </w:rPr>
        <w:t xml:space="preserve"> </w:t>
      </w:r>
      <w:r>
        <w:t>impugned</w:t>
      </w:r>
      <w:r>
        <w:rPr>
          <w:spacing w:val="-1"/>
        </w:rPr>
        <w:t xml:space="preserve"> </w:t>
      </w:r>
      <w:r>
        <w:t>legislation should be inoperative to the extent of its incompatibility.</w:t>
      </w:r>
      <w:r>
        <w:rPr>
          <w:position w:val="7"/>
          <w:sz w:val="13"/>
        </w:rPr>
        <w:t>477</w:t>
      </w:r>
    </w:p>
    <w:p w14:paraId="7CB26260" w14:textId="77777777" w:rsidR="008A4099" w:rsidRDefault="006A6EE2">
      <w:pPr>
        <w:pStyle w:val="ListParagraph"/>
        <w:numPr>
          <w:ilvl w:val="2"/>
          <w:numId w:val="3"/>
        </w:numPr>
        <w:tabs>
          <w:tab w:val="left" w:pos="879"/>
        </w:tabs>
        <w:spacing w:before="216"/>
        <w:ind w:right="674" w:firstLine="0"/>
        <w:jc w:val="both"/>
        <w:rPr>
          <w:sz w:val="13"/>
        </w:rPr>
      </w:pPr>
      <w:r>
        <w:t>In relation to subordinate legislation, which is made by the Executive branch of government and is not expressly debated or approved by Parliament, a power for a court to invalidate subordinate legislation does not involve any challenge to the sovereignty of Parliament (unlike legislation). Given this, if the Tasmanian Supreme Court determines that subordinate legislation is not compatible with human</w:t>
      </w:r>
      <w:r>
        <w:rPr>
          <w:spacing w:val="-8"/>
        </w:rPr>
        <w:t xml:space="preserve"> </w:t>
      </w:r>
      <w:r>
        <w:t>rights,</w:t>
      </w:r>
      <w:r>
        <w:rPr>
          <w:spacing w:val="-8"/>
        </w:rPr>
        <w:t xml:space="preserve"> </w:t>
      </w:r>
      <w:r>
        <w:t>the</w:t>
      </w:r>
      <w:r>
        <w:rPr>
          <w:spacing w:val="-5"/>
        </w:rPr>
        <w:t xml:space="preserve"> </w:t>
      </w:r>
      <w:r>
        <w:t>TLRI’s</w:t>
      </w:r>
      <w:r>
        <w:rPr>
          <w:spacing w:val="-6"/>
        </w:rPr>
        <w:t xml:space="preserve"> </w:t>
      </w:r>
      <w:r>
        <w:t>recommendation</w:t>
      </w:r>
      <w:r>
        <w:rPr>
          <w:spacing w:val="-6"/>
        </w:rPr>
        <w:t xml:space="preserve"> </w:t>
      </w:r>
      <w:r>
        <w:t>in</w:t>
      </w:r>
      <w:r>
        <w:rPr>
          <w:spacing w:val="-6"/>
        </w:rPr>
        <w:t xml:space="preserve"> </w:t>
      </w:r>
      <w:r>
        <w:t>the</w:t>
      </w:r>
      <w:r>
        <w:rPr>
          <w:spacing w:val="-6"/>
        </w:rPr>
        <w:t xml:space="preserve"> </w:t>
      </w:r>
      <w:r>
        <w:t>2007</w:t>
      </w:r>
      <w:r>
        <w:rPr>
          <w:spacing w:val="-6"/>
        </w:rPr>
        <w:t xml:space="preserve"> </w:t>
      </w:r>
      <w:r>
        <w:t>Final</w:t>
      </w:r>
      <w:r>
        <w:rPr>
          <w:spacing w:val="-5"/>
        </w:rPr>
        <w:t xml:space="preserve"> </w:t>
      </w:r>
      <w:r>
        <w:t>Report</w:t>
      </w:r>
      <w:r>
        <w:rPr>
          <w:spacing w:val="-5"/>
        </w:rPr>
        <w:t xml:space="preserve"> </w:t>
      </w:r>
      <w:r>
        <w:t>was</w:t>
      </w:r>
      <w:r>
        <w:rPr>
          <w:spacing w:val="-6"/>
        </w:rPr>
        <w:t xml:space="preserve"> </w:t>
      </w:r>
      <w:r>
        <w:t>that</w:t>
      </w:r>
      <w:r>
        <w:rPr>
          <w:spacing w:val="-5"/>
        </w:rPr>
        <w:t xml:space="preserve"> </w:t>
      </w:r>
      <w:r>
        <w:t>the</w:t>
      </w:r>
      <w:r>
        <w:rPr>
          <w:spacing w:val="-3"/>
        </w:rPr>
        <w:t xml:space="preserve"> </w:t>
      </w:r>
      <w:r>
        <w:t>Court</w:t>
      </w:r>
      <w:r>
        <w:rPr>
          <w:spacing w:val="-5"/>
        </w:rPr>
        <w:t xml:space="preserve"> </w:t>
      </w:r>
      <w:r>
        <w:t>can</w:t>
      </w:r>
      <w:r>
        <w:rPr>
          <w:spacing w:val="-6"/>
        </w:rPr>
        <w:t xml:space="preserve"> </w:t>
      </w:r>
      <w:r>
        <w:t>declare</w:t>
      </w:r>
      <w:r>
        <w:rPr>
          <w:spacing w:val="-6"/>
        </w:rPr>
        <w:t xml:space="preserve"> </w:t>
      </w:r>
      <w:r>
        <w:t>it</w:t>
      </w:r>
      <w:r>
        <w:rPr>
          <w:spacing w:val="-5"/>
        </w:rPr>
        <w:t xml:space="preserve"> </w:t>
      </w:r>
      <w:r>
        <w:t>to be invalid and inoperative, unless the applicable primary legislation expressly authorises the subordinate legislation to breach human rights.</w:t>
      </w:r>
      <w:r>
        <w:rPr>
          <w:position w:val="7"/>
          <w:sz w:val="13"/>
        </w:rPr>
        <w:t>478</w:t>
      </w:r>
    </w:p>
    <w:p w14:paraId="7CB26261" w14:textId="77777777" w:rsidR="008A4099" w:rsidRDefault="006A6EE2">
      <w:pPr>
        <w:pStyle w:val="ListParagraph"/>
        <w:numPr>
          <w:ilvl w:val="2"/>
          <w:numId w:val="3"/>
        </w:numPr>
        <w:tabs>
          <w:tab w:val="left" w:pos="879"/>
        </w:tabs>
        <w:spacing w:line="237" w:lineRule="auto"/>
        <w:ind w:right="684" w:firstLine="0"/>
        <w:jc w:val="both"/>
      </w:pPr>
      <w:r>
        <w:t>All jurisdictions with human rights enactments currently require notice of a declaration of incompatibility</w:t>
      </w:r>
      <w:r>
        <w:rPr>
          <w:position w:val="7"/>
          <w:sz w:val="13"/>
        </w:rPr>
        <w:t>479</w:t>
      </w:r>
      <w:r>
        <w:rPr>
          <w:spacing w:val="40"/>
          <w:position w:val="7"/>
          <w:sz w:val="13"/>
        </w:rPr>
        <w:t xml:space="preserve"> </w:t>
      </w:r>
      <w:r>
        <w:t>to be given to the relevant Attorney-General.</w:t>
      </w:r>
    </w:p>
    <w:p w14:paraId="7CB26262" w14:textId="77777777" w:rsidR="008A4099" w:rsidRDefault="006A6EE2">
      <w:pPr>
        <w:pStyle w:val="ListParagraph"/>
        <w:numPr>
          <w:ilvl w:val="2"/>
          <w:numId w:val="3"/>
        </w:numPr>
        <w:tabs>
          <w:tab w:val="left" w:pos="879"/>
        </w:tabs>
        <w:spacing w:line="237" w:lineRule="auto"/>
        <w:ind w:right="679" w:firstLine="0"/>
        <w:jc w:val="both"/>
        <w:rPr>
          <w:sz w:val="13"/>
        </w:rPr>
      </w:pPr>
      <w:r>
        <w:t>In the ACT, the Attorney-General must then present a copy of the declaration to Parliament within</w:t>
      </w:r>
      <w:r>
        <w:rPr>
          <w:spacing w:val="-5"/>
        </w:rPr>
        <w:t xml:space="preserve"> </w:t>
      </w:r>
      <w:r>
        <w:t>six</w:t>
      </w:r>
      <w:r>
        <w:rPr>
          <w:spacing w:val="-5"/>
        </w:rPr>
        <w:t xml:space="preserve"> </w:t>
      </w:r>
      <w:r>
        <w:t>sitting</w:t>
      </w:r>
      <w:r>
        <w:rPr>
          <w:spacing w:val="-5"/>
        </w:rPr>
        <w:t xml:space="preserve"> </w:t>
      </w:r>
      <w:r>
        <w:t>days</w:t>
      </w:r>
      <w:r>
        <w:rPr>
          <w:spacing w:val="-6"/>
        </w:rPr>
        <w:t xml:space="preserve"> </w:t>
      </w:r>
      <w:r>
        <w:t>of</w:t>
      </w:r>
      <w:r>
        <w:rPr>
          <w:spacing w:val="-6"/>
        </w:rPr>
        <w:t xml:space="preserve"> </w:t>
      </w:r>
      <w:r>
        <w:t>receiving</w:t>
      </w:r>
      <w:r>
        <w:rPr>
          <w:spacing w:val="-7"/>
        </w:rPr>
        <w:t xml:space="preserve"> </w:t>
      </w:r>
      <w:r>
        <w:t>notice</w:t>
      </w:r>
      <w:r>
        <w:rPr>
          <w:spacing w:val="-6"/>
        </w:rPr>
        <w:t xml:space="preserve"> </w:t>
      </w:r>
      <w:r>
        <w:t>and</w:t>
      </w:r>
      <w:r>
        <w:rPr>
          <w:spacing w:val="-7"/>
        </w:rPr>
        <w:t xml:space="preserve"> </w:t>
      </w:r>
      <w:r>
        <w:t>prepare</w:t>
      </w:r>
      <w:r>
        <w:rPr>
          <w:spacing w:val="-7"/>
        </w:rPr>
        <w:t xml:space="preserve"> </w:t>
      </w:r>
      <w:r>
        <w:t>and</w:t>
      </w:r>
      <w:r>
        <w:rPr>
          <w:spacing w:val="-4"/>
        </w:rPr>
        <w:t xml:space="preserve"> </w:t>
      </w:r>
      <w:r>
        <w:t>table</w:t>
      </w:r>
      <w:r>
        <w:rPr>
          <w:spacing w:val="-4"/>
        </w:rPr>
        <w:t xml:space="preserve"> </w:t>
      </w:r>
      <w:r>
        <w:t>a</w:t>
      </w:r>
      <w:r>
        <w:rPr>
          <w:spacing w:val="-7"/>
        </w:rPr>
        <w:t xml:space="preserve"> </w:t>
      </w:r>
      <w:r>
        <w:t>response</w:t>
      </w:r>
      <w:r>
        <w:rPr>
          <w:spacing w:val="-4"/>
        </w:rPr>
        <w:t xml:space="preserve"> </w:t>
      </w:r>
      <w:r>
        <w:t>to</w:t>
      </w:r>
      <w:r>
        <w:rPr>
          <w:spacing w:val="-5"/>
        </w:rPr>
        <w:t xml:space="preserve"> </w:t>
      </w:r>
      <w:r>
        <w:t>the</w:t>
      </w:r>
      <w:r>
        <w:rPr>
          <w:spacing w:val="-7"/>
        </w:rPr>
        <w:t xml:space="preserve"> </w:t>
      </w:r>
      <w:r>
        <w:t>declaration</w:t>
      </w:r>
      <w:r>
        <w:rPr>
          <w:spacing w:val="-5"/>
        </w:rPr>
        <w:t xml:space="preserve"> </w:t>
      </w:r>
      <w:r>
        <w:t>within</w:t>
      </w:r>
      <w:r>
        <w:rPr>
          <w:spacing w:val="-5"/>
        </w:rPr>
        <w:t xml:space="preserve"> </w:t>
      </w:r>
      <w:r>
        <w:t xml:space="preserve">six </w:t>
      </w:r>
      <w:r>
        <w:rPr>
          <w:spacing w:val="-2"/>
        </w:rPr>
        <w:t>months.</w:t>
      </w:r>
      <w:r>
        <w:rPr>
          <w:spacing w:val="-2"/>
          <w:position w:val="7"/>
          <w:sz w:val="13"/>
        </w:rPr>
        <w:t>480</w:t>
      </w:r>
    </w:p>
    <w:p w14:paraId="7CB26263" w14:textId="77777777" w:rsidR="008A4099" w:rsidRDefault="006A6EE2">
      <w:pPr>
        <w:pStyle w:val="ListParagraph"/>
        <w:numPr>
          <w:ilvl w:val="2"/>
          <w:numId w:val="3"/>
        </w:numPr>
        <w:tabs>
          <w:tab w:val="left" w:pos="879"/>
        </w:tabs>
        <w:ind w:right="675" w:firstLine="0"/>
        <w:jc w:val="both"/>
        <w:rPr>
          <w:sz w:val="13"/>
        </w:rPr>
      </w:pPr>
      <w:r>
        <w:t>In</w:t>
      </w:r>
      <w:r>
        <w:rPr>
          <w:spacing w:val="-6"/>
        </w:rPr>
        <w:t xml:space="preserve"> </w:t>
      </w:r>
      <w:r>
        <w:t>Queensland,</w:t>
      </w:r>
      <w:r>
        <w:rPr>
          <w:spacing w:val="-8"/>
        </w:rPr>
        <w:t xml:space="preserve"> </w:t>
      </w:r>
      <w:r>
        <w:t>upon</w:t>
      </w:r>
      <w:r>
        <w:rPr>
          <w:spacing w:val="-8"/>
        </w:rPr>
        <w:t xml:space="preserve"> </w:t>
      </w:r>
      <w:r>
        <w:t>receiving</w:t>
      </w:r>
      <w:r>
        <w:rPr>
          <w:spacing w:val="-6"/>
        </w:rPr>
        <w:t xml:space="preserve"> </w:t>
      </w:r>
      <w:r>
        <w:t>notice</w:t>
      </w:r>
      <w:r>
        <w:rPr>
          <w:spacing w:val="-7"/>
        </w:rPr>
        <w:t xml:space="preserve"> </w:t>
      </w:r>
      <w:r>
        <w:t>of</w:t>
      </w:r>
      <w:r>
        <w:rPr>
          <w:spacing w:val="-7"/>
        </w:rPr>
        <w:t xml:space="preserve"> </w:t>
      </w:r>
      <w:r>
        <w:t>a</w:t>
      </w:r>
      <w:r>
        <w:rPr>
          <w:spacing w:val="-5"/>
        </w:rPr>
        <w:t xml:space="preserve"> </w:t>
      </w:r>
      <w:r>
        <w:t>declaration</w:t>
      </w:r>
      <w:r>
        <w:rPr>
          <w:spacing w:val="-6"/>
        </w:rPr>
        <w:t xml:space="preserve"> </w:t>
      </w:r>
      <w:r>
        <w:t>of</w:t>
      </w:r>
      <w:r>
        <w:rPr>
          <w:spacing w:val="-5"/>
        </w:rPr>
        <w:t xml:space="preserve"> </w:t>
      </w:r>
      <w:r>
        <w:t>incompatibility,</w:t>
      </w:r>
      <w:r>
        <w:rPr>
          <w:spacing w:val="-8"/>
        </w:rPr>
        <w:t xml:space="preserve"> </w:t>
      </w:r>
      <w:r>
        <w:t>the</w:t>
      </w:r>
      <w:r>
        <w:rPr>
          <w:spacing w:val="-5"/>
        </w:rPr>
        <w:t xml:space="preserve"> </w:t>
      </w:r>
      <w:r>
        <w:t>Attorney-General must pass the declaration to the relevant Minister, who must notify Parliament within six sitting days and table a response within six months. Parliament is also required to refer the declaration of incompatibility to the relevant portfolio committee.</w:t>
      </w:r>
      <w:r>
        <w:rPr>
          <w:position w:val="7"/>
          <w:sz w:val="13"/>
        </w:rPr>
        <w:t>481</w:t>
      </w:r>
    </w:p>
    <w:p w14:paraId="7CB26264" w14:textId="77777777" w:rsidR="008A4099" w:rsidRDefault="008A4099">
      <w:pPr>
        <w:pStyle w:val="BodyText"/>
        <w:rPr>
          <w:sz w:val="20"/>
        </w:rPr>
      </w:pPr>
    </w:p>
    <w:p w14:paraId="7CB26265" w14:textId="77777777" w:rsidR="008A4099" w:rsidRDefault="008A4099">
      <w:pPr>
        <w:pStyle w:val="BodyText"/>
        <w:rPr>
          <w:sz w:val="20"/>
        </w:rPr>
      </w:pPr>
    </w:p>
    <w:p w14:paraId="7CB26266" w14:textId="77777777" w:rsidR="008A4099" w:rsidRDefault="006A6EE2">
      <w:pPr>
        <w:pStyle w:val="BodyText"/>
        <w:spacing w:before="14"/>
        <w:rPr>
          <w:sz w:val="20"/>
        </w:rPr>
      </w:pPr>
      <w:r>
        <w:rPr>
          <w:noProof/>
        </w:rPr>
        <mc:AlternateContent>
          <mc:Choice Requires="wps">
            <w:drawing>
              <wp:anchor distT="0" distB="0" distL="0" distR="0" simplePos="0" relativeHeight="487633408" behindDoc="1" locked="0" layoutInCell="1" allowOverlap="1" wp14:anchorId="7CB2668B" wp14:editId="7CB2668C">
                <wp:simplePos x="0" y="0"/>
                <wp:positionH relativeFrom="page">
                  <wp:posOffset>914704</wp:posOffset>
                </wp:positionH>
                <wp:positionV relativeFrom="paragraph">
                  <wp:posOffset>170405</wp:posOffset>
                </wp:positionV>
                <wp:extent cx="1829435" cy="762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8FE855" id="Graphic 137" o:spid="_x0000_s1026" style="position:absolute;margin-left:1in;margin-top:13.4pt;width:144.05pt;height:.6pt;z-index:-156830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" path="m1829054,l,,,7619r1829054,l1829054,xe" fillcolor="black" stroked="f">
                <v:path arrowok="t"/>
                <w10:wrap type="topAndBottom" anchorx="page"/>
              </v:shape>
            </w:pict>
          </mc:Fallback>
        </mc:AlternateContent>
      </w:r>
    </w:p>
    <w:p w14:paraId="7CB26267" w14:textId="77777777" w:rsidR="008A4099" w:rsidRDefault="006A6EE2">
      <w:pPr>
        <w:spacing w:before="112"/>
        <w:ind w:left="160"/>
        <w:rPr>
          <w:sz w:val="18"/>
        </w:rPr>
      </w:pPr>
      <w:r>
        <w:rPr>
          <w:sz w:val="18"/>
          <w:vertAlign w:val="superscript"/>
        </w:rPr>
        <w:t>476</w:t>
      </w:r>
      <w:r>
        <w:rPr>
          <w:spacing w:val="6"/>
          <w:sz w:val="18"/>
        </w:rPr>
        <w:t xml:space="preserve"> </w:t>
      </w:r>
      <w:r>
        <w:rPr>
          <w:sz w:val="18"/>
        </w:rPr>
        <w:t>Ibid</w:t>
      </w:r>
      <w:r>
        <w:rPr>
          <w:spacing w:val="6"/>
          <w:sz w:val="18"/>
        </w:rPr>
        <w:t xml:space="preserve"> </w:t>
      </w:r>
      <w:r>
        <w:rPr>
          <w:spacing w:val="-2"/>
          <w:sz w:val="18"/>
        </w:rPr>
        <w:t>[4.10.29].</w:t>
      </w:r>
    </w:p>
    <w:p w14:paraId="7CB26268" w14:textId="77777777" w:rsidR="008A4099" w:rsidRDefault="006A6EE2">
      <w:pPr>
        <w:spacing w:before="24"/>
        <w:ind w:left="160"/>
        <w:rPr>
          <w:sz w:val="18"/>
        </w:rPr>
      </w:pPr>
      <w:r>
        <w:rPr>
          <w:sz w:val="18"/>
          <w:vertAlign w:val="superscript"/>
        </w:rPr>
        <w:t>477</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10.</w:t>
      </w:r>
    </w:p>
    <w:p w14:paraId="7CB26269" w14:textId="77777777" w:rsidR="008A4099" w:rsidRDefault="006A6EE2">
      <w:pPr>
        <w:spacing w:before="23"/>
        <w:ind w:left="160"/>
        <w:rPr>
          <w:sz w:val="18"/>
        </w:rPr>
      </w:pPr>
      <w:r>
        <w:rPr>
          <w:sz w:val="18"/>
          <w:vertAlign w:val="superscript"/>
        </w:rPr>
        <w:t>478</w:t>
      </w:r>
      <w:r>
        <w:rPr>
          <w:spacing w:val="2"/>
          <w:sz w:val="18"/>
        </w:rPr>
        <w:t xml:space="preserve"> </w:t>
      </w:r>
      <w:r>
        <w:rPr>
          <w:sz w:val="18"/>
        </w:rPr>
        <w:t>Ibid</w:t>
      </w:r>
      <w:r>
        <w:rPr>
          <w:spacing w:val="2"/>
          <w:sz w:val="18"/>
        </w:rPr>
        <w:t xml:space="preserve"> </w:t>
      </w:r>
      <w:r>
        <w:rPr>
          <w:sz w:val="18"/>
        </w:rPr>
        <w:t>Recommendation</w:t>
      </w:r>
      <w:r>
        <w:rPr>
          <w:spacing w:val="4"/>
          <w:sz w:val="18"/>
        </w:rPr>
        <w:t xml:space="preserve"> </w:t>
      </w:r>
      <w:r>
        <w:rPr>
          <w:spacing w:val="-5"/>
          <w:sz w:val="18"/>
        </w:rPr>
        <w:t>12.</w:t>
      </w:r>
    </w:p>
    <w:p w14:paraId="7CB2626A" w14:textId="77777777" w:rsidR="008A4099" w:rsidRDefault="006A6EE2">
      <w:pPr>
        <w:spacing w:before="24"/>
        <w:ind w:left="160"/>
        <w:rPr>
          <w:sz w:val="18"/>
        </w:rPr>
      </w:pPr>
      <w:r>
        <w:rPr>
          <w:sz w:val="18"/>
          <w:vertAlign w:val="superscript"/>
        </w:rPr>
        <w:t>479</w:t>
      </w:r>
      <w:r>
        <w:rPr>
          <w:spacing w:val="-3"/>
          <w:sz w:val="18"/>
        </w:rPr>
        <w:t xml:space="preserve"> </w:t>
      </w:r>
      <w:r>
        <w:rPr>
          <w:i/>
          <w:sz w:val="18"/>
        </w:rPr>
        <w:t>Human</w:t>
      </w:r>
      <w:r>
        <w:rPr>
          <w:i/>
          <w:spacing w:val="-5"/>
          <w:sz w:val="18"/>
        </w:rPr>
        <w:t xml:space="preserve"> </w:t>
      </w:r>
      <w:r>
        <w:rPr>
          <w:i/>
          <w:sz w:val="18"/>
        </w:rPr>
        <w:t>Rights</w:t>
      </w:r>
      <w:r>
        <w:rPr>
          <w:i/>
          <w:spacing w:val="-5"/>
          <w:sz w:val="18"/>
        </w:rPr>
        <w:t xml:space="preserve"> </w:t>
      </w:r>
      <w:r>
        <w:rPr>
          <w:i/>
          <w:sz w:val="18"/>
        </w:rPr>
        <w:t>Act</w:t>
      </w:r>
      <w:r>
        <w:rPr>
          <w:i/>
          <w:spacing w:val="-6"/>
          <w:sz w:val="18"/>
        </w:rPr>
        <w:t xml:space="preserve"> </w:t>
      </w:r>
      <w:r>
        <w:rPr>
          <w:i/>
          <w:sz w:val="18"/>
        </w:rPr>
        <w:t>2004</w:t>
      </w:r>
      <w:r>
        <w:rPr>
          <w:i/>
          <w:spacing w:val="-2"/>
          <w:sz w:val="18"/>
        </w:rPr>
        <w:t xml:space="preserve"> </w:t>
      </w:r>
      <w:r>
        <w:rPr>
          <w:sz w:val="18"/>
        </w:rPr>
        <w:t>(ACT)</w:t>
      </w:r>
      <w:r>
        <w:rPr>
          <w:spacing w:val="-6"/>
          <w:sz w:val="18"/>
        </w:rPr>
        <w:t xml:space="preserve"> </w:t>
      </w:r>
      <w:r>
        <w:rPr>
          <w:sz w:val="18"/>
        </w:rPr>
        <w:t>s</w:t>
      </w:r>
      <w:r>
        <w:rPr>
          <w:spacing w:val="-5"/>
          <w:sz w:val="18"/>
        </w:rPr>
        <w:t xml:space="preserve"> </w:t>
      </w:r>
      <w:r>
        <w:rPr>
          <w:sz w:val="18"/>
        </w:rPr>
        <w:t>32(4);</w:t>
      </w:r>
      <w:r>
        <w:rPr>
          <w:spacing w:val="-2"/>
          <w:sz w:val="18"/>
        </w:rPr>
        <w:t xml:space="preserve"> </w:t>
      </w:r>
      <w:r>
        <w:rPr>
          <w:i/>
          <w:sz w:val="18"/>
        </w:rPr>
        <w:t>Human</w:t>
      </w:r>
      <w:r>
        <w:rPr>
          <w:i/>
          <w:spacing w:val="-1"/>
          <w:sz w:val="18"/>
        </w:rPr>
        <w:t xml:space="preserve"> </w:t>
      </w:r>
      <w:r>
        <w:rPr>
          <w:i/>
          <w:sz w:val="18"/>
        </w:rPr>
        <w:t>Rights</w:t>
      </w:r>
      <w:r>
        <w:rPr>
          <w:i/>
          <w:spacing w:val="-3"/>
          <w:sz w:val="18"/>
        </w:rPr>
        <w:t xml:space="preserve"> </w:t>
      </w:r>
      <w:r>
        <w:rPr>
          <w:i/>
          <w:sz w:val="18"/>
        </w:rPr>
        <w:t>Act</w:t>
      </w:r>
      <w:r>
        <w:rPr>
          <w:i/>
          <w:spacing w:val="-5"/>
          <w:sz w:val="18"/>
        </w:rPr>
        <w:t xml:space="preserve"> </w:t>
      </w:r>
      <w:r>
        <w:rPr>
          <w:i/>
          <w:sz w:val="18"/>
        </w:rPr>
        <w:t>2019</w:t>
      </w:r>
      <w:r>
        <w:rPr>
          <w:i/>
          <w:spacing w:val="-3"/>
          <w:sz w:val="18"/>
        </w:rPr>
        <w:t xml:space="preserve"> </w:t>
      </w:r>
      <w:r>
        <w:rPr>
          <w:sz w:val="18"/>
        </w:rPr>
        <w:t>(Qld)</w:t>
      </w:r>
      <w:r>
        <w:rPr>
          <w:spacing w:val="-2"/>
          <w:sz w:val="18"/>
        </w:rPr>
        <w:t xml:space="preserve"> </w:t>
      </w:r>
      <w:r>
        <w:rPr>
          <w:sz w:val="18"/>
        </w:rPr>
        <w:t>s</w:t>
      </w:r>
      <w:r>
        <w:rPr>
          <w:spacing w:val="-6"/>
          <w:sz w:val="18"/>
        </w:rPr>
        <w:t xml:space="preserve"> </w:t>
      </w:r>
      <w:r>
        <w:rPr>
          <w:sz w:val="18"/>
        </w:rPr>
        <w:t>53(4);</w:t>
      </w:r>
      <w:r>
        <w:rPr>
          <w:spacing w:val="-1"/>
          <w:sz w:val="18"/>
        </w:rPr>
        <w:t xml:space="preserve"> </w:t>
      </w:r>
      <w:r>
        <w:rPr>
          <w:sz w:val="18"/>
        </w:rPr>
        <w:t>Vic</w:t>
      </w:r>
      <w:r>
        <w:rPr>
          <w:spacing w:val="-6"/>
          <w:sz w:val="18"/>
        </w:rPr>
        <w:t xml:space="preserve"> </w:t>
      </w:r>
      <w:r>
        <w:rPr>
          <w:sz w:val="18"/>
        </w:rPr>
        <w:t>Human</w:t>
      </w:r>
      <w:r>
        <w:rPr>
          <w:spacing w:val="-4"/>
          <w:sz w:val="18"/>
        </w:rPr>
        <w:t xml:space="preserve"> </w:t>
      </w:r>
      <w:r>
        <w:rPr>
          <w:sz w:val="18"/>
        </w:rPr>
        <w:t>Rights</w:t>
      </w:r>
      <w:r>
        <w:rPr>
          <w:spacing w:val="-3"/>
          <w:sz w:val="18"/>
        </w:rPr>
        <w:t xml:space="preserve"> </w:t>
      </w:r>
      <w:r>
        <w:rPr>
          <w:sz w:val="18"/>
        </w:rPr>
        <w:t>Charter</w:t>
      </w:r>
      <w:r>
        <w:rPr>
          <w:spacing w:val="-2"/>
          <w:sz w:val="18"/>
        </w:rPr>
        <w:t xml:space="preserve"> </w:t>
      </w:r>
      <w:r>
        <w:rPr>
          <w:sz w:val="18"/>
        </w:rPr>
        <w:t>ss</w:t>
      </w:r>
      <w:r>
        <w:rPr>
          <w:spacing w:val="-1"/>
          <w:sz w:val="18"/>
        </w:rPr>
        <w:t xml:space="preserve"> </w:t>
      </w:r>
      <w:r>
        <w:rPr>
          <w:sz w:val="18"/>
        </w:rPr>
        <w:t>36(3),</w:t>
      </w:r>
      <w:r>
        <w:rPr>
          <w:spacing w:val="-4"/>
          <w:sz w:val="18"/>
        </w:rPr>
        <w:t xml:space="preserve"> </w:t>
      </w:r>
      <w:r>
        <w:rPr>
          <w:sz w:val="18"/>
        </w:rPr>
        <w:t>(4)</w:t>
      </w:r>
      <w:r>
        <w:rPr>
          <w:spacing w:val="-6"/>
          <w:sz w:val="18"/>
        </w:rPr>
        <w:t xml:space="preserve"> </w:t>
      </w:r>
      <w:r>
        <w:rPr>
          <w:spacing w:val="-5"/>
          <w:sz w:val="18"/>
        </w:rPr>
        <w:t>and</w:t>
      </w:r>
    </w:p>
    <w:p w14:paraId="7CB2626B" w14:textId="77777777" w:rsidR="008A4099" w:rsidRDefault="006A6EE2">
      <w:pPr>
        <w:spacing w:before="4"/>
        <w:ind w:left="160"/>
        <w:rPr>
          <w:sz w:val="18"/>
        </w:rPr>
      </w:pPr>
      <w:r>
        <w:rPr>
          <w:sz w:val="18"/>
        </w:rPr>
        <w:t>(6).</w:t>
      </w:r>
      <w:r>
        <w:rPr>
          <w:spacing w:val="-2"/>
          <w:sz w:val="18"/>
        </w:rPr>
        <w:t xml:space="preserve"> </w:t>
      </w:r>
      <w:r>
        <w:rPr>
          <w:sz w:val="18"/>
        </w:rPr>
        <w:t>This</w:t>
      </w:r>
      <w:r>
        <w:rPr>
          <w:spacing w:val="-3"/>
          <w:sz w:val="18"/>
        </w:rPr>
        <w:t xml:space="preserve"> </w:t>
      </w:r>
      <w:r>
        <w:rPr>
          <w:sz w:val="18"/>
        </w:rPr>
        <w:t>is</w:t>
      </w:r>
      <w:r>
        <w:rPr>
          <w:spacing w:val="-2"/>
          <w:sz w:val="18"/>
        </w:rPr>
        <w:t xml:space="preserve"> </w:t>
      </w:r>
      <w:r>
        <w:rPr>
          <w:sz w:val="18"/>
        </w:rPr>
        <w:t>called</w:t>
      </w:r>
      <w:r>
        <w:rPr>
          <w:spacing w:val="-1"/>
          <w:sz w:val="18"/>
        </w:rPr>
        <w:t xml:space="preserve"> </w:t>
      </w:r>
      <w:r>
        <w:rPr>
          <w:sz w:val="18"/>
        </w:rPr>
        <w:t>a</w:t>
      </w:r>
      <w:r>
        <w:rPr>
          <w:spacing w:val="-2"/>
          <w:sz w:val="18"/>
        </w:rPr>
        <w:t xml:space="preserve"> </w:t>
      </w:r>
      <w:r>
        <w:rPr>
          <w:sz w:val="18"/>
        </w:rPr>
        <w:t>‘declaration</w:t>
      </w:r>
      <w:r>
        <w:rPr>
          <w:spacing w:val="-3"/>
          <w:sz w:val="18"/>
        </w:rPr>
        <w:t xml:space="preserve"> </w:t>
      </w:r>
      <w:r>
        <w:rPr>
          <w:sz w:val="18"/>
        </w:rPr>
        <w:t>of</w:t>
      </w:r>
      <w:r>
        <w:rPr>
          <w:spacing w:val="-1"/>
          <w:sz w:val="18"/>
        </w:rPr>
        <w:t xml:space="preserve"> </w:t>
      </w:r>
      <w:r>
        <w:rPr>
          <w:sz w:val="18"/>
        </w:rPr>
        <w:t>inconsistent</w:t>
      </w:r>
      <w:r>
        <w:rPr>
          <w:spacing w:val="-2"/>
          <w:sz w:val="18"/>
        </w:rPr>
        <w:t xml:space="preserve"> </w:t>
      </w:r>
      <w:r>
        <w:rPr>
          <w:sz w:val="18"/>
        </w:rPr>
        <w:t>interpretation’</w:t>
      </w:r>
      <w:r>
        <w:rPr>
          <w:spacing w:val="-4"/>
          <w:sz w:val="18"/>
        </w:rPr>
        <w:t xml:space="preserve"> </w:t>
      </w:r>
      <w:r>
        <w:rPr>
          <w:sz w:val="18"/>
        </w:rPr>
        <w:t>in the</w:t>
      </w:r>
      <w:r>
        <w:rPr>
          <w:spacing w:val="-3"/>
          <w:sz w:val="18"/>
        </w:rPr>
        <w:t xml:space="preserve"> </w:t>
      </w:r>
      <w:r>
        <w:rPr>
          <w:sz w:val="18"/>
        </w:rPr>
        <w:t>Vic</w:t>
      </w:r>
      <w:r>
        <w:rPr>
          <w:spacing w:val="-2"/>
          <w:sz w:val="18"/>
        </w:rPr>
        <w:t xml:space="preserve"> </w:t>
      </w:r>
      <w:r>
        <w:rPr>
          <w:sz w:val="18"/>
        </w:rPr>
        <w:t>Human</w:t>
      </w:r>
      <w:r>
        <w:rPr>
          <w:spacing w:val="-1"/>
          <w:sz w:val="18"/>
        </w:rPr>
        <w:t xml:space="preserve"> </w:t>
      </w:r>
      <w:r>
        <w:rPr>
          <w:sz w:val="18"/>
        </w:rPr>
        <w:t>Rights</w:t>
      </w:r>
      <w:r>
        <w:rPr>
          <w:spacing w:val="-2"/>
          <w:sz w:val="18"/>
        </w:rPr>
        <w:t xml:space="preserve"> Charter.</w:t>
      </w:r>
    </w:p>
    <w:p w14:paraId="7CB2626C" w14:textId="77777777" w:rsidR="008A4099" w:rsidRDefault="006A6EE2">
      <w:pPr>
        <w:spacing w:before="18"/>
        <w:ind w:left="160"/>
        <w:rPr>
          <w:sz w:val="18"/>
        </w:rPr>
      </w:pPr>
      <w:r>
        <w:rPr>
          <w:sz w:val="18"/>
          <w:vertAlign w:val="superscript"/>
        </w:rPr>
        <w:t>480</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2004</w:t>
      </w:r>
      <w:r>
        <w:rPr>
          <w:i/>
          <w:spacing w:val="4"/>
          <w:sz w:val="18"/>
        </w:rPr>
        <w:t xml:space="preserve"> </w:t>
      </w:r>
      <w:r>
        <w:rPr>
          <w:sz w:val="18"/>
        </w:rPr>
        <w:t>(ACT)</w:t>
      </w:r>
      <w:r>
        <w:rPr>
          <w:spacing w:val="1"/>
          <w:sz w:val="18"/>
        </w:rPr>
        <w:t xml:space="preserve"> </w:t>
      </w:r>
      <w:r>
        <w:rPr>
          <w:sz w:val="18"/>
        </w:rPr>
        <w:t>s</w:t>
      </w:r>
      <w:r>
        <w:rPr>
          <w:spacing w:val="-2"/>
          <w:sz w:val="18"/>
        </w:rPr>
        <w:t xml:space="preserve"> </w:t>
      </w:r>
      <w:r>
        <w:rPr>
          <w:spacing w:val="-5"/>
          <w:sz w:val="18"/>
        </w:rPr>
        <w:t>33.</w:t>
      </w:r>
    </w:p>
    <w:p w14:paraId="7CB2626D" w14:textId="77777777" w:rsidR="008A4099" w:rsidRDefault="006A6EE2">
      <w:pPr>
        <w:spacing w:before="24"/>
        <w:ind w:left="160"/>
        <w:rPr>
          <w:sz w:val="18"/>
        </w:rPr>
      </w:pPr>
      <w:r>
        <w:rPr>
          <w:sz w:val="18"/>
          <w:vertAlign w:val="superscript"/>
        </w:rPr>
        <w:t>481</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2019</w:t>
      </w:r>
      <w:r>
        <w:rPr>
          <w:i/>
          <w:spacing w:val="5"/>
          <w:sz w:val="18"/>
        </w:rPr>
        <w:t xml:space="preserve"> </w:t>
      </w:r>
      <w:r>
        <w:rPr>
          <w:sz w:val="18"/>
        </w:rPr>
        <w:t>(Qld)</w:t>
      </w:r>
      <w:r>
        <w:rPr>
          <w:spacing w:val="-1"/>
          <w:sz w:val="18"/>
        </w:rPr>
        <w:t xml:space="preserve"> </w:t>
      </w:r>
      <w:r>
        <w:rPr>
          <w:sz w:val="18"/>
        </w:rPr>
        <w:t xml:space="preserve">ss </w:t>
      </w:r>
      <w:r>
        <w:rPr>
          <w:spacing w:val="-2"/>
          <w:sz w:val="18"/>
        </w:rPr>
        <w:t>55–57.</w:t>
      </w:r>
    </w:p>
    <w:p w14:paraId="7CB2626E" w14:textId="77777777" w:rsidR="008A4099" w:rsidRDefault="008A4099">
      <w:pPr>
        <w:rPr>
          <w:sz w:val="18"/>
        </w:rPr>
        <w:sectPr w:rsidR="008A4099" w:rsidSect="00D43B2D">
          <w:pgSz w:w="11910" w:h="16840"/>
          <w:pgMar w:top="980" w:right="760" w:bottom="940" w:left="1280" w:header="718" w:footer="753" w:gutter="0"/>
          <w:cols w:space="720"/>
        </w:sectPr>
      </w:pPr>
    </w:p>
    <w:p w14:paraId="7CB2626F" w14:textId="77777777" w:rsidR="008A4099" w:rsidRDefault="008A4099">
      <w:pPr>
        <w:pStyle w:val="BodyText"/>
        <w:spacing w:before="197"/>
      </w:pPr>
    </w:p>
    <w:p w14:paraId="7CB26270" w14:textId="77777777" w:rsidR="008A4099" w:rsidRDefault="006A6EE2">
      <w:pPr>
        <w:pStyle w:val="ListParagraph"/>
        <w:numPr>
          <w:ilvl w:val="2"/>
          <w:numId w:val="3"/>
        </w:numPr>
        <w:tabs>
          <w:tab w:val="left" w:pos="879"/>
        </w:tabs>
        <w:spacing w:before="0" w:line="237" w:lineRule="auto"/>
        <w:ind w:right="676" w:firstLine="0"/>
        <w:jc w:val="both"/>
        <w:rPr>
          <w:sz w:val="13"/>
        </w:rPr>
      </w:pPr>
      <w:r>
        <w:t>In Victoria, the Attorney-General must notify the relevant Minister of the declaration as soon as</w:t>
      </w:r>
      <w:r>
        <w:rPr>
          <w:spacing w:val="-4"/>
        </w:rPr>
        <w:t xml:space="preserve"> </w:t>
      </w:r>
      <w:r>
        <w:t>practicable,</w:t>
      </w:r>
      <w:r>
        <w:rPr>
          <w:spacing w:val="-7"/>
        </w:rPr>
        <w:t xml:space="preserve"> </w:t>
      </w:r>
      <w:r>
        <w:t>and</w:t>
      </w:r>
      <w:r>
        <w:rPr>
          <w:spacing w:val="-7"/>
        </w:rPr>
        <w:t xml:space="preserve"> </w:t>
      </w:r>
      <w:r>
        <w:t>the</w:t>
      </w:r>
      <w:r>
        <w:rPr>
          <w:spacing w:val="-7"/>
        </w:rPr>
        <w:t xml:space="preserve"> </w:t>
      </w:r>
      <w:r>
        <w:t>relevant</w:t>
      </w:r>
      <w:r>
        <w:rPr>
          <w:spacing w:val="-6"/>
        </w:rPr>
        <w:t xml:space="preserve"> </w:t>
      </w:r>
      <w:r>
        <w:t>Minister</w:t>
      </w:r>
      <w:r>
        <w:rPr>
          <w:spacing w:val="-6"/>
        </w:rPr>
        <w:t xml:space="preserve"> </w:t>
      </w:r>
      <w:r>
        <w:t>must</w:t>
      </w:r>
      <w:r>
        <w:rPr>
          <w:spacing w:val="-6"/>
        </w:rPr>
        <w:t xml:space="preserve"> </w:t>
      </w:r>
      <w:r>
        <w:t>table</w:t>
      </w:r>
      <w:r>
        <w:rPr>
          <w:spacing w:val="-7"/>
        </w:rPr>
        <w:t xml:space="preserve"> </w:t>
      </w:r>
      <w:r>
        <w:t>the</w:t>
      </w:r>
      <w:r>
        <w:rPr>
          <w:spacing w:val="-9"/>
        </w:rPr>
        <w:t xml:space="preserve"> </w:t>
      </w:r>
      <w:r>
        <w:t>declaration</w:t>
      </w:r>
      <w:r>
        <w:rPr>
          <w:spacing w:val="-5"/>
        </w:rPr>
        <w:t xml:space="preserve"> </w:t>
      </w:r>
      <w:r>
        <w:t>and</w:t>
      </w:r>
      <w:r>
        <w:rPr>
          <w:spacing w:val="-5"/>
        </w:rPr>
        <w:t xml:space="preserve"> </w:t>
      </w:r>
      <w:r>
        <w:t>a</w:t>
      </w:r>
      <w:r>
        <w:rPr>
          <w:spacing w:val="-7"/>
        </w:rPr>
        <w:t xml:space="preserve"> </w:t>
      </w:r>
      <w:r>
        <w:t>response</w:t>
      </w:r>
      <w:r>
        <w:rPr>
          <w:spacing w:val="-6"/>
        </w:rPr>
        <w:t xml:space="preserve"> </w:t>
      </w:r>
      <w:r>
        <w:t>within six</w:t>
      </w:r>
      <w:r>
        <w:rPr>
          <w:spacing w:val="-7"/>
        </w:rPr>
        <w:t xml:space="preserve"> </w:t>
      </w:r>
      <w:r>
        <w:t>months.</w:t>
      </w:r>
      <w:r>
        <w:rPr>
          <w:position w:val="7"/>
          <w:sz w:val="13"/>
        </w:rPr>
        <w:t>482</w:t>
      </w:r>
    </w:p>
    <w:p w14:paraId="7CB26271" w14:textId="77777777" w:rsidR="008A4099" w:rsidRDefault="006A6EE2">
      <w:pPr>
        <w:pStyle w:val="ListParagraph"/>
        <w:numPr>
          <w:ilvl w:val="2"/>
          <w:numId w:val="3"/>
        </w:numPr>
        <w:tabs>
          <w:tab w:val="left" w:pos="879"/>
        </w:tabs>
        <w:spacing w:before="218"/>
        <w:ind w:right="675" w:firstLine="0"/>
        <w:jc w:val="both"/>
      </w:pPr>
      <w:r>
        <w:t>No</w:t>
      </w:r>
      <w:r>
        <w:rPr>
          <w:spacing w:val="-10"/>
        </w:rPr>
        <w:t xml:space="preserve"> </w:t>
      </w:r>
      <w:r>
        <w:t>provision</w:t>
      </w:r>
      <w:r>
        <w:rPr>
          <w:spacing w:val="-12"/>
        </w:rPr>
        <w:t xml:space="preserve"> </w:t>
      </w:r>
      <w:r>
        <w:t>is</w:t>
      </w:r>
      <w:r>
        <w:rPr>
          <w:spacing w:val="-11"/>
        </w:rPr>
        <w:t xml:space="preserve"> </w:t>
      </w:r>
      <w:r>
        <w:t>made</w:t>
      </w:r>
      <w:r>
        <w:rPr>
          <w:spacing w:val="-12"/>
        </w:rPr>
        <w:t xml:space="preserve"> </w:t>
      </w:r>
      <w:r>
        <w:t>for</w:t>
      </w:r>
      <w:r>
        <w:rPr>
          <w:spacing w:val="-10"/>
        </w:rPr>
        <w:t xml:space="preserve"> </w:t>
      </w:r>
      <w:r>
        <w:t>the</w:t>
      </w:r>
      <w:r>
        <w:rPr>
          <w:spacing w:val="-10"/>
        </w:rPr>
        <w:t xml:space="preserve"> </w:t>
      </w:r>
      <w:r>
        <w:t>immediate</w:t>
      </w:r>
      <w:r>
        <w:rPr>
          <w:spacing w:val="-12"/>
        </w:rPr>
        <w:t xml:space="preserve"> </w:t>
      </w:r>
      <w:r>
        <w:t>invalidation</w:t>
      </w:r>
      <w:r>
        <w:rPr>
          <w:spacing w:val="-10"/>
        </w:rPr>
        <w:t xml:space="preserve"> </w:t>
      </w:r>
      <w:r>
        <w:t>of</w:t>
      </w:r>
      <w:r>
        <w:rPr>
          <w:spacing w:val="-11"/>
        </w:rPr>
        <w:t xml:space="preserve"> </w:t>
      </w:r>
      <w:r>
        <w:t>a</w:t>
      </w:r>
      <w:r>
        <w:rPr>
          <w:spacing w:val="-10"/>
        </w:rPr>
        <w:t xml:space="preserve"> </w:t>
      </w:r>
      <w:r>
        <w:t>human</w:t>
      </w:r>
      <w:r>
        <w:rPr>
          <w:spacing w:val="-12"/>
        </w:rPr>
        <w:t xml:space="preserve"> </w:t>
      </w:r>
      <w:r>
        <w:t>rights</w:t>
      </w:r>
      <w:r>
        <w:rPr>
          <w:spacing w:val="-12"/>
        </w:rPr>
        <w:t xml:space="preserve"> </w:t>
      </w:r>
      <w:r>
        <w:t>incompatible</w:t>
      </w:r>
      <w:r>
        <w:rPr>
          <w:spacing w:val="-10"/>
        </w:rPr>
        <w:t xml:space="preserve"> </w:t>
      </w:r>
      <w:r>
        <w:t>instrument in other Australian human rights enactments, and further declarations of incompatibility in other jurisdictions do not have the potential effect of invalidating the statutory instrument.</w:t>
      </w:r>
      <w:r>
        <w:rPr>
          <w:position w:val="7"/>
          <w:sz w:val="13"/>
        </w:rPr>
        <w:t>483</w:t>
      </w:r>
      <w:r>
        <w:rPr>
          <w:spacing w:val="29"/>
          <w:position w:val="7"/>
          <w:sz w:val="13"/>
        </w:rPr>
        <w:t xml:space="preserve"> </w:t>
      </w:r>
      <w:r>
        <w:t>However, it is noted</w:t>
      </w:r>
      <w:r>
        <w:rPr>
          <w:spacing w:val="-7"/>
        </w:rPr>
        <w:t xml:space="preserve"> </w:t>
      </w:r>
      <w:r>
        <w:t>that,</w:t>
      </w:r>
      <w:r>
        <w:rPr>
          <w:spacing w:val="-7"/>
        </w:rPr>
        <w:t xml:space="preserve"> </w:t>
      </w:r>
      <w:r>
        <w:t>where</w:t>
      </w:r>
      <w:r>
        <w:rPr>
          <w:spacing w:val="-4"/>
        </w:rPr>
        <w:t xml:space="preserve"> </w:t>
      </w:r>
      <w:r>
        <w:t>subordinate</w:t>
      </w:r>
      <w:r>
        <w:rPr>
          <w:spacing w:val="-7"/>
        </w:rPr>
        <w:t xml:space="preserve"> </w:t>
      </w:r>
      <w:r>
        <w:t>legislation</w:t>
      </w:r>
      <w:r>
        <w:rPr>
          <w:spacing w:val="-7"/>
        </w:rPr>
        <w:t xml:space="preserve"> </w:t>
      </w:r>
      <w:r>
        <w:t>is</w:t>
      </w:r>
      <w:r>
        <w:rPr>
          <w:spacing w:val="-4"/>
        </w:rPr>
        <w:t xml:space="preserve"> </w:t>
      </w:r>
      <w:r>
        <w:t>disallowed</w:t>
      </w:r>
      <w:r>
        <w:rPr>
          <w:spacing w:val="-7"/>
        </w:rPr>
        <w:t xml:space="preserve"> </w:t>
      </w:r>
      <w:r>
        <w:t>or</w:t>
      </w:r>
      <w:r>
        <w:rPr>
          <w:spacing w:val="-4"/>
        </w:rPr>
        <w:t xml:space="preserve"> </w:t>
      </w:r>
      <w:r>
        <w:t>determined</w:t>
      </w:r>
      <w:r>
        <w:rPr>
          <w:spacing w:val="-7"/>
        </w:rPr>
        <w:t xml:space="preserve"> </w:t>
      </w:r>
      <w:r>
        <w:t>to</w:t>
      </w:r>
      <w:r>
        <w:rPr>
          <w:spacing w:val="-5"/>
        </w:rPr>
        <w:t xml:space="preserve"> </w:t>
      </w:r>
      <w:r>
        <w:t>be</w:t>
      </w:r>
      <w:r>
        <w:rPr>
          <w:spacing w:val="-4"/>
        </w:rPr>
        <w:t xml:space="preserve"> </w:t>
      </w:r>
      <w:r>
        <w:t>ultra</w:t>
      </w:r>
      <w:r>
        <w:rPr>
          <w:spacing w:val="-7"/>
        </w:rPr>
        <w:t xml:space="preserve"> </w:t>
      </w:r>
      <w:r>
        <w:t>vires,</w:t>
      </w:r>
      <w:r>
        <w:rPr>
          <w:spacing w:val="-7"/>
        </w:rPr>
        <w:t xml:space="preserve"> </w:t>
      </w:r>
      <w:r>
        <w:t>the</w:t>
      </w:r>
      <w:r>
        <w:rPr>
          <w:spacing w:val="-4"/>
        </w:rPr>
        <w:t xml:space="preserve"> </w:t>
      </w:r>
      <w:r>
        <w:t>instrument</w:t>
      </w:r>
      <w:r>
        <w:rPr>
          <w:spacing w:val="-6"/>
        </w:rPr>
        <w:t xml:space="preserve"> </w:t>
      </w:r>
      <w:r>
        <w:t>is immediately</w:t>
      </w:r>
      <w:r>
        <w:rPr>
          <w:spacing w:val="-7"/>
        </w:rPr>
        <w:t xml:space="preserve"> </w:t>
      </w:r>
      <w:r>
        <w:t>invalidated,</w:t>
      </w:r>
      <w:r>
        <w:rPr>
          <w:spacing w:val="-5"/>
        </w:rPr>
        <w:t xml:space="preserve"> </w:t>
      </w:r>
      <w:r>
        <w:t>as,</w:t>
      </w:r>
      <w:r>
        <w:rPr>
          <w:spacing w:val="-4"/>
        </w:rPr>
        <w:t xml:space="preserve"> </w:t>
      </w:r>
      <w:r>
        <w:t>for</w:t>
      </w:r>
      <w:r>
        <w:rPr>
          <w:spacing w:val="-6"/>
        </w:rPr>
        <w:t xml:space="preserve"> </w:t>
      </w:r>
      <w:r>
        <w:t>example,</w:t>
      </w:r>
      <w:r>
        <w:rPr>
          <w:spacing w:val="-7"/>
        </w:rPr>
        <w:t xml:space="preserve"> </w:t>
      </w:r>
      <w:r>
        <w:t>in</w:t>
      </w:r>
      <w:r>
        <w:rPr>
          <w:spacing w:val="-6"/>
        </w:rPr>
        <w:t xml:space="preserve"> </w:t>
      </w:r>
      <w:r>
        <w:rPr>
          <w:i/>
        </w:rPr>
        <w:t>Evans</w:t>
      </w:r>
      <w:r>
        <w:rPr>
          <w:i/>
          <w:spacing w:val="-4"/>
        </w:rPr>
        <w:t xml:space="preserve"> </w:t>
      </w:r>
      <w:r>
        <w:rPr>
          <w:i/>
        </w:rPr>
        <w:t>v</w:t>
      </w:r>
      <w:r>
        <w:rPr>
          <w:i/>
          <w:spacing w:val="-4"/>
        </w:rPr>
        <w:t xml:space="preserve"> </w:t>
      </w:r>
      <w:r>
        <w:rPr>
          <w:i/>
        </w:rPr>
        <w:t>New</w:t>
      </w:r>
      <w:r>
        <w:rPr>
          <w:i/>
          <w:spacing w:val="-5"/>
        </w:rPr>
        <w:t xml:space="preserve"> </w:t>
      </w:r>
      <w:r>
        <w:rPr>
          <w:i/>
        </w:rPr>
        <w:t>South</w:t>
      </w:r>
      <w:r>
        <w:rPr>
          <w:i/>
          <w:spacing w:val="-7"/>
        </w:rPr>
        <w:t xml:space="preserve"> </w:t>
      </w:r>
      <w:r>
        <w:rPr>
          <w:i/>
        </w:rPr>
        <w:t>Wales</w:t>
      </w:r>
      <w:r>
        <w:t>,</w:t>
      </w:r>
      <w:r>
        <w:rPr>
          <w:position w:val="7"/>
          <w:sz w:val="13"/>
        </w:rPr>
        <w:t>484</w:t>
      </w:r>
      <w:r>
        <w:rPr>
          <w:spacing w:val="17"/>
          <w:position w:val="7"/>
          <w:sz w:val="13"/>
        </w:rPr>
        <w:t xml:space="preserve"> </w:t>
      </w:r>
      <w:r>
        <w:t>which</w:t>
      </w:r>
      <w:r>
        <w:rPr>
          <w:spacing w:val="-7"/>
        </w:rPr>
        <w:t xml:space="preserve"> </w:t>
      </w:r>
      <w:r>
        <w:t>involved</w:t>
      </w:r>
      <w:r>
        <w:rPr>
          <w:spacing w:val="-7"/>
        </w:rPr>
        <w:t xml:space="preserve"> </w:t>
      </w:r>
      <w:r>
        <w:t>regulation</w:t>
      </w:r>
      <w:r>
        <w:rPr>
          <w:spacing w:val="-5"/>
        </w:rPr>
        <w:t xml:space="preserve"> </w:t>
      </w:r>
      <w:r>
        <w:t>of conduct</w:t>
      </w:r>
      <w:r>
        <w:rPr>
          <w:spacing w:val="-10"/>
        </w:rPr>
        <w:t xml:space="preserve"> </w:t>
      </w:r>
      <w:r>
        <w:t>in</w:t>
      </w:r>
      <w:r>
        <w:rPr>
          <w:spacing w:val="-9"/>
        </w:rPr>
        <w:t xml:space="preserve"> </w:t>
      </w:r>
      <w:r>
        <w:t>connection</w:t>
      </w:r>
      <w:r>
        <w:rPr>
          <w:spacing w:val="-9"/>
        </w:rPr>
        <w:t xml:space="preserve"> </w:t>
      </w:r>
      <w:r>
        <w:t>with</w:t>
      </w:r>
      <w:r>
        <w:rPr>
          <w:spacing w:val="-11"/>
        </w:rPr>
        <w:t xml:space="preserve"> </w:t>
      </w:r>
      <w:r>
        <w:t>World</w:t>
      </w:r>
      <w:r>
        <w:rPr>
          <w:spacing w:val="-9"/>
        </w:rPr>
        <w:t xml:space="preserve"> </w:t>
      </w:r>
      <w:r>
        <w:t>Youth</w:t>
      </w:r>
      <w:r>
        <w:rPr>
          <w:spacing w:val="-9"/>
        </w:rPr>
        <w:t xml:space="preserve"> </w:t>
      </w:r>
      <w:r>
        <w:t>Day.</w:t>
      </w:r>
      <w:r>
        <w:rPr>
          <w:spacing w:val="-11"/>
        </w:rPr>
        <w:t xml:space="preserve"> </w:t>
      </w:r>
      <w:r>
        <w:t>The</w:t>
      </w:r>
      <w:r>
        <w:rPr>
          <w:spacing w:val="-9"/>
        </w:rPr>
        <w:t xml:space="preserve"> </w:t>
      </w:r>
      <w:r>
        <w:t>Full</w:t>
      </w:r>
      <w:r>
        <w:rPr>
          <w:spacing w:val="-10"/>
        </w:rPr>
        <w:t xml:space="preserve"> </w:t>
      </w:r>
      <w:r>
        <w:t>Court</w:t>
      </w:r>
      <w:r>
        <w:rPr>
          <w:spacing w:val="-10"/>
        </w:rPr>
        <w:t xml:space="preserve"> </w:t>
      </w:r>
      <w:r>
        <w:t>of</w:t>
      </w:r>
      <w:r>
        <w:rPr>
          <w:spacing w:val="-10"/>
        </w:rPr>
        <w:t xml:space="preserve"> </w:t>
      </w:r>
      <w:r>
        <w:t>the</w:t>
      </w:r>
      <w:r>
        <w:rPr>
          <w:spacing w:val="-11"/>
        </w:rPr>
        <w:t xml:space="preserve"> </w:t>
      </w:r>
      <w:r>
        <w:t>Federal</w:t>
      </w:r>
      <w:r>
        <w:rPr>
          <w:spacing w:val="-8"/>
        </w:rPr>
        <w:t xml:space="preserve"> </w:t>
      </w:r>
      <w:r>
        <w:t>Court</w:t>
      </w:r>
      <w:r>
        <w:rPr>
          <w:spacing w:val="-10"/>
        </w:rPr>
        <w:t xml:space="preserve"> </w:t>
      </w:r>
      <w:r>
        <w:t>applied</w:t>
      </w:r>
      <w:r>
        <w:rPr>
          <w:spacing w:val="-11"/>
        </w:rPr>
        <w:t xml:space="preserve"> </w:t>
      </w:r>
      <w:r>
        <w:t>the</w:t>
      </w:r>
      <w:r>
        <w:rPr>
          <w:spacing w:val="-11"/>
        </w:rPr>
        <w:t xml:space="preserve"> </w:t>
      </w:r>
      <w:r>
        <w:t>principle of</w:t>
      </w:r>
      <w:r>
        <w:rPr>
          <w:spacing w:val="-11"/>
        </w:rPr>
        <w:t xml:space="preserve"> </w:t>
      </w:r>
      <w:r>
        <w:t>legality</w:t>
      </w:r>
      <w:r>
        <w:rPr>
          <w:spacing w:val="-14"/>
        </w:rPr>
        <w:t xml:space="preserve"> </w:t>
      </w:r>
      <w:r>
        <w:t>and</w:t>
      </w:r>
      <w:r>
        <w:rPr>
          <w:spacing w:val="-14"/>
        </w:rPr>
        <w:t xml:space="preserve"> </w:t>
      </w:r>
      <w:r>
        <w:t>concluded</w:t>
      </w:r>
      <w:r>
        <w:rPr>
          <w:spacing w:val="-11"/>
        </w:rPr>
        <w:t xml:space="preserve"> </w:t>
      </w:r>
      <w:r>
        <w:t>that</w:t>
      </w:r>
      <w:r>
        <w:rPr>
          <w:spacing w:val="-13"/>
        </w:rPr>
        <w:t xml:space="preserve"> </w:t>
      </w:r>
      <w:r>
        <w:t>the</w:t>
      </w:r>
      <w:r>
        <w:rPr>
          <w:spacing w:val="-14"/>
        </w:rPr>
        <w:t xml:space="preserve"> </w:t>
      </w:r>
      <w:r>
        <w:t>regulation</w:t>
      </w:r>
      <w:r>
        <w:rPr>
          <w:spacing w:val="-14"/>
        </w:rPr>
        <w:t xml:space="preserve"> </w:t>
      </w:r>
      <w:r>
        <w:t>making</w:t>
      </w:r>
      <w:r>
        <w:rPr>
          <w:spacing w:val="-13"/>
        </w:rPr>
        <w:t xml:space="preserve"> </w:t>
      </w:r>
      <w:r>
        <w:t>power</w:t>
      </w:r>
      <w:r>
        <w:rPr>
          <w:spacing w:val="-11"/>
        </w:rPr>
        <w:t xml:space="preserve"> </w:t>
      </w:r>
      <w:r>
        <w:t>was</w:t>
      </w:r>
      <w:r>
        <w:rPr>
          <w:spacing w:val="-13"/>
        </w:rPr>
        <w:t xml:space="preserve"> </w:t>
      </w:r>
      <w:r>
        <w:t>circumscribed</w:t>
      </w:r>
      <w:r>
        <w:rPr>
          <w:spacing w:val="-14"/>
        </w:rPr>
        <w:t xml:space="preserve"> </w:t>
      </w:r>
      <w:r>
        <w:t>by</w:t>
      </w:r>
      <w:r>
        <w:rPr>
          <w:spacing w:val="-14"/>
        </w:rPr>
        <w:t xml:space="preserve"> </w:t>
      </w:r>
      <w:r>
        <w:t>fundamental</w:t>
      </w:r>
      <w:r>
        <w:rPr>
          <w:spacing w:val="-12"/>
        </w:rPr>
        <w:t xml:space="preserve"> </w:t>
      </w:r>
      <w:r>
        <w:t>common law rights and freedoms with the result that the regulation in question was ultra vires and invalid.</w:t>
      </w:r>
    </w:p>
    <w:p w14:paraId="7CB26272" w14:textId="77777777" w:rsidR="008A4099" w:rsidRDefault="006A6EE2">
      <w:pPr>
        <w:pStyle w:val="ListParagraph"/>
        <w:numPr>
          <w:ilvl w:val="2"/>
          <w:numId w:val="3"/>
        </w:numPr>
        <w:tabs>
          <w:tab w:val="left" w:pos="879"/>
        </w:tabs>
        <w:spacing w:before="217"/>
        <w:ind w:right="674" w:firstLine="0"/>
        <w:jc w:val="both"/>
      </w:pPr>
      <w:r>
        <w:t>In</w:t>
      </w:r>
      <w:r>
        <w:rPr>
          <w:spacing w:val="-5"/>
        </w:rPr>
        <w:t xml:space="preserve"> </w:t>
      </w:r>
      <w:r>
        <w:t>its</w:t>
      </w:r>
      <w:r>
        <w:rPr>
          <w:spacing w:val="-4"/>
        </w:rPr>
        <w:t xml:space="preserve"> </w:t>
      </w:r>
      <w:r>
        <w:t>2010</w:t>
      </w:r>
      <w:r>
        <w:rPr>
          <w:spacing w:val="-5"/>
        </w:rPr>
        <w:t xml:space="preserve"> </w:t>
      </w:r>
      <w:r>
        <w:t>Directions</w:t>
      </w:r>
      <w:r>
        <w:rPr>
          <w:spacing w:val="-4"/>
        </w:rPr>
        <w:t xml:space="preserve"> </w:t>
      </w:r>
      <w:r>
        <w:t>Paper,</w:t>
      </w:r>
      <w:r>
        <w:rPr>
          <w:spacing w:val="-5"/>
        </w:rPr>
        <w:t xml:space="preserve"> </w:t>
      </w:r>
      <w:r>
        <w:t>the</w:t>
      </w:r>
      <w:r>
        <w:rPr>
          <w:spacing w:val="-4"/>
        </w:rPr>
        <w:t xml:space="preserve"> </w:t>
      </w:r>
      <w:r>
        <w:t>Tasmanian</w:t>
      </w:r>
      <w:r>
        <w:rPr>
          <w:spacing w:val="-2"/>
        </w:rPr>
        <w:t xml:space="preserve"> </w:t>
      </w:r>
      <w:r>
        <w:t>Government</w:t>
      </w:r>
      <w:r>
        <w:rPr>
          <w:spacing w:val="-4"/>
        </w:rPr>
        <w:t xml:space="preserve"> </w:t>
      </w:r>
      <w:r>
        <w:t>proposed</w:t>
      </w:r>
      <w:r>
        <w:rPr>
          <w:spacing w:val="-5"/>
        </w:rPr>
        <w:t xml:space="preserve"> </w:t>
      </w:r>
      <w:r>
        <w:t>that</w:t>
      </w:r>
      <w:r>
        <w:rPr>
          <w:spacing w:val="-4"/>
        </w:rPr>
        <w:t xml:space="preserve"> </w:t>
      </w:r>
      <w:r>
        <w:t>subordinate</w:t>
      </w:r>
      <w:r>
        <w:rPr>
          <w:spacing w:val="-4"/>
        </w:rPr>
        <w:t xml:space="preserve"> </w:t>
      </w:r>
      <w:r>
        <w:t>legislation declared to be incompatible should become invalid within 30 days of the declaration, rather than immediately, to give Parliament an opportunity to consider whether to validate the incompatible instrument.</w:t>
      </w:r>
      <w:r>
        <w:rPr>
          <w:position w:val="7"/>
          <w:sz w:val="13"/>
        </w:rPr>
        <w:t>485</w:t>
      </w:r>
      <w:r>
        <w:rPr>
          <w:spacing w:val="28"/>
          <w:position w:val="7"/>
          <w:sz w:val="13"/>
        </w:rPr>
        <w:t xml:space="preserve"> </w:t>
      </w:r>
      <w:r>
        <w:t>Allowing time to consider a response to a statement of incompatibility for subordinate legislation</w:t>
      </w:r>
      <w:r>
        <w:rPr>
          <w:spacing w:val="-14"/>
        </w:rPr>
        <w:t xml:space="preserve"> </w:t>
      </w:r>
      <w:r>
        <w:t>would</w:t>
      </w:r>
      <w:r>
        <w:rPr>
          <w:spacing w:val="-14"/>
        </w:rPr>
        <w:t xml:space="preserve"> </w:t>
      </w:r>
      <w:r>
        <w:t>be</w:t>
      </w:r>
      <w:r>
        <w:rPr>
          <w:spacing w:val="-14"/>
        </w:rPr>
        <w:t xml:space="preserve"> </w:t>
      </w:r>
      <w:r>
        <w:t>consistent</w:t>
      </w:r>
      <w:r>
        <w:rPr>
          <w:spacing w:val="-13"/>
        </w:rPr>
        <w:t xml:space="preserve"> </w:t>
      </w:r>
      <w:r>
        <w:t>with</w:t>
      </w:r>
      <w:r>
        <w:rPr>
          <w:spacing w:val="-14"/>
        </w:rPr>
        <w:t xml:space="preserve"> </w:t>
      </w:r>
      <w:r>
        <w:t>provisions</w:t>
      </w:r>
      <w:r>
        <w:rPr>
          <w:spacing w:val="-14"/>
        </w:rPr>
        <w:t xml:space="preserve"> </w:t>
      </w:r>
      <w:r>
        <w:t>allowing</w:t>
      </w:r>
      <w:r>
        <w:rPr>
          <w:spacing w:val="-14"/>
        </w:rPr>
        <w:t xml:space="preserve"> </w:t>
      </w:r>
      <w:r>
        <w:t>time</w:t>
      </w:r>
      <w:r>
        <w:rPr>
          <w:spacing w:val="-13"/>
        </w:rPr>
        <w:t xml:space="preserve"> </w:t>
      </w:r>
      <w:r>
        <w:t>for</w:t>
      </w:r>
      <w:r>
        <w:rPr>
          <w:spacing w:val="-14"/>
        </w:rPr>
        <w:t xml:space="preserve"> </w:t>
      </w:r>
      <w:r>
        <w:t>a</w:t>
      </w:r>
      <w:r>
        <w:rPr>
          <w:spacing w:val="-14"/>
        </w:rPr>
        <w:t xml:space="preserve"> </w:t>
      </w:r>
      <w:r>
        <w:t>response</w:t>
      </w:r>
      <w:r>
        <w:rPr>
          <w:spacing w:val="-14"/>
        </w:rPr>
        <w:t xml:space="preserve"> </w:t>
      </w:r>
      <w:r>
        <w:t>when</w:t>
      </w:r>
      <w:r>
        <w:rPr>
          <w:spacing w:val="-13"/>
        </w:rPr>
        <w:t xml:space="preserve"> </w:t>
      </w:r>
      <w:r>
        <w:t>legislation</w:t>
      </w:r>
      <w:r>
        <w:rPr>
          <w:spacing w:val="-14"/>
        </w:rPr>
        <w:t xml:space="preserve"> </w:t>
      </w:r>
      <w:r>
        <w:t>is</w:t>
      </w:r>
      <w:r>
        <w:rPr>
          <w:spacing w:val="-14"/>
        </w:rPr>
        <w:t xml:space="preserve"> </w:t>
      </w:r>
      <w:r>
        <w:t xml:space="preserve">declared to be incompatible. However, the immediacy and ease with which a regulation can be re-made should be contrasted with the time taken to pass legislation or legislative amendments to address a declared </w:t>
      </w:r>
      <w:r>
        <w:rPr>
          <w:spacing w:val="-2"/>
        </w:rPr>
        <w:t>incompatibility.</w:t>
      </w:r>
    </w:p>
    <w:p w14:paraId="7CB26273" w14:textId="77777777" w:rsidR="008A4099" w:rsidRDefault="006A6EE2">
      <w:pPr>
        <w:pStyle w:val="Heading3"/>
        <w:spacing w:before="236"/>
      </w:pPr>
      <w:r>
        <w:t>TLRI’s</w:t>
      </w:r>
      <w:r>
        <w:rPr>
          <w:spacing w:val="-4"/>
        </w:rPr>
        <w:t xml:space="preserve"> </w:t>
      </w:r>
      <w:r>
        <w:t>current</w:t>
      </w:r>
      <w:r>
        <w:rPr>
          <w:spacing w:val="-4"/>
        </w:rPr>
        <w:t xml:space="preserve"> </w:t>
      </w:r>
      <w:r>
        <w:t>views</w:t>
      </w:r>
      <w:r>
        <w:rPr>
          <w:spacing w:val="-4"/>
        </w:rPr>
        <w:t xml:space="preserve"> </w:t>
      </w:r>
      <w:r>
        <w:t>and</w:t>
      </w:r>
      <w:r>
        <w:rPr>
          <w:spacing w:val="-3"/>
        </w:rPr>
        <w:t xml:space="preserve"> </w:t>
      </w:r>
      <w:r>
        <w:rPr>
          <w:spacing w:val="-2"/>
        </w:rPr>
        <w:t>recommendations</w:t>
      </w:r>
    </w:p>
    <w:p w14:paraId="7CB26274" w14:textId="77777777" w:rsidR="008A4099" w:rsidRDefault="006A6EE2">
      <w:pPr>
        <w:pStyle w:val="ListParagraph"/>
        <w:numPr>
          <w:ilvl w:val="2"/>
          <w:numId w:val="3"/>
        </w:numPr>
        <w:tabs>
          <w:tab w:val="left" w:pos="879"/>
        </w:tabs>
        <w:spacing w:before="261"/>
        <w:ind w:right="675" w:firstLine="0"/>
        <w:jc w:val="both"/>
      </w:pPr>
      <w:r>
        <w:t>The TLRI remains of the view that the Government should be required to respond to a declaration of incompatibility made by the Supreme Court of Tasmania, consistent with the dialogue model of human rights, and that Parliament and the public should be notified of a declaration as soon as possible. Consistent with other jurisdictions, the response should be tabled within six months of notice being given. However, in recognition of the complexity of some matters that may give rise to incompatibility, Parliament should be able to grant one extension of no more than two months if satisfied</w:t>
      </w:r>
      <w:r>
        <w:rPr>
          <w:spacing w:val="-3"/>
        </w:rPr>
        <w:t xml:space="preserve"> </w:t>
      </w:r>
      <w:r>
        <w:t>that additional</w:t>
      </w:r>
      <w:r>
        <w:rPr>
          <w:spacing w:val="-2"/>
        </w:rPr>
        <w:t xml:space="preserve"> </w:t>
      </w:r>
      <w:r>
        <w:t>time is</w:t>
      </w:r>
      <w:r>
        <w:rPr>
          <w:spacing w:val="-1"/>
        </w:rPr>
        <w:t xml:space="preserve"> </w:t>
      </w:r>
      <w:r>
        <w:t>required. This</w:t>
      </w:r>
      <w:r>
        <w:rPr>
          <w:spacing w:val="-3"/>
        </w:rPr>
        <w:t xml:space="preserve"> </w:t>
      </w:r>
      <w:r>
        <w:t>is</w:t>
      </w:r>
      <w:r>
        <w:rPr>
          <w:spacing w:val="-1"/>
        </w:rPr>
        <w:t xml:space="preserve"> </w:t>
      </w:r>
      <w:r>
        <w:t>consistent with</w:t>
      </w:r>
      <w:r>
        <w:rPr>
          <w:spacing w:val="-2"/>
        </w:rPr>
        <w:t xml:space="preserve"> </w:t>
      </w:r>
      <w:r>
        <w:t>Recommendation</w:t>
      </w:r>
      <w:r>
        <w:rPr>
          <w:spacing w:val="-4"/>
        </w:rPr>
        <w:t xml:space="preserve"> </w:t>
      </w:r>
      <w:r>
        <w:t>10 in</w:t>
      </w:r>
      <w:r>
        <w:rPr>
          <w:spacing w:val="-1"/>
        </w:rPr>
        <w:t xml:space="preserve"> </w:t>
      </w:r>
      <w:r>
        <w:t>the</w:t>
      </w:r>
      <w:r>
        <w:rPr>
          <w:spacing w:val="-1"/>
        </w:rPr>
        <w:t xml:space="preserve"> </w:t>
      </w:r>
      <w:r>
        <w:t>2007</w:t>
      </w:r>
      <w:r>
        <w:rPr>
          <w:spacing w:val="-2"/>
        </w:rPr>
        <w:t xml:space="preserve"> </w:t>
      </w:r>
      <w:r>
        <w:t>Final Report</w:t>
      </w:r>
      <w:r>
        <w:rPr>
          <w:spacing w:val="-7"/>
        </w:rPr>
        <w:t xml:space="preserve"> </w:t>
      </w:r>
      <w:r>
        <w:t>(see</w:t>
      </w:r>
      <w:r>
        <w:rPr>
          <w:spacing w:val="-6"/>
        </w:rPr>
        <w:t xml:space="preserve"> </w:t>
      </w:r>
      <w:r>
        <w:t>Appendix</w:t>
      </w:r>
      <w:r>
        <w:rPr>
          <w:spacing w:val="-9"/>
        </w:rPr>
        <w:t xml:space="preserve"> </w:t>
      </w:r>
      <w:r>
        <w:t>A),</w:t>
      </w:r>
      <w:r>
        <w:rPr>
          <w:spacing w:val="-6"/>
        </w:rPr>
        <w:t xml:space="preserve"> </w:t>
      </w:r>
      <w:r>
        <w:t>consistent</w:t>
      </w:r>
      <w:r>
        <w:rPr>
          <w:spacing w:val="-5"/>
        </w:rPr>
        <w:t xml:space="preserve"> </w:t>
      </w:r>
      <w:r>
        <w:t>with</w:t>
      </w:r>
      <w:r>
        <w:rPr>
          <w:spacing w:val="-9"/>
        </w:rPr>
        <w:t xml:space="preserve"> </w:t>
      </w:r>
      <w:r>
        <w:t>the</w:t>
      </w:r>
      <w:r>
        <w:rPr>
          <w:spacing w:val="-6"/>
        </w:rPr>
        <w:t xml:space="preserve"> </w:t>
      </w:r>
      <w:r>
        <w:t>dialogue</w:t>
      </w:r>
      <w:r>
        <w:rPr>
          <w:spacing w:val="-8"/>
        </w:rPr>
        <w:t xml:space="preserve"> </w:t>
      </w:r>
      <w:r>
        <w:t>model</w:t>
      </w:r>
      <w:r>
        <w:rPr>
          <w:spacing w:val="-5"/>
        </w:rPr>
        <w:t xml:space="preserve"> </w:t>
      </w:r>
      <w:r>
        <w:t>of</w:t>
      </w:r>
      <w:r>
        <w:rPr>
          <w:spacing w:val="-5"/>
        </w:rPr>
        <w:t xml:space="preserve"> </w:t>
      </w:r>
      <w:r>
        <w:t>human</w:t>
      </w:r>
      <w:r>
        <w:rPr>
          <w:spacing w:val="-8"/>
        </w:rPr>
        <w:t xml:space="preserve"> </w:t>
      </w:r>
      <w:r>
        <w:t>rights,</w:t>
      </w:r>
      <w:r>
        <w:rPr>
          <w:spacing w:val="-8"/>
        </w:rPr>
        <w:t xml:space="preserve"> </w:t>
      </w:r>
      <w:r>
        <w:t>and</w:t>
      </w:r>
      <w:r>
        <w:rPr>
          <w:spacing w:val="-8"/>
        </w:rPr>
        <w:t xml:space="preserve"> </w:t>
      </w:r>
      <w:r>
        <w:t>the</w:t>
      </w:r>
      <w:r>
        <w:rPr>
          <w:spacing w:val="-8"/>
        </w:rPr>
        <w:t xml:space="preserve"> </w:t>
      </w:r>
      <w:r>
        <w:t>requirement</w:t>
      </w:r>
      <w:r>
        <w:rPr>
          <w:spacing w:val="-7"/>
        </w:rPr>
        <w:t xml:space="preserve"> </w:t>
      </w:r>
      <w:r>
        <w:t>that Parliament and the public should be notified of a declaration as soon as possible.</w:t>
      </w:r>
    </w:p>
    <w:p w14:paraId="7CB26275" w14:textId="77777777" w:rsidR="008A4099" w:rsidRDefault="006A6EE2">
      <w:pPr>
        <w:pStyle w:val="ListParagraph"/>
        <w:numPr>
          <w:ilvl w:val="2"/>
          <w:numId w:val="3"/>
        </w:numPr>
        <w:tabs>
          <w:tab w:val="left" w:pos="879"/>
        </w:tabs>
        <w:spacing w:before="216"/>
        <w:ind w:right="676" w:firstLine="0"/>
        <w:jc w:val="both"/>
      </w:pPr>
      <w:r>
        <w:t>To inform the Government’s response, the declaration should be referred to the PHRSC for review</w:t>
      </w:r>
      <w:r>
        <w:rPr>
          <w:spacing w:val="-12"/>
        </w:rPr>
        <w:t xml:space="preserve"> </w:t>
      </w:r>
      <w:r>
        <w:t>within</w:t>
      </w:r>
      <w:r>
        <w:rPr>
          <w:spacing w:val="-13"/>
        </w:rPr>
        <w:t xml:space="preserve"> </w:t>
      </w:r>
      <w:r>
        <w:t>the</w:t>
      </w:r>
      <w:r>
        <w:rPr>
          <w:spacing w:val="-13"/>
        </w:rPr>
        <w:t xml:space="preserve"> </w:t>
      </w:r>
      <w:r>
        <w:t>response</w:t>
      </w:r>
      <w:r>
        <w:rPr>
          <w:spacing w:val="-13"/>
        </w:rPr>
        <w:t xml:space="preserve"> </w:t>
      </w:r>
      <w:r>
        <w:t>period.</w:t>
      </w:r>
      <w:r>
        <w:rPr>
          <w:spacing w:val="-12"/>
        </w:rPr>
        <w:t xml:space="preserve"> </w:t>
      </w:r>
      <w:r>
        <w:t>The</w:t>
      </w:r>
      <w:r>
        <w:rPr>
          <w:spacing w:val="-12"/>
        </w:rPr>
        <w:t xml:space="preserve"> </w:t>
      </w:r>
      <w:r>
        <w:t>TLRI</w:t>
      </w:r>
      <w:r>
        <w:rPr>
          <w:spacing w:val="-13"/>
        </w:rPr>
        <w:t xml:space="preserve"> </w:t>
      </w:r>
      <w:r>
        <w:t>maintains</w:t>
      </w:r>
      <w:r>
        <w:rPr>
          <w:spacing w:val="-13"/>
        </w:rPr>
        <w:t xml:space="preserve"> </w:t>
      </w:r>
      <w:r>
        <w:t>the</w:t>
      </w:r>
      <w:r>
        <w:rPr>
          <w:spacing w:val="-12"/>
        </w:rPr>
        <w:t xml:space="preserve"> </w:t>
      </w:r>
      <w:r>
        <w:t>view</w:t>
      </w:r>
      <w:r>
        <w:rPr>
          <w:spacing w:val="-12"/>
        </w:rPr>
        <w:t xml:space="preserve"> </w:t>
      </w:r>
      <w:r>
        <w:t>that</w:t>
      </w:r>
      <w:r>
        <w:rPr>
          <w:spacing w:val="-13"/>
        </w:rPr>
        <w:t xml:space="preserve"> </w:t>
      </w:r>
      <w:r>
        <w:t>impugned</w:t>
      </w:r>
      <w:r>
        <w:rPr>
          <w:spacing w:val="-12"/>
        </w:rPr>
        <w:t xml:space="preserve"> </w:t>
      </w:r>
      <w:r>
        <w:t>legislation</w:t>
      </w:r>
      <w:r>
        <w:rPr>
          <w:spacing w:val="-12"/>
        </w:rPr>
        <w:t xml:space="preserve"> </w:t>
      </w:r>
      <w:r>
        <w:t>should</w:t>
      </w:r>
      <w:r>
        <w:rPr>
          <w:spacing w:val="-12"/>
        </w:rPr>
        <w:t xml:space="preserve"> </w:t>
      </w:r>
      <w:r>
        <w:t>cease to</w:t>
      </w:r>
      <w:r>
        <w:rPr>
          <w:spacing w:val="-2"/>
        </w:rPr>
        <w:t xml:space="preserve"> </w:t>
      </w:r>
      <w:r>
        <w:t>operate</w:t>
      </w:r>
      <w:r>
        <w:rPr>
          <w:spacing w:val="-4"/>
        </w:rPr>
        <w:t xml:space="preserve"> </w:t>
      </w:r>
      <w:r>
        <w:t>to</w:t>
      </w:r>
      <w:r>
        <w:rPr>
          <w:spacing w:val="-5"/>
        </w:rPr>
        <w:t xml:space="preserve"> </w:t>
      </w:r>
      <w:r>
        <w:t>the</w:t>
      </w:r>
      <w:r>
        <w:rPr>
          <w:spacing w:val="-2"/>
        </w:rPr>
        <w:t xml:space="preserve"> </w:t>
      </w:r>
      <w:r>
        <w:t>extent</w:t>
      </w:r>
      <w:r>
        <w:rPr>
          <w:spacing w:val="-1"/>
        </w:rPr>
        <w:t xml:space="preserve"> </w:t>
      </w:r>
      <w:r>
        <w:t>of</w:t>
      </w:r>
      <w:r>
        <w:rPr>
          <w:spacing w:val="-4"/>
        </w:rPr>
        <w:t xml:space="preserve"> </w:t>
      </w:r>
      <w:r>
        <w:t>its</w:t>
      </w:r>
      <w:r>
        <w:rPr>
          <w:spacing w:val="-2"/>
        </w:rPr>
        <w:t xml:space="preserve"> </w:t>
      </w:r>
      <w:r>
        <w:t>incompatibility</w:t>
      </w:r>
      <w:r>
        <w:rPr>
          <w:spacing w:val="-5"/>
        </w:rPr>
        <w:t xml:space="preserve"> </w:t>
      </w:r>
      <w:r>
        <w:t>with</w:t>
      </w:r>
      <w:r>
        <w:rPr>
          <w:spacing w:val="-2"/>
        </w:rPr>
        <w:t xml:space="preserve"> </w:t>
      </w:r>
      <w:r>
        <w:t>human</w:t>
      </w:r>
      <w:r>
        <w:rPr>
          <w:spacing w:val="-2"/>
        </w:rPr>
        <w:t xml:space="preserve"> </w:t>
      </w:r>
      <w:r>
        <w:t>rights,</w:t>
      </w:r>
      <w:r>
        <w:rPr>
          <w:spacing w:val="-5"/>
        </w:rPr>
        <w:t xml:space="preserve"> </w:t>
      </w:r>
      <w:r>
        <w:t>if</w:t>
      </w:r>
      <w:r>
        <w:rPr>
          <w:spacing w:val="-4"/>
        </w:rPr>
        <w:t xml:space="preserve"> </w:t>
      </w:r>
      <w:r>
        <w:t>the</w:t>
      </w:r>
      <w:r>
        <w:rPr>
          <w:spacing w:val="-2"/>
        </w:rPr>
        <w:t xml:space="preserve"> </w:t>
      </w:r>
      <w:r>
        <w:t>government</w:t>
      </w:r>
      <w:r>
        <w:rPr>
          <w:spacing w:val="-4"/>
        </w:rPr>
        <w:t xml:space="preserve"> </w:t>
      </w:r>
      <w:r>
        <w:t>fails</w:t>
      </w:r>
      <w:r>
        <w:rPr>
          <w:spacing w:val="-4"/>
        </w:rPr>
        <w:t xml:space="preserve"> </w:t>
      </w:r>
      <w:r>
        <w:t>to</w:t>
      </w:r>
      <w:r>
        <w:rPr>
          <w:spacing w:val="-2"/>
        </w:rPr>
        <w:t xml:space="preserve"> </w:t>
      </w:r>
      <w:r>
        <w:t>respond</w:t>
      </w:r>
      <w:r>
        <w:rPr>
          <w:spacing w:val="-2"/>
        </w:rPr>
        <w:t xml:space="preserve"> </w:t>
      </w:r>
      <w:r>
        <w:t>to</w:t>
      </w:r>
      <w:r>
        <w:rPr>
          <w:spacing w:val="-5"/>
        </w:rPr>
        <w:t xml:space="preserve"> </w:t>
      </w:r>
      <w:r>
        <w:t>a declaration of incompatibility within the designated time period of notice of the declaration being received, or no more than eight months if an extension is granted. This recommendation builds on Recommendation 10 in the 2007 Final Report (see Appendix A).</w:t>
      </w:r>
    </w:p>
    <w:p w14:paraId="7CB26276" w14:textId="77777777" w:rsidR="008A4099" w:rsidRDefault="006A6EE2">
      <w:pPr>
        <w:pStyle w:val="ListParagraph"/>
        <w:numPr>
          <w:ilvl w:val="2"/>
          <w:numId w:val="3"/>
        </w:numPr>
        <w:tabs>
          <w:tab w:val="left" w:pos="879"/>
        </w:tabs>
        <w:spacing w:before="213"/>
        <w:ind w:right="682" w:firstLine="0"/>
        <w:jc w:val="both"/>
      </w:pPr>
      <w:r>
        <w:t>For the reasons outlined in the 2007 report, the TLRI remains of the view that the Supreme Court should have power to invalidate subordinate legislation that is the subject of a declaration of incompatibility. This is consistent with Recommendation 12 of the 2007 Final Report.</w:t>
      </w:r>
    </w:p>
    <w:p w14:paraId="7CB26277" w14:textId="77777777" w:rsidR="008A4099" w:rsidRDefault="008A4099">
      <w:pPr>
        <w:pStyle w:val="BodyText"/>
        <w:rPr>
          <w:sz w:val="20"/>
        </w:rPr>
      </w:pPr>
    </w:p>
    <w:p w14:paraId="7CB26278" w14:textId="77777777" w:rsidR="008A4099" w:rsidRDefault="008A4099">
      <w:pPr>
        <w:pStyle w:val="BodyText"/>
        <w:rPr>
          <w:sz w:val="20"/>
        </w:rPr>
      </w:pPr>
    </w:p>
    <w:p w14:paraId="7CB26279" w14:textId="77777777" w:rsidR="008A4099" w:rsidRDefault="008A4099">
      <w:pPr>
        <w:pStyle w:val="BodyText"/>
        <w:rPr>
          <w:sz w:val="20"/>
        </w:rPr>
      </w:pPr>
    </w:p>
    <w:p w14:paraId="7CB2627A" w14:textId="77777777" w:rsidR="008A4099" w:rsidRDefault="008A4099">
      <w:pPr>
        <w:pStyle w:val="BodyText"/>
        <w:rPr>
          <w:sz w:val="20"/>
        </w:rPr>
      </w:pPr>
    </w:p>
    <w:p w14:paraId="7CB2627B" w14:textId="77777777" w:rsidR="008A4099" w:rsidRDefault="008A4099">
      <w:pPr>
        <w:pStyle w:val="BodyText"/>
        <w:rPr>
          <w:sz w:val="20"/>
        </w:rPr>
      </w:pPr>
    </w:p>
    <w:p w14:paraId="7CB2627C" w14:textId="77777777" w:rsidR="008A4099" w:rsidRDefault="008A4099">
      <w:pPr>
        <w:pStyle w:val="BodyText"/>
        <w:rPr>
          <w:sz w:val="20"/>
        </w:rPr>
      </w:pPr>
    </w:p>
    <w:p w14:paraId="7CB2627D" w14:textId="77777777" w:rsidR="008A4099" w:rsidRDefault="008A4099">
      <w:pPr>
        <w:pStyle w:val="BodyText"/>
        <w:rPr>
          <w:sz w:val="20"/>
        </w:rPr>
      </w:pPr>
    </w:p>
    <w:p w14:paraId="7CB2627E" w14:textId="77777777" w:rsidR="008A4099" w:rsidRDefault="006A6EE2">
      <w:pPr>
        <w:pStyle w:val="BodyText"/>
        <w:spacing w:before="202"/>
        <w:rPr>
          <w:sz w:val="20"/>
        </w:rPr>
      </w:pPr>
      <w:r>
        <w:rPr>
          <w:noProof/>
        </w:rPr>
        <mc:AlternateContent>
          <mc:Choice Requires="wps">
            <w:drawing>
              <wp:anchor distT="0" distB="0" distL="0" distR="0" simplePos="0" relativeHeight="487633920" behindDoc="1" locked="0" layoutInCell="1" allowOverlap="1" wp14:anchorId="7CB2668D" wp14:editId="7CB2668E">
                <wp:simplePos x="0" y="0"/>
                <wp:positionH relativeFrom="page">
                  <wp:posOffset>914704</wp:posOffset>
                </wp:positionH>
                <wp:positionV relativeFrom="paragraph">
                  <wp:posOffset>290039</wp:posOffset>
                </wp:positionV>
                <wp:extent cx="1829435" cy="762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AE97F7" id="Graphic 138" o:spid="_x0000_s1026" style="position:absolute;margin-left:1in;margin-top:22.85pt;width:144.05pt;height:.6pt;z-index:-156825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" path="m1829054,l,,,7619r1829054,l1829054,xe" fillcolor="black" stroked="f">
                <v:path arrowok="t"/>
                <w10:wrap type="topAndBottom" anchorx="page"/>
              </v:shape>
            </w:pict>
          </mc:Fallback>
        </mc:AlternateContent>
      </w:r>
    </w:p>
    <w:p w14:paraId="7CB2627F" w14:textId="77777777" w:rsidR="008A4099" w:rsidRDefault="006A6EE2">
      <w:pPr>
        <w:spacing w:before="112"/>
        <w:ind w:left="160"/>
        <w:rPr>
          <w:sz w:val="18"/>
        </w:rPr>
      </w:pPr>
      <w:r>
        <w:rPr>
          <w:sz w:val="18"/>
          <w:vertAlign w:val="superscript"/>
        </w:rPr>
        <w:t>482</w:t>
      </w:r>
      <w:r>
        <w:rPr>
          <w:spacing w:val="1"/>
          <w:sz w:val="18"/>
        </w:rPr>
        <w:t xml:space="preserve"> </w:t>
      </w:r>
      <w:r>
        <w:rPr>
          <w:sz w:val="18"/>
        </w:rPr>
        <w:t>Vic Human</w:t>
      </w:r>
      <w:r>
        <w:rPr>
          <w:spacing w:val="3"/>
          <w:sz w:val="18"/>
        </w:rPr>
        <w:t xml:space="preserve"> </w:t>
      </w:r>
      <w:r>
        <w:rPr>
          <w:sz w:val="18"/>
        </w:rPr>
        <w:t>Rights</w:t>
      </w:r>
      <w:r>
        <w:rPr>
          <w:spacing w:val="1"/>
          <w:sz w:val="18"/>
        </w:rPr>
        <w:t xml:space="preserve"> </w:t>
      </w:r>
      <w:r>
        <w:rPr>
          <w:sz w:val="18"/>
        </w:rPr>
        <w:t>Charter</w:t>
      </w:r>
      <w:r>
        <w:rPr>
          <w:spacing w:val="1"/>
          <w:sz w:val="18"/>
        </w:rPr>
        <w:t xml:space="preserve"> </w:t>
      </w:r>
      <w:r>
        <w:rPr>
          <w:sz w:val="18"/>
        </w:rPr>
        <w:t>ss</w:t>
      </w:r>
      <w:r>
        <w:rPr>
          <w:spacing w:val="-2"/>
          <w:sz w:val="18"/>
        </w:rPr>
        <w:t xml:space="preserve"> </w:t>
      </w:r>
      <w:r>
        <w:rPr>
          <w:sz w:val="18"/>
        </w:rPr>
        <w:t>36(7)</w:t>
      </w:r>
      <w:r>
        <w:rPr>
          <w:spacing w:val="2"/>
          <w:sz w:val="18"/>
        </w:rPr>
        <w:t xml:space="preserve"> </w:t>
      </w:r>
      <w:r>
        <w:rPr>
          <w:sz w:val="18"/>
        </w:rPr>
        <w:t xml:space="preserve">and </w:t>
      </w:r>
      <w:r>
        <w:rPr>
          <w:spacing w:val="-5"/>
          <w:sz w:val="18"/>
        </w:rPr>
        <w:t>37.</w:t>
      </w:r>
    </w:p>
    <w:p w14:paraId="7CB26280" w14:textId="77777777" w:rsidR="008A4099" w:rsidRDefault="006A6EE2">
      <w:pPr>
        <w:spacing w:before="24"/>
        <w:ind w:left="160"/>
        <w:rPr>
          <w:sz w:val="18"/>
        </w:rPr>
      </w:pPr>
      <w:r>
        <w:rPr>
          <w:sz w:val="18"/>
          <w:vertAlign w:val="superscript"/>
        </w:rPr>
        <w:t>483</w:t>
      </w:r>
      <w:r>
        <w:rPr>
          <w:sz w:val="18"/>
        </w:rPr>
        <w:t xml:space="preserve"> See discussion</w:t>
      </w:r>
      <w:r>
        <w:rPr>
          <w:spacing w:val="1"/>
          <w:sz w:val="18"/>
        </w:rPr>
        <w:t xml:space="preserve"> </w:t>
      </w:r>
      <w:r>
        <w:rPr>
          <w:sz w:val="18"/>
        </w:rPr>
        <w:t>at</w:t>
      </w:r>
      <w:r>
        <w:rPr>
          <w:spacing w:val="1"/>
          <w:sz w:val="18"/>
        </w:rPr>
        <w:t xml:space="preserve"> </w:t>
      </w:r>
      <w:r>
        <w:rPr>
          <w:sz w:val="18"/>
        </w:rPr>
        <w:t>[3.2]–[3.3]</w:t>
      </w:r>
      <w:r>
        <w:rPr>
          <w:spacing w:val="-2"/>
          <w:sz w:val="18"/>
        </w:rPr>
        <w:t xml:space="preserve"> </w:t>
      </w:r>
      <w:r>
        <w:rPr>
          <w:sz w:val="18"/>
        </w:rPr>
        <w:t>of</w:t>
      </w:r>
      <w:r>
        <w:rPr>
          <w:spacing w:val="1"/>
          <w:sz w:val="18"/>
        </w:rPr>
        <w:t xml:space="preserve"> </w:t>
      </w:r>
      <w:r>
        <w:rPr>
          <w:sz w:val="18"/>
        </w:rPr>
        <w:t xml:space="preserve">TLRI 2007 Final </w:t>
      </w:r>
      <w:r>
        <w:rPr>
          <w:spacing w:val="-2"/>
          <w:sz w:val="18"/>
        </w:rPr>
        <w:t>Report.</w:t>
      </w:r>
    </w:p>
    <w:p w14:paraId="7CB26281" w14:textId="77777777" w:rsidR="008A4099" w:rsidRDefault="006A6EE2">
      <w:pPr>
        <w:spacing w:before="23"/>
        <w:ind w:left="160"/>
        <w:rPr>
          <w:sz w:val="18"/>
        </w:rPr>
      </w:pPr>
      <w:r>
        <w:rPr>
          <w:sz w:val="18"/>
          <w:vertAlign w:val="superscript"/>
        </w:rPr>
        <w:t>484</w:t>
      </w:r>
      <w:r>
        <w:rPr>
          <w:spacing w:val="1"/>
          <w:sz w:val="18"/>
        </w:rPr>
        <w:t xml:space="preserve"> </w:t>
      </w:r>
      <w:r>
        <w:rPr>
          <w:i/>
          <w:sz w:val="18"/>
        </w:rPr>
        <w:t>Evans</w:t>
      </w:r>
      <w:r>
        <w:rPr>
          <w:i/>
          <w:spacing w:val="1"/>
          <w:sz w:val="18"/>
        </w:rPr>
        <w:t xml:space="preserve"> </w:t>
      </w:r>
      <w:r>
        <w:rPr>
          <w:i/>
          <w:sz w:val="18"/>
        </w:rPr>
        <w:t>v New</w:t>
      </w:r>
      <w:r>
        <w:rPr>
          <w:i/>
          <w:spacing w:val="-1"/>
          <w:sz w:val="18"/>
        </w:rPr>
        <w:t xml:space="preserve"> </w:t>
      </w:r>
      <w:r>
        <w:rPr>
          <w:i/>
          <w:sz w:val="18"/>
        </w:rPr>
        <w:t>South</w:t>
      </w:r>
      <w:r>
        <w:rPr>
          <w:i/>
          <w:spacing w:val="3"/>
          <w:sz w:val="18"/>
        </w:rPr>
        <w:t xml:space="preserve"> </w:t>
      </w:r>
      <w:r>
        <w:rPr>
          <w:i/>
          <w:sz w:val="18"/>
        </w:rPr>
        <w:t>Wales</w:t>
      </w:r>
      <w:r>
        <w:rPr>
          <w:i/>
          <w:spacing w:val="1"/>
          <w:sz w:val="18"/>
        </w:rPr>
        <w:t xml:space="preserve"> </w:t>
      </w:r>
      <w:r>
        <w:rPr>
          <w:sz w:val="18"/>
        </w:rPr>
        <w:t>[2008]</w:t>
      </w:r>
      <w:r>
        <w:rPr>
          <w:spacing w:val="-1"/>
          <w:sz w:val="18"/>
        </w:rPr>
        <w:t xml:space="preserve"> </w:t>
      </w:r>
      <w:r>
        <w:rPr>
          <w:sz w:val="18"/>
        </w:rPr>
        <w:t>FCAFC</w:t>
      </w:r>
      <w:r>
        <w:rPr>
          <w:spacing w:val="1"/>
          <w:sz w:val="18"/>
        </w:rPr>
        <w:t xml:space="preserve"> </w:t>
      </w:r>
      <w:r>
        <w:rPr>
          <w:spacing w:val="-4"/>
          <w:sz w:val="18"/>
        </w:rPr>
        <w:t>130.</w:t>
      </w:r>
    </w:p>
    <w:p w14:paraId="7CB26282" w14:textId="77777777" w:rsidR="008A4099" w:rsidRDefault="006A6EE2">
      <w:pPr>
        <w:spacing w:before="24"/>
        <w:ind w:left="160"/>
        <w:rPr>
          <w:sz w:val="18"/>
        </w:rPr>
      </w:pPr>
      <w:r>
        <w:rPr>
          <w:sz w:val="18"/>
          <w:vertAlign w:val="superscript"/>
        </w:rPr>
        <w:t>485</w:t>
      </w:r>
      <w:r>
        <w:rPr>
          <w:sz w:val="18"/>
        </w:rPr>
        <w:t xml:space="preserve"> Department</w:t>
      </w:r>
      <w:r>
        <w:rPr>
          <w:spacing w:val="1"/>
          <w:sz w:val="18"/>
        </w:rPr>
        <w:t xml:space="preserve"> </w:t>
      </w:r>
      <w:r>
        <w:rPr>
          <w:sz w:val="18"/>
        </w:rPr>
        <w:t>of</w:t>
      </w:r>
      <w:r>
        <w:rPr>
          <w:spacing w:val="1"/>
          <w:sz w:val="18"/>
        </w:rPr>
        <w:t xml:space="preserve"> </w:t>
      </w:r>
      <w:r>
        <w:rPr>
          <w:sz w:val="18"/>
        </w:rPr>
        <w:t>Justice (Tasmania),</w:t>
      </w:r>
      <w:r>
        <w:rPr>
          <w:spacing w:val="1"/>
          <w:sz w:val="18"/>
        </w:rPr>
        <w:t xml:space="preserve"> </w:t>
      </w:r>
      <w:r>
        <w:rPr>
          <w:sz w:val="18"/>
        </w:rPr>
        <w:t>Directions</w:t>
      </w:r>
      <w:r>
        <w:rPr>
          <w:spacing w:val="-3"/>
          <w:sz w:val="18"/>
        </w:rPr>
        <w:t xml:space="preserve"> </w:t>
      </w:r>
      <w:r>
        <w:rPr>
          <w:sz w:val="18"/>
        </w:rPr>
        <w:t>Paper</w:t>
      </w:r>
      <w:r>
        <w:rPr>
          <w:spacing w:val="1"/>
          <w:sz w:val="18"/>
        </w:rPr>
        <w:t xml:space="preserve"> </w:t>
      </w:r>
      <w:r>
        <w:rPr>
          <w:spacing w:val="-5"/>
          <w:sz w:val="18"/>
        </w:rPr>
        <w:t>45.</w:t>
      </w:r>
    </w:p>
    <w:p w14:paraId="7CB26283" w14:textId="77777777" w:rsidR="008A4099" w:rsidRDefault="008A4099">
      <w:pPr>
        <w:rPr>
          <w:sz w:val="18"/>
        </w:rPr>
        <w:sectPr w:rsidR="008A4099" w:rsidSect="00D43B2D">
          <w:pgSz w:w="11910" w:h="16840"/>
          <w:pgMar w:top="980" w:right="760" w:bottom="940" w:left="1280" w:header="718" w:footer="753" w:gutter="0"/>
          <w:cols w:space="720"/>
        </w:sectPr>
      </w:pPr>
    </w:p>
    <w:p w14:paraId="7CB26284" w14:textId="77777777" w:rsidR="008A4099" w:rsidRDefault="008A4099">
      <w:pPr>
        <w:pStyle w:val="BodyText"/>
        <w:spacing w:before="218" w:after="1"/>
        <w:rPr>
          <w:sz w:val="20"/>
        </w:rPr>
      </w:pPr>
    </w:p>
    <w:p w14:paraId="7CB26285" w14:textId="77777777" w:rsidR="008A4099" w:rsidRDefault="006A6EE2">
      <w:pPr>
        <w:pStyle w:val="BodyText"/>
        <w:ind w:left="160"/>
        <w:rPr>
          <w:sz w:val="20"/>
        </w:rPr>
      </w:pPr>
      <w:r>
        <w:rPr>
          <w:noProof/>
          <w:sz w:val="20"/>
        </w:rPr>
        <mc:AlternateContent>
          <mc:Choice Requires="wps">
            <w:drawing>
              <wp:inline distT="0" distB="0" distL="0" distR="0" wp14:anchorId="7CB2668F" wp14:editId="7CB26690">
                <wp:extent cx="5727065" cy="2532380"/>
                <wp:effectExtent l="0" t="0" r="0" b="0"/>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532380"/>
                        </a:xfrm>
                        <a:prstGeom prst="rect">
                          <a:avLst/>
                        </a:prstGeom>
                        <a:solidFill>
                          <a:srgbClr val="E8E8E8"/>
                        </a:solidFill>
                      </wps:spPr>
                      <wps:txbx>
                        <w:txbxContent>
                          <w:p w14:paraId="7CB2678B" w14:textId="77777777" w:rsidR="008A4099" w:rsidRDefault="006A6EE2">
                            <w:pPr>
                              <w:spacing w:before="220"/>
                              <w:ind w:left="108"/>
                              <w:jc w:val="both"/>
                              <w:rPr>
                                <w:b/>
                                <w:color w:val="000000"/>
                                <w:sz w:val="23"/>
                              </w:rPr>
                            </w:pPr>
                            <w:r>
                              <w:rPr>
                                <w:b/>
                                <w:color w:val="000000"/>
                                <w:sz w:val="23"/>
                              </w:rPr>
                              <w:t>Recommendation</w:t>
                            </w:r>
                            <w:r>
                              <w:rPr>
                                <w:b/>
                                <w:color w:val="000000"/>
                                <w:spacing w:val="-4"/>
                                <w:sz w:val="23"/>
                              </w:rPr>
                              <w:t xml:space="preserve"> </w:t>
                            </w:r>
                            <w:r>
                              <w:rPr>
                                <w:b/>
                                <w:color w:val="000000"/>
                                <w:sz w:val="23"/>
                              </w:rPr>
                              <w:t>13</w:t>
                            </w:r>
                            <w:r>
                              <w:rPr>
                                <w:b/>
                                <w:color w:val="000000"/>
                                <w:spacing w:val="-2"/>
                                <w:sz w:val="23"/>
                              </w:rPr>
                              <w:t xml:space="preserve"> </w:t>
                            </w:r>
                            <w:r>
                              <w:rPr>
                                <w:b/>
                                <w:color w:val="000000"/>
                                <w:sz w:val="23"/>
                              </w:rPr>
                              <w:t>–</w:t>
                            </w:r>
                            <w:r>
                              <w:rPr>
                                <w:b/>
                                <w:color w:val="000000"/>
                                <w:spacing w:val="-2"/>
                                <w:sz w:val="23"/>
                              </w:rPr>
                              <w:t xml:space="preserve"> </w:t>
                            </w:r>
                            <w:r>
                              <w:rPr>
                                <w:b/>
                                <w:color w:val="000000"/>
                                <w:sz w:val="23"/>
                              </w:rPr>
                              <w:t>Declarations</w:t>
                            </w:r>
                            <w:r>
                              <w:rPr>
                                <w:b/>
                                <w:color w:val="000000"/>
                                <w:spacing w:val="-3"/>
                                <w:sz w:val="23"/>
                              </w:rPr>
                              <w:t xml:space="preserve"> </w:t>
                            </w:r>
                            <w:r>
                              <w:rPr>
                                <w:b/>
                                <w:color w:val="000000"/>
                                <w:sz w:val="23"/>
                              </w:rPr>
                              <w:t>of</w:t>
                            </w:r>
                            <w:r>
                              <w:rPr>
                                <w:b/>
                                <w:color w:val="000000"/>
                                <w:spacing w:val="-2"/>
                                <w:sz w:val="23"/>
                              </w:rPr>
                              <w:t xml:space="preserve"> Incompatibility</w:t>
                            </w:r>
                          </w:p>
                          <w:p w14:paraId="7CB2678C" w14:textId="77777777" w:rsidR="008A4099" w:rsidRDefault="006A6EE2">
                            <w:pPr>
                              <w:pStyle w:val="BodyText"/>
                              <w:spacing w:before="239"/>
                              <w:ind w:left="108" w:right="228"/>
                              <w:jc w:val="both"/>
                              <w:rPr>
                                <w:color w:val="000000"/>
                              </w:rPr>
                            </w:pPr>
                            <w:r>
                              <w:rPr>
                                <w:color w:val="000000"/>
                              </w:rPr>
                              <w:t>That the Minister administering the legislation be required to respond to a declaration of incompatibility with human rights made by the Supreme Court of Tasmania.</w:t>
                            </w:r>
                          </w:p>
                          <w:p w14:paraId="7CB2678D" w14:textId="77777777" w:rsidR="008A4099" w:rsidRDefault="006A6EE2">
                            <w:pPr>
                              <w:pStyle w:val="BodyText"/>
                              <w:spacing w:before="120"/>
                              <w:ind w:left="108" w:right="228"/>
                              <w:jc w:val="both"/>
                              <w:rPr>
                                <w:color w:val="000000"/>
                              </w:rPr>
                            </w:pPr>
                            <w:r>
                              <w:rPr>
                                <w:color w:val="000000"/>
                              </w:rPr>
                              <w:t>Consistent with the dialogue model of human rights, Parliament and the public should be notified of a declaration as soon as possible.</w:t>
                            </w:r>
                          </w:p>
                          <w:p w14:paraId="7CB2678E" w14:textId="77777777" w:rsidR="008A4099" w:rsidRDefault="006A6EE2">
                            <w:pPr>
                              <w:pStyle w:val="BodyText"/>
                              <w:spacing w:before="119"/>
                              <w:ind w:left="108" w:right="227"/>
                              <w:jc w:val="both"/>
                              <w:rPr>
                                <w:color w:val="000000"/>
                              </w:rPr>
                            </w:pPr>
                            <w:r>
                              <w:rPr>
                                <w:color w:val="000000"/>
                              </w:rPr>
                              <w:t>The written report to Parliament responding to the declaration should be tabled within six months of notice being given. However, Parliament should be able to grant one extension</w:t>
                            </w:r>
                            <w:r>
                              <w:rPr>
                                <w:color w:val="000000"/>
                                <w:spacing w:val="-2"/>
                              </w:rPr>
                              <w:t xml:space="preserve"> </w:t>
                            </w:r>
                            <w:r>
                              <w:rPr>
                                <w:color w:val="000000"/>
                              </w:rPr>
                              <w:t>of no</w:t>
                            </w:r>
                            <w:r>
                              <w:rPr>
                                <w:color w:val="000000"/>
                                <w:spacing w:val="-2"/>
                              </w:rPr>
                              <w:t xml:space="preserve"> </w:t>
                            </w:r>
                            <w:r>
                              <w:rPr>
                                <w:color w:val="000000"/>
                              </w:rPr>
                              <w:t>more than two months, if satisfied that additional time is required.</w:t>
                            </w:r>
                          </w:p>
                          <w:p w14:paraId="7CB2678F" w14:textId="77777777" w:rsidR="008A4099" w:rsidRDefault="006A6EE2">
                            <w:pPr>
                              <w:pStyle w:val="BodyText"/>
                              <w:spacing w:before="121"/>
                              <w:ind w:left="108" w:right="223"/>
                              <w:jc w:val="both"/>
                              <w:rPr>
                                <w:color w:val="000000"/>
                              </w:rPr>
                            </w:pPr>
                            <w:r>
                              <w:rPr>
                                <w:color w:val="000000"/>
                              </w:rPr>
                              <w:t>Impugned</w:t>
                            </w:r>
                            <w:r>
                              <w:rPr>
                                <w:color w:val="000000"/>
                                <w:spacing w:val="-7"/>
                              </w:rPr>
                              <w:t xml:space="preserve"> </w:t>
                            </w:r>
                            <w:r>
                              <w:rPr>
                                <w:color w:val="000000"/>
                              </w:rPr>
                              <w:t>legislation</w:t>
                            </w:r>
                            <w:r>
                              <w:rPr>
                                <w:color w:val="000000"/>
                                <w:spacing w:val="-7"/>
                              </w:rPr>
                              <w:t xml:space="preserve"> </w:t>
                            </w:r>
                            <w:r>
                              <w:rPr>
                                <w:color w:val="000000"/>
                              </w:rPr>
                              <w:t>should</w:t>
                            </w:r>
                            <w:r>
                              <w:rPr>
                                <w:color w:val="000000"/>
                                <w:spacing w:val="-5"/>
                              </w:rPr>
                              <w:t xml:space="preserve"> </w:t>
                            </w:r>
                            <w:r>
                              <w:rPr>
                                <w:color w:val="000000"/>
                              </w:rPr>
                              <w:t>cease</w:t>
                            </w:r>
                            <w:r>
                              <w:rPr>
                                <w:color w:val="000000"/>
                                <w:spacing w:val="-4"/>
                              </w:rPr>
                              <w:t xml:space="preserve"> </w:t>
                            </w:r>
                            <w:r>
                              <w:rPr>
                                <w:color w:val="000000"/>
                              </w:rPr>
                              <w:t>to</w:t>
                            </w:r>
                            <w:r>
                              <w:rPr>
                                <w:color w:val="000000"/>
                                <w:spacing w:val="-5"/>
                              </w:rPr>
                              <w:t xml:space="preserve"> </w:t>
                            </w:r>
                            <w:r>
                              <w:rPr>
                                <w:color w:val="000000"/>
                              </w:rPr>
                              <w:t>operate</w:t>
                            </w:r>
                            <w:r>
                              <w:rPr>
                                <w:color w:val="000000"/>
                                <w:spacing w:val="-4"/>
                              </w:rPr>
                              <w:t xml:space="preserve"> </w:t>
                            </w:r>
                            <w:r>
                              <w:rPr>
                                <w:color w:val="000000"/>
                              </w:rPr>
                              <w:t>to</w:t>
                            </w:r>
                            <w:r>
                              <w:rPr>
                                <w:color w:val="000000"/>
                                <w:spacing w:val="-5"/>
                              </w:rPr>
                              <w:t xml:space="preserve"> </w:t>
                            </w:r>
                            <w:r>
                              <w:rPr>
                                <w:color w:val="000000"/>
                              </w:rPr>
                              <w:t>the</w:t>
                            </w:r>
                            <w:r>
                              <w:rPr>
                                <w:color w:val="000000"/>
                                <w:spacing w:val="-4"/>
                              </w:rPr>
                              <w:t xml:space="preserve"> </w:t>
                            </w:r>
                            <w:r>
                              <w:rPr>
                                <w:color w:val="000000"/>
                              </w:rPr>
                              <w:t>extent</w:t>
                            </w:r>
                            <w:r>
                              <w:rPr>
                                <w:color w:val="000000"/>
                                <w:spacing w:val="-4"/>
                              </w:rPr>
                              <w:t xml:space="preserve"> </w:t>
                            </w:r>
                            <w:r>
                              <w:rPr>
                                <w:color w:val="000000"/>
                              </w:rPr>
                              <w:t>of</w:t>
                            </w:r>
                            <w:r>
                              <w:rPr>
                                <w:color w:val="000000"/>
                                <w:spacing w:val="-4"/>
                              </w:rPr>
                              <w:t xml:space="preserve"> </w:t>
                            </w:r>
                            <w:r>
                              <w:rPr>
                                <w:color w:val="000000"/>
                              </w:rPr>
                              <w:t>its</w:t>
                            </w:r>
                            <w:r>
                              <w:rPr>
                                <w:color w:val="000000"/>
                                <w:spacing w:val="-6"/>
                              </w:rPr>
                              <w:t xml:space="preserve"> </w:t>
                            </w:r>
                            <w:r>
                              <w:rPr>
                                <w:color w:val="000000"/>
                              </w:rPr>
                              <w:t>incompatibility</w:t>
                            </w:r>
                            <w:r>
                              <w:rPr>
                                <w:color w:val="000000"/>
                                <w:spacing w:val="-5"/>
                              </w:rPr>
                              <w:t xml:space="preserve"> </w:t>
                            </w:r>
                            <w:r>
                              <w:rPr>
                                <w:color w:val="000000"/>
                              </w:rPr>
                              <w:t>with</w:t>
                            </w:r>
                            <w:r>
                              <w:rPr>
                                <w:color w:val="000000"/>
                                <w:spacing w:val="-5"/>
                              </w:rPr>
                              <w:t xml:space="preserve"> </w:t>
                            </w:r>
                            <w:r>
                              <w:rPr>
                                <w:color w:val="000000"/>
                              </w:rPr>
                              <w:t>human</w:t>
                            </w:r>
                            <w:r>
                              <w:rPr>
                                <w:color w:val="000000"/>
                                <w:spacing w:val="-7"/>
                              </w:rPr>
                              <w:t xml:space="preserve"> </w:t>
                            </w:r>
                            <w:r>
                              <w:rPr>
                                <w:color w:val="000000"/>
                              </w:rPr>
                              <w:t>rights, if the government fails to respond to a declaration of incompatibility within the designated time period after notice of the declaration has been received, or no more than eight months after, if an extension to the time period is granted.</w:t>
                            </w:r>
                          </w:p>
                        </w:txbxContent>
                      </wps:txbx>
                      <wps:bodyPr wrap="square" lIns="0" tIns="0" rIns="0" bIns="0" rtlCol="0">
                        <a:noAutofit/>
                      </wps:bodyPr>
                    </wps:wsp>
                  </a:graphicData>
                </a:graphic>
              </wp:inline>
            </w:drawing>
          </mc:Choice>
          <mc:Fallback>
            <w:pict>
              <v:shape w14:anchorId="7CB2668F" id="Textbox 139" o:spid="_x0000_s1039" type="#_x0000_t202" style="width:450.95pt;height:19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" fillcolor="#e8e8e8" stroked="f">
                <v:textbox inset="0,0,0,0">
                  <w:txbxContent>
                    <w:p w14:paraId="7CB2678B" w14:textId="77777777" w:rsidR="008A4099" w:rsidRDefault="006A6EE2">
                      <w:pPr>
                        <w:spacing w:before="220"/>
                        <w:ind w:left="108"/>
                        <w:jc w:val="both"/>
                        <w:rPr>
                          <w:b/>
                          <w:color w:val="000000"/>
                          <w:sz w:val="23"/>
                        </w:rPr>
                      </w:pPr>
                      <w:r>
                        <w:rPr>
                          <w:b/>
                          <w:color w:val="000000"/>
                          <w:sz w:val="23"/>
                        </w:rPr>
                        <w:t>Recommendation</w:t>
                      </w:r>
                      <w:r>
                        <w:rPr>
                          <w:b/>
                          <w:color w:val="000000"/>
                          <w:spacing w:val="-4"/>
                          <w:sz w:val="23"/>
                        </w:rPr>
                        <w:t xml:space="preserve"> </w:t>
                      </w:r>
                      <w:r>
                        <w:rPr>
                          <w:b/>
                          <w:color w:val="000000"/>
                          <w:sz w:val="23"/>
                        </w:rPr>
                        <w:t>13</w:t>
                      </w:r>
                      <w:r>
                        <w:rPr>
                          <w:b/>
                          <w:color w:val="000000"/>
                          <w:spacing w:val="-2"/>
                          <w:sz w:val="23"/>
                        </w:rPr>
                        <w:t xml:space="preserve"> </w:t>
                      </w:r>
                      <w:r>
                        <w:rPr>
                          <w:b/>
                          <w:color w:val="000000"/>
                          <w:sz w:val="23"/>
                        </w:rPr>
                        <w:t>–</w:t>
                      </w:r>
                      <w:r>
                        <w:rPr>
                          <w:b/>
                          <w:color w:val="000000"/>
                          <w:spacing w:val="-2"/>
                          <w:sz w:val="23"/>
                        </w:rPr>
                        <w:t xml:space="preserve"> </w:t>
                      </w:r>
                      <w:r>
                        <w:rPr>
                          <w:b/>
                          <w:color w:val="000000"/>
                          <w:sz w:val="23"/>
                        </w:rPr>
                        <w:t>Declarations</w:t>
                      </w:r>
                      <w:r>
                        <w:rPr>
                          <w:b/>
                          <w:color w:val="000000"/>
                          <w:spacing w:val="-3"/>
                          <w:sz w:val="23"/>
                        </w:rPr>
                        <w:t xml:space="preserve"> </w:t>
                      </w:r>
                      <w:r>
                        <w:rPr>
                          <w:b/>
                          <w:color w:val="000000"/>
                          <w:sz w:val="23"/>
                        </w:rPr>
                        <w:t>of</w:t>
                      </w:r>
                      <w:r>
                        <w:rPr>
                          <w:b/>
                          <w:color w:val="000000"/>
                          <w:spacing w:val="-2"/>
                          <w:sz w:val="23"/>
                        </w:rPr>
                        <w:t xml:space="preserve"> Incompatibility</w:t>
                      </w:r>
                    </w:p>
                    <w:p w14:paraId="7CB2678C" w14:textId="77777777" w:rsidR="008A4099" w:rsidRDefault="006A6EE2">
                      <w:pPr>
                        <w:pStyle w:val="BodyText"/>
                        <w:spacing w:before="239"/>
                        <w:ind w:left="108" w:right="228"/>
                        <w:jc w:val="both"/>
                        <w:rPr>
                          <w:color w:val="000000"/>
                        </w:rPr>
                      </w:pPr>
                      <w:r>
                        <w:rPr>
                          <w:color w:val="000000"/>
                        </w:rPr>
                        <w:t>That the Minister administering the legislation be required to respond to a declaration of incompatibility with human rights made by the Supreme Court of Tasmania.</w:t>
                      </w:r>
                    </w:p>
                    <w:p w14:paraId="7CB2678D" w14:textId="77777777" w:rsidR="008A4099" w:rsidRDefault="006A6EE2">
                      <w:pPr>
                        <w:pStyle w:val="BodyText"/>
                        <w:spacing w:before="120"/>
                        <w:ind w:left="108" w:right="228"/>
                        <w:jc w:val="both"/>
                        <w:rPr>
                          <w:color w:val="000000"/>
                        </w:rPr>
                      </w:pPr>
                      <w:r>
                        <w:rPr>
                          <w:color w:val="000000"/>
                        </w:rPr>
                        <w:t>Consistent with the dialogue model of human rights, Parliament and the public should be notified of a declaration as soon as possible.</w:t>
                      </w:r>
                    </w:p>
                    <w:p w14:paraId="7CB2678E" w14:textId="77777777" w:rsidR="008A4099" w:rsidRDefault="006A6EE2">
                      <w:pPr>
                        <w:pStyle w:val="BodyText"/>
                        <w:spacing w:before="119"/>
                        <w:ind w:left="108" w:right="227"/>
                        <w:jc w:val="both"/>
                        <w:rPr>
                          <w:color w:val="000000"/>
                        </w:rPr>
                      </w:pPr>
                      <w:r>
                        <w:rPr>
                          <w:color w:val="000000"/>
                        </w:rPr>
                        <w:t>The written report to Parliament responding to the declaration should be tabled within six months of notice being given. However, Parliament should be able to grant one extension</w:t>
                      </w:r>
                      <w:r>
                        <w:rPr>
                          <w:color w:val="000000"/>
                          <w:spacing w:val="-2"/>
                        </w:rPr>
                        <w:t xml:space="preserve"> </w:t>
                      </w:r>
                      <w:r>
                        <w:rPr>
                          <w:color w:val="000000"/>
                        </w:rPr>
                        <w:t>of no</w:t>
                      </w:r>
                      <w:r>
                        <w:rPr>
                          <w:color w:val="000000"/>
                          <w:spacing w:val="-2"/>
                        </w:rPr>
                        <w:t xml:space="preserve"> </w:t>
                      </w:r>
                      <w:r>
                        <w:rPr>
                          <w:color w:val="000000"/>
                        </w:rPr>
                        <w:t>more than two months, if satisfied that additional time is required.</w:t>
                      </w:r>
                    </w:p>
                    <w:p w14:paraId="7CB2678F" w14:textId="77777777" w:rsidR="008A4099" w:rsidRDefault="006A6EE2">
                      <w:pPr>
                        <w:pStyle w:val="BodyText"/>
                        <w:spacing w:before="121"/>
                        <w:ind w:left="108" w:right="223"/>
                        <w:jc w:val="both"/>
                        <w:rPr>
                          <w:color w:val="000000"/>
                        </w:rPr>
                      </w:pPr>
                      <w:r>
                        <w:rPr>
                          <w:color w:val="000000"/>
                        </w:rPr>
                        <w:t>Impugned</w:t>
                      </w:r>
                      <w:r>
                        <w:rPr>
                          <w:color w:val="000000"/>
                          <w:spacing w:val="-7"/>
                        </w:rPr>
                        <w:t xml:space="preserve"> </w:t>
                      </w:r>
                      <w:r>
                        <w:rPr>
                          <w:color w:val="000000"/>
                        </w:rPr>
                        <w:t>legislation</w:t>
                      </w:r>
                      <w:r>
                        <w:rPr>
                          <w:color w:val="000000"/>
                          <w:spacing w:val="-7"/>
                        </w:rPr>
                        <w:t xml:space="preserve"> </w:t>
                      </w:r>
                      <w:r>
                        <w:rPr>
                          <w:color w:val="000000"/>
                        </w:rPr>
                        <w:t>should</w:t>
                      </w:r>
                      <w:r>
                        <w:rPr>
                          <w:color w:val="000000"/>
                          <w:spacing w:val="-5"/>
                        </w:rPr>
                        <w:t xml:space="preserve"> </w:t>
                      </w:r>
                      <w:r>
                        <w:rPr>
                          <w:color w:val="000000"/>
                        </w:rPr>
                        <w:t>cease</w:t>
                      </w:r>
                      <w:r>
                        <w:rPr>
                          <w:color w:val="000000"/>
                          <w:spacing w:val="-4"/>
                        </w:rPr>
                        <w:t xml:space="preserve"> </w:t>
                      </w:r>
                      <w:r>
                        <w:rPr>
                          <w:color w:val="000000"/>
                        </w:rPr>
                        <w:t>to</w:t>
                      </w:r>
                      <w:r>
                        <w:rPr>
                          <w:color w:val="000000"/>
                          <w:spacing w:val="-5"/>
                        </w:rPr>
                        <w:t xml:space="preserve"> </w:t>
                      </w:r>
                      <w:r>
                        <w:rPr>
                          <w:color w:val="000000"/>
                        </w:rPr>
                        <w:t>operate</w:t>
                      </w:r>
                      <w:r>
                        <w:rPr>
                          <w:color w:val="000000"/>
                          <w:spacing w:val="-4"/>
                        </w:rPr>
                        <w:t xml:space="preserve"> </w:t>
                      </w:r>
                      <w:r>
                        <w:rPr>
                          <w:color w:val="000000"/>
                        </w:rPr>
                        <w:t>to</w:t>
                      </w:r>
                      <w:r>
                        <w:rPr>
                          <w:color w:val="000000"/>
                          <w:spacing w:val="-5"/>
                        </w:rPr>
                        <w:t xml:space="preserve"> </w:t>
                      </w:r>
                      <w:r>
                        <w:rPr>
                          <w:color w:val="000000"/>
                        </w:rPr>
                        <w:t>the</w:t>
                      </w:r>
                      <w:r>
                        <w:rPr>
                          <w:color w:val="000000"/>
                          <w:spacing w:val="-4"/>
                        </w:rPr>
                        <w:t xml:space="preserve"> </w:t>
                      </w:r>
                      <w:r>
                        <w:rPr>
                          <w:color w:val="000000"/>
                        </w:rPr>
                        <w:t>extent</w:t>
                      </w:r>
                      <w:r>
                        <w:rPr>
                          <w:color w:val="000000"/>
                          <w:spacing w:val="-4"/>
                        </w:rPr>
                        <w:t xml:space="preserve"> </w:t>
                      </w:r>
                      <w:r>
                        <w:rPr>
                          <w:color w:val="000000"/>
                        </w:rPr>
                        <w:t>of</w:t>
                      </w:r>
                      <w:r>
                        <w:rPr>
                          <w:color w:val="000000"/>
                          <w:spacing w:val="-4"/>
                        </w:rPr>
                        <w:t xml:space="preserve"> </w:t>
                      </w:r>
                      <w:r>
                        <w:rPr>
                          <w:color w:val="000000"/>
                        </w:rPr>
                        <w:t>its</w:t>
                      </w:r>
                      <w:r>
                        <w:rPr>
                          <w:color w:val="000000"/>
                          <w:spacing w:val="-6"/>
                        </w:rPr>
                        <w:t xml:space="preserve"> </w:t>
                      </w:r>
                      <w:r>
                        <w:rPr>
                          <w:color w:val="000000"/>
                        </w:rPr>
                        <w:t>incompatibility</w:t>
                      </w:r>
                      <w:r>
                        <w:rPr>
                          <w:color w:val="000000"/>
                          <w:spacing w:val="-5"/>
                        </w:rPr>
                        <w:t xml:space="preserve"> </w:t>
                      </w:r>
                      <w:r>
                        <w:rPr>
                          <w:color w:val="000000"/>
                        </w:rPr>
                        <w:t>with</w:t>
                      </w:r>
                      <w:r>
                        <w:rPr>
                          <w:color w:val="000000"/>
                          <w:spacing w:val="-5"/>
                        </w:rPr>
                        <w:t xml:space="preserve"> </w:t>
                      </w:r>
                      <w:r>
                        <w:rPr>
                          <w:color w:val="000000"/>
                        </w:rPr>
                        <w:t>human</w:t>
                      </w:r>
                      <w:r>
                        <w:rPr>
                          <w:color w:val="000000"/>
                          <w:spacing w:val="-7"/>
                        </w:rPr>
                        <w:t xml:space="preserve"> </w:t>
                      </w:r>
                      <w:r>
                        <w:rPr>
                          <w:color w:val="000000"/>
                        </w:rPr>
                        <w:t>rights, if the government fails to respond to a declaration of incompatibility within the designated time period after notice of the declaration has been received, or no more than eight months after, if an extension to the time period is granted.</w:t>
                      </w:r>
                    </w:p>
                  </w:txbxContent>
                </v:textbox>
                <w10:anchorlock/>
              </v:shape>
            </w:pict>
          </mc:Fallback>
        </mc:AlternateContent>
      </w:r>
    </w:p>
    <w:p w14:paraId="7CB26286" w14:textId="77777777" w:rsidR="008A4099" w:rsidRDefault="006A6EE2">
      <w:pPr>
        <w:pStyle w:val="BodyText"/>
        <w:spacing w:before="191"/>
        <w:rPr>
          <w:sz w:val="20"/>
        </w:rPr>
      </w:pPr>
      <w:r>
        <w:rPr>
          <w:noProof/>
        </w:rPr>
        <mc:AlternateContent>
          <mc:Choice Requires="wps">
            <w:drawing>
              <wp:anchor distT="0" distB="0" distL="0" distR="0" simplePos="0" relativeHeight="487634944" behindDoc="1" locked="0" layoutInCell="1" allowOverlap="1" wp14:anchorId="7CB26691" wp14:editId="7CB26692">
                <wp:simplePos x="0" y="0"/>
                <wp:positionH relativeFrom="page">
                  <wp:posOffset>914704</wp:posOffset>
                </wp:positionH>
                <wp:positionV relativeFrom="paragraph">
                  <wp:posOffset>282956</wp:posOffset>
                </wp:positionV>
                <wp:extent cx="5727065" cy="858519"/>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58519"/>
                        </a:xfrm>
                        <a:prstGeom prst="rect">
                          <a:avLst/>
                        </a:prstGeom>
                        <a:solidFill>
                          <a:srgbClr val="E8E8E8"/>
                        </a:solidFill>
                      </wps:spPr>
                      <wps:txbx>
                        <w:txbxContent>
                          <w:p w14:paraId="7CB26790" w14:textId="77777777" w:rsidR="008A4099" w:rsidRDefault="006A6EE2">
                            <w:pPr>
                              <w:spacing w:before="219"/>
                              <w:ind w:left="108"/>
                              <w:rPr>
                                <w:b/>
                                <w:color w:val="000000"/>
                                <w:sz w:val="23"/>
                              </w:rPr>
                            </w:pPr>
                            <w:r>
                              <w:rPr>
                                <w:b/>
                                <w:color w:val="000000"/>
                                <w:sz w:val="23"/>
                              </w:rPr>
                              <w:t>Recommendation</w:t>
                            </w:r>
                            <w:r>
                              <w:rPr>
                                <w:b/>
                                <w:color w:val="000000"/>
                                <w:spacing w:val="-6"/>
                                <w:sz w:val="23"/>
                              </w:rPr>
                              <w:t xml:space="preserve"> </w:t>
                            </w:r>
                            <w:r>
                              <w:rPr>
                                <w:b/>
                                <w:color w:val="000000"/>
                                <w:sz w:val="23"/>
                              </w:rPr>
                              <w:t>14</w:t>
                            </w:r>
                            <w:r>
                              <w:rPr>
                                <w:b/>
                                <w:color w:val="000000"/>
                                <w:spacing w:val="-2"/>
                                <w:sz w:val="23"/>
                              </w:rPr>
                              <w:t xml:space="preserve"> </w:t>
                            </w:r>
                            <w:r>
                              <w:rPr>
                                <w:b/>
                                <w:color w:val="000000"/>
                                <w:sz w:val="23"/>
                              </w:rPr>
                              <w:t>–</w:t>
                            </w:r>
                            <w:r>
                              <w:rPr>
                                <w:b/>
                                <w:color w:val="000000"/>
                                <w:spacing w:val="-2"/>
                                <w:sz w:val="23"/>
                              </w:rPr>
                              <w:t xml:space="preserve"> </w:t>
                            </w:r>
                            <w:r>
                              <w:rPr>
                                <w:b/>
                                <w:color w:val="000000"/>
                                <w:sz w:val="23"/>
                              </w:rPr>
                              <w:t>Invalidation</w:t>
                            </w:r>
                            <w:r>
                              <w:rPr>
                                <w:b/>
                                <w:color w:val="000000"/>
                                <w:spacing w:val="-4"/>
                                <w:sz w:val="23"/>
                              </w:rPr>
                              <w:t xml:space="preserve"> </w:t>
                            </w:r>
                            <w:r>
                              <w:rPr>
                                <w:b/>
                                <w:color w:val="000000"/>
                                <w:sz w:val="23"/>
                              </w:rPr>
                              <w:t>of</w:t>
                            </w:r>
                            <w:r>
                              <w:rPr>
                                <w:b/>
                                <w:color w:val="000000"/>
                                <w:spacing w:val="-2"/>
                                <w:sz w:val="23"/>
                              </w:rPr>
                              <w:t xml:space="preserve"> </w:t>
                            </w:r>
                            <w:r>
                              <w:rPr>
                                <w:b/>
                                <w:color w:val="000000"/>
                                <w:sz w:val="23"/>
                              </w:rPr>
                              <w:t>Subordinate</w:t>
                            </w:r>
                            <w:r>
                              <w:rPr>
                                <w:b/>
                                <w:color w:val="000000"/>
                                <w:spacing w:val="-2"/>
                                <w:sz w:val="23"/>
                              </w:rPr>
                              <w:t xml:space="preserve"> Legislation</w:t>
                            </w:r>
                          </w:p>
                          <w:p w14:paraId="7CB26791" w14:textId="77777777" w:rsidR="008A4099" w:rsidRDefault="006A6EE2">
                            <w:pPr>
                              <w:pStyle w:val="BodyText"/>
                              <w:spacing w:before="240" w:line="244" w:lineRule="auto"/>
                              <w:ind w:left="108"/>
                              <w:rPr>
                                <w:color w:val="000000"/>
                              </w:rPr>
                            </w:pPr>
                            <w:r>
                              <w:rPr>
                                <w:color w:val="000000"/>
                              </w:rPr>
                              <w:t>That</w:t>
                            </w:r>
                            <w:r>
                              <w:rPr>
                                <w:color w:val="000000"/>
                                <w:spacing w:val="-9"/>
                              </w:rPr>
                              <w:t xml:space="preserve"> </w:t>
                            </w:r>
                            <w:r>
                              <w:rPr>
                                <w:color w:val="000000"/>
                              </w:rPr>
                              <w:t>the</w:t>
                            </w:r>
                            <w:r>
                              <w:rPr>
                                <w:color w:val="000000"/>
                                <w:spacing w:val="-9"/>
                              </w:rPr>
                              <w:t xml:space="preserve"> </w:t>
                            </w:r>
                            <w:r>
                              <w:rPr>
                                <w:color w:val="000000"/>
                              </w:rPr>
                              <w:t>Supreme</w:t>
                            </w:r>
                            <w:r>
                              <w:rPr>
                                <w:color w:val="000000"/>
                                <w:spacing w:val="-9"/>
                              </w:rPr>
                              <w:t xml:space="preserve"> </w:t>
                            </w:r>
                            <w:r>
                              <w:rPr>
                                <w:color w:val="000000"/>
                              </w:rPr>
                              <w:t>Court</w:t>
                            </w:r>
                            <w:r>
                              <w:rPr>
                                <w:color w:val="000000"/>
                                <w:spacing w:val="-9"/>
                              </w:rPr>
                              <w:t xml:space="preserve"> </w:t>
                            </w:r>
                            <w:r>
                              <w:rPr>
                                <w:color w:val="000000"/>
                              </w:rPr>
                              <w:t>of</w:t>
                            </w:r>
                            <w:r>
                              <w:rPr>
                                <w:color w:val="000000"/>
                                <w:spacing w:val="-9"/>
                              </w:rPr>
                              <w:t xml:space="preserve"> </w:t>
                            </w:r>
                            <w:r>
                              <w:rPr>
                                <w:color w:val="000000"/>
                              </w:rPr>
                              <w:t>Tasmania</w:t>
                            </w:r>
                            <w:r>
                              <w:rPr>
                                <w:color w:val="000000"/>
                                <w:spacing w:val="-9"/>
                              </w:rPr>
                              <w:t xml:space="preserve"> </w:t>
                            </w:r>
                            <w:r>
                              <w:rPr>
                                <w:color w:val="000000"/>
                              </w:rPr>
                              <w:t>have</w:t>
                            </w:r>
                            <w:r>
                              <w:rPr>
                                <w:color w:val="000000"/>
                                <w:spacing w:val="-9"/>
                              </w:rPr>
                              <w:t xml:space="preserve"> </w:t>
                            </w:r>
                            <w:r>
                              <w:rPr>
                                <w:color w:val="000000"/>
                              </w:rPr>
                              <w:t>the</w:t>
                            </w:r>
                            <w:r>
                              <w:rPr>
                                <w:color w:val="000000"/>
                                <w:spacing w:val="-9"/>
                              </w:rPr>
                              <w:t xml:space="preserve"> </w:t>
                            </w:r>
                            <w:r>
                              <w:rPr>
                                <w:color w:val="000000"/>
                              </w:rPr>
                              <w:t>power</w:t>
                            </w:r>
                            <w:r>
                              <w:rPr>
                                <w:color w:val="000000"/>
                                <w:spacing w:val="-9"/>
                              </w:rPr>
                              <w:t xml:space="preserve"> </w:t>
                            </w:r>
                            <w:r>
                              <w:rPr>
                                <w:color w:val="000000"/>
                              </w:rPr>
                              <w:t>to</w:t>
                            </w:r>
                            <w:r>
                              <w:rPr>
                                <w:color w:val="000000"/>
                                <w:spacing w:val="-12"/>
                              </w:rPr>
                              <w:t xml:space="preserve"> </w:t>
                            </w:r>
                            <w:r>
                              <w:rPr>
                                <w:color w:val="000000"/>
                              </w:rPr>
                              <w:t>invalidate</w:t>
                            </w:r>
                            <w:r>
                              <w:rPr>
                                <w:color w:val="000000"/>
                                <w:spacing w:val="-9"/>
                              </w:rPr>
                              <w:t xml:space="preserve"> </w:t>
                            </w:r>
                            <w:r>
                              <w:rPr>
                                <w:color w:val="000000"/>
                              </w:rPr>
                              <w:t>subordinate</w:t>
                            </w:r>
                            <w:r>
                              <w:rPr>
                                <w:color w:val="000000"/>
                                <w:spacing w:val="-9"/>
                              </w:rPr>
                              <w:t xml:space="preserve"> </w:t>
                            </w:r>
                            <w:r>
                              <w:rPr>
                                <w:color w:val="000000"/>
                              </w:rPr>
                              <w:t>legislation</w:t>
                            </w:r>
                            <w:r>
                              <w:rPr>
                                <w:color w:val="000000"/>
                                <w:spacing w:val="-10"/>
                              </w:rPr>
                              <w:t xml:space="preserve"> </w:t>
                            </w:r>
                            <w:r>
                              <w:rPr>
                                <w:color w:val="000000"/>
                              </w:rPr>
                              <w:t>that</w:t>
                            </w:r>
                            <w:r>
                              <w:rPr>
                                <w:color w:val="000000"/>
                                <w:spacing w:val="-11"/>
                              </w:rPr>
                              <w:t xml:space="preserve"> </w:t>
                            </w:r>
                            <w:r>
                              <w:rPr>
                                <w:color w:val="000000"/>
                              </w:rPr>
                              <w:t>is</w:t>
                            </w:r>
                            <w:r>
                              <w:rPr>
                                <w:color w:val="000000"/>
                                <w:spacing w:val="-9"/>
                              </w:rPr>
                              <w:t xml:space="preserve"> </w:t>
                            </w:r>
                            <w:r>
                              <w:rPr>
                                <w:color w:val="000000"/>
                              </w:rPr>
                              <w:t>the subject of a declaration of incompatibility.</w:t>
                            </w:r>
                          </w:p>
                        </w:txbxContent>
                      </wps:txbx>
                      <wps:bodyPr wrap="square" lIns="0" tIns="0" rIns="0" bIns="0" rtlCol="0">
                        <a:noAutofit/>
                      </wps:bodyPr>
                    </wps:wsp>
                  </a:graphicData>
                </a:graphic>
              </wp:anchor>
            </w:drawing>
          </mc:Choice>
          <mc:Fallback>
            <w:pict>
              <v:shape w14:anchorId="7CB26691" id="Textbox 140" o:spid="_x0000_s1040" type="#_x0000_t202" style="position:absolute;margin-left:1in;margin-top:22.3pt;width:450.95pt;height:67.6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" fillcolor="#e8e8e8" stroked="f">
                <v:textbox inset="0,0,0,0">
                  <w:txbxContent>
                    <w:p w14:paraId="7CB26790" w14:textId="77777777" w:rsidR="008A4099" w:rsidRDefault="006A6EE2">
                      <w:pPr>
                        <w:spacing w:before="219"/>
                        <w:ind w:left="108"/>
                        <w:rPr>
                          <w:b/>
                          <w:color w:val="000000"/>
                          <w:sz w:val="23"/>
                        </w:rPr>
                      </w:pPr>
                      <w:r>
                        <w:rPr>
                          <w:b/>
                          <w:color w:val="000000"/>
                          <w:sz w:val="23"/>
                        </w:rPr>
                        <w:t>Recommendation</w:t>
                      </w:r>
                      <w:r>
                        <w:rPr>
                          <w:b/>
                          <w:color w:val="000000"/>
                          <w:spacing w:val="-6"/>
                          <w:sz w:val="23"/>
                        </w:rPr>
                        <w:t xml:space="preserve"> </w:t>
                      </w:r>
                      <w:r>
                        <w:rPr>
                          <w:b/>
                          <w:color w:val="000000"/>
                          <w:sz w:val="23"/>
                        </w:rPr>
                        <w:t>14</w:t>
                      </w:r>
                      <w:r>
                        <w:rPr>
                          <w:b/>
                          <w:color w:val="000000"/>
                          <w:spacing w:val="-2"/>
                          <w:sz w:val="23"/>
                        </w:rPr>
                        <w:t xml:space="preserve"> </w:t>
                      </w:r>
                      <w:r>
                        <w:rPr>
                          <w:b/>
                          <w:color w:val="000000"/>
                          <w:sz w:val="23"/>
                        </w:rPr>
                        <w:t>–</w:t>
                      </w:r>
                      <w:r>
                        <w:rPr>
                          <w:b/>
                          <w:color w:val="000000"/>
                          <w:spacing w:val="-2"/>
                          <w:sz w:val="23"/>
                        </w:rPr>
                        <w:t xml:space="preserve"> </w:t>
                      </w:r>
                      <w:r>
                        <w:rPr>
                          <w:b/>
                          <w:color w:val="000000"/>
                          <w:sz w:val="23"/>
                        </w:rPr>
                        <w:t>Invalidation</w:t>
                      </w:r>
                      <w:r>
                        <w:rPr>
                          <w:b/>
                          <w:color w:val="000000"/>
                          <w:spacing w:val="-4"/>
                          <w:sz w:val="23"/>
                        </w:rPr>
                        <w:t xml:space="preserve"> </w:t>
                      </w:r>
                      <w:r>
                        <w:rPr>
                          <w:b/>
                          <w:color w:val="000000"/>
                          <w:sz w:val="23"/>
                        </w:rPr>
                        <w:t>of</w:t>
                      </w:r>
                      <w:r>
                        <w:rPr>
                          <w:b/>
                          <w:color w:val="000000"/>
                          <w:spacing w:val="-2"/>
                          <w:sz w:val="23"/>
                        </w:rPr>
                        <w:t xml:space="preserve"> </w:t>
                      </w:r>
                      <w:r>
                        <w:rPr>
                          <w:b/>
                          <w:color w:val="000000"/>
                          <w:sz w:val="23"/>
                        </w:rPr>
                        <w:t>Subordinate</w:t>
                      </w:r>
                      <w:r>
                        <w:rPr>
                          <w:b/>
                          <w:color w:val="000000"/>
                          <w:spacing w:val="-2"/>
                          <w:sz w:val="23"/>
                        </w:rPr>
                        <w:t xml:space="preserve"> Legislation</w:t>
                      </w:r>
                    </w:p>
                    <w:p w14:paraId="7CB26791" w14:textId="77777777" w:rsidR="008A4099" w:rsidRDefault="006A6EE2">
                      <w:pPr>
                        <w:pStyle w:val="BodyText"/>
                        <w:spacing w:before="240" w:line="244" w:lineRule="auto"/>
                        <w:ind w:left="108"/>
                        <w:rPr>
                          <w:color w:val="000000"/>
                        </w:rPr>
                      </w:pPr>
                      <w:r>
                        <w:rPr>
                          <w:color w:val="000000"/>
                        </w:rPr>
                        <w:t>That</w:t>
                      </w:r>
                      <w:r>
                        <w:rPr>
                          <w:color w:val="000000"/>
                          <w:spacing w:val="-9"/>
                        </w:rPr>
                        <w:t xml:space="preserve"> </w:t>
                      </w:r>
                      <w:r>
                        <w:rPr>
                          <w:color w:val="000000"/>
                        </w:rPr>
                        <w:t>the</w:t>
                      </w:r>
                      <w:r>
                        <w:rPr>
                          <w:color w:val="000000"/>
                          <w:spacing w:val="-9"/>
                        </w:rPr>
                        <w:t xml:space="preserve"> </w:t>
                      </w:r>
                      <w:r>
                        <w:rPr>
                          <w:color w:val="000000"/>
                        </w:rPr>
                        <w:t>Supreme</w:t>
                      </w:r>
                      <w:r>
                        <w:rPr>
                          <w:color w:val="000000"/>
                          <w:spacing w:val="-9"/>
                        </w:rPr>
                        <w:t xml:space="preserve"> </w:t>
                      </w:r>
                      <w:r>
                        <w:rPr>
                          <w:color w:val="000000"/>
                        </w:rPr>
                        <w:t>Court</w:t>
                      </w:r>
                      <w:r>
                        <w:rPr>
                          <w:color w:val="000000"/>
                          <w:spacing w:val="-9"/>
                        </w:rPr>
                        <w:t xml:space="preserve"> </w:t>
                      </w:r>
                      <w:r>
                        <w:rPr>
                          <w:color w:val="000000"/>
                        </w:rPr>
                        <w:t>of</w:t>
                      </w:r>
                      <w:r>
                        <w:rPr>
                          <w:color w:val="000000"/>
                          <w:spacing w:val="-9"/>
                        </w:rPr>
                        <w:t xml:space="preserve"> </w:t>
                      </w:r>
                      <w:r>
                        <w:rPr>
                          <w:color w:val="000000"/>
                        </w:rPr>
                        <w:t>Tasmania</w:t>
                      </w:r>
                      <w:r>
                        <w:rPr>
                          <w:color w:val="000000"/>
                          <w:spacing w:val="-9"/>
                        </w:rPr>
                        <w:t xml:space="preserve"> </w:t>
                      </w:r>
                      <w:r>
                        <w:rPr>
                          <w:color w:val="000000"/>
                        </w:rPr>
                        <w:t>have</w:t>
                      </w:r>
                      <w:r>
                        <w:rPr>
                          <w:color w:val="000000"/>
                          <w:spacing w:val="-9"/>
                        </w:rPr>
                        <w:t xml:space="preserve"> </w:t>
                      </w:r>
                      <w:r>
                        <w:rPr>
                          <w:color w:val="000000"/>
                        </w:rPr>
                        <w:t>the</w:t>
                      </w:r>
                      <w:r>
                        <w:rPr>
                          <w:color w:val="000000"/>
                          <w:spacing w:val="-9"/>
                        </w:rPr>
                        <w:t xml:space="preserve"> </w:t>
                      </w:r>
                      <w:r>
                        <w:rPr>
                          <w:color w:val="000000"/>
                        </w:rPr>
                        <w:t>power</w:t>
                      </w:r>
                      <w:r>
                        <w:rPr>
                          <w:color w:val="000000"/>
                          <w:spacing w:val="-9"/>
                        </w:rPr>
                        <w:t xml:space="preserve"> </w:t>
                      </w:r>
                      <w:r>
                        <w:rPr>
                          <w:color w:val="000000"/>
                        </w:rPr>
                        <w:t>to</w:t>
                      </w:r>
                      <w:r>
                        <w:rPr>
                          <w:color w:val="000000"/>
                          <w:spacing w:val="-12"/>
                        </w:rPr>
                        <w:t xml:space="preserve"> </w:t>
                      </w:r>
                      <w:r>
                        <w:rPr>
                          <w:color w:val="000000"/>
                        </w:rPr>
                        <w:t>invalidate</w:t>
                      </w:r>
                      <w:r>
                        <w:rPr>
                          <w:color w:val="000000"/>
                          <w:spacing w:val="-9"/>
                        </w:rPr>
                        <w:t xml:space="preserve"> </w:t>
                      </w:r>
                      <w:r>
                        <w:rPr>
                          <w:color w:val="000000"/>
                        </w:rPr>
                        <w:t>subordinate</w:t>
                      </w:r>
                      <w:r>
                        <w:rPr>
                          <w:color w:val="000000"/>
                          <w:spacing w:val="-9"/>
                        </w:rPr>
                        <w:t xml:space="preserve"> </w:t>
                      </w:r>
                      <w:r>
                        <w:rPr>
                          <w:color w:val="000000"/>
                        </w:rPr>
                        <w:t>legislation</w:t>
                      </w:r>
                      <w:r>
                        <w:rPr>
                          <w:color w:val="000000"/>
                          <w:spacing w:val="-10"/>
                        </w:rPr>
                        <w:t xml:space="preserve"> </w:t>
                      </w:r>
                      <w:r>
                        <w:rPr>
                          <w:color w:val="000000"/>
                        </w:rPr>
                        <w:t>that</w:t>
                      </w:r>
                      <w:r>
                        <w:rPr>
                          <w:color w:val="000000"/>
                          <w:spacing w:val="-11"/>
                        </w:rPr>
                        <w:t xml:space="preserve"> </w:t>
                      </w:r>
                      <w:r>
                        <w:rPr>
                          <w:color w:val="000000"/>
                        </w:rPr>
                        <w:t>is</w:t>
                      </w:r>
                      <w:r>
                        <w:rPr>
                          <w:color w:val="000000"/>
                          <w:spacing w:val="-9"/>
                        </w:rPr>
                        <w:t xml:space="preserve"> </w:t>
                      </w:r>
                      <w:r>
                        <w:rPr>
                          <w:color w:val="000000"/>
                        </w:rPr>
                        <w:t>the subject of a declaration of incompatibility.</w:t>
                      </w:r>
                    </w:p>
                  </w:txbxContent>
                </v:textbox>
                <w10:wrap type="topAndBottom" anchorx="page"/>
              </v:shape>
            </w:pict>
          </mc:Fallback>
        </mc:AlternateContent>
      </w:r>
    </w:p>
    <w:p w14:paraId="7CB26287" w14:textId="77777777" w:rsidR="008A4099" w:rsidRDefault="008A4099">
      <w:pPr>
        <w:pStyle w:val="BodyText"/>
        <w:spacing w:before="271"/>
        <w:rPr>
          <w:sz w:val="32"/>
        </w:rPr>
      </w:pPr>
    </w:p>
    <w:p w14:paraId="7CB26288" w14:textId="77777777" w:rsidR="008A4099" w:rsidRDefault="006A6EE2">
      <w:pPr>
        <w:pStyle w:val="Heading2"/>
        <w:numPr>
          <w:ilvl w:val="1"/>
          <w:numId w:val="3"/>
        </w:numPr>
        <w:tabs>
          <w:tab w:val="left" w:pos="878"/>
        </w:tabs>
        <w:ind w:left="878" w:hanging="718"/>
        <w:jc w:val="both"/>
        <w:rPr>
          <w:b w:val="0"/>
          <w:sz w:val="16"/>
        </w:rPr>
      </w:pPr>
      <w:r>
        <w:t>Role</w:t>
      </w:r>
      <w:r>
        <w:rPr>
          <w:spacing w:val="-6"/>
        </w:rPr>
        <w:t xml:space="preserve"> </w:t>
      </w:r>
      <w:r>
        <w:t>of</w:t>
      </w:r>
      <w:r>
        <w:rPr>
          <w:spacing w:val="-6"/>
        </w:rPr>
        <w:t xml:space="preserve"> </w:t>
      </w:r>
      <w:r>
        <w:t>courts</w:t>
      </w:r>
      <w:r>
        <w:rPr>
          <w:spacing w:val="-5"/>
        </w:rPr>
        <w:t xml:space="preserve"> </w:t>
      </w:r>
      <w:r>
        <w:t>and</w:t>
      </w:r>
      <w:r>
        <w:rPr>
          <w:spacing w:val="-6"/>
        </w:rPr>
        <w:t xml:space="preserve"> </w:t>
      </w:r>
      <w:r>
        <w:rPr>
          <w:spacing w:val="-2"/>
        </w:rPr>
        <w:t>tribunals</w:t>
      </w:r>
      <w:r>
        <w:rPr>
          <w:b w:val="0"/>
          <w:spacing w:val="-2"/>
          <w:position w:val="9"/>
          <w:sz w:val="16"/>
        </w:rPr>
        <w:t>486</w:t>
      </w:r>
    </w:p>
    <w:p w14:paraId="7CB26289" w14:textId="77777777" w:rsidR="008A4099" w:rsidRDefault="006A6EE2">
      <w:pPr>
        <w:pStyle w:val="Heading4"/>
        <w:spacing w:before="240"/>
        <w:ind w:left="218"/>
      </w:pPr>
      <w:bookmarkStart w:id="51" w:name="_TOC_250009"/>
      <w:r>
        <w:t>Remedies</w:t>
      </w:r>
      <w:r>
        <w:rPr>
          <w:spacing w:val="-3"/>
        </w:rPr>
        <w:t xml:space="preserve"> </w:t>
      </w:r>
      <w:r>
        <w:t>and</w:t>
      </w:r>
      <w:r>
        <w:rPr>
          <w:spacing w:val="-1"/>
        </w:rPr>
        <w:t xml:space="preserve"> </w:t>
      </w:r>
      <w:bookmarkEnd w:id="51"/>
      <w:r>
        <w:rPr>
          <w:spacing w:val="-2"/>
        </w:rPr>
        <w:t>relief</w:t>
      </w:r>
    </w:p>
    <w:p w14:paraId="7CB2628A" w14:textId="77777777" w:rsidR="008A4099" w:rsidRDefault="008A4099">
      <w:pPr>
        <w:pStyle w:val="BodyText"/>
        <w:spacing w:before="16"/>
        <w:rPr>
          <w:b/>
          <w:i/>
          <w:sz w:val="23"/>
        </w:rPr>
      </w:pPr>
    </w:p>
    <w:p w14:paraId="7CB2628B" w14:textId="77777777" w:rsidR="008A4099" w:rsidRDefault="006A6EE2">
      <w:pPr>
        <w:pStyle w:val="Heading3"/>
      </w:pPr>
      <w:r>
        <w:t>2007</w:t>
      </w:r>
      <w:r>
        <w:rPr>
          <w:spacing w:val="-3"/>
        </w:rPr>
        <w:t xml:space="preserve"> </w:t>
      </w:r>
      <w:r>
        <w:t>Final</w:t>
      </w:r>
      <w:r>
        <w:rPr>
          <w:spacing w:val="-5"/>
        </w:rPr>
        <w:t xml:space="preserve"> </w:t>
      </w:r>
      <w:r>
        <w:t>report</w:t>
      </w:r>
      <w:r>
        <w:rPr>
          <w:spacing w:val="-2"/>
        </w:rPr>
        <w:t xml:space="preserve"> </w:t>
      </w:r>
      <w:r>
        <w:t>and</w:t>
      </w:r>
      <w:r>
        <w:rPr>
          <w:spacing w:val="-4"/>
        </w:rPr>
        <w:t xml:space="preserve"> </w:t>
      </w:r>
      <w:r>
        <w:t>subsequent</w:t>
      </w:r>
      <w:r>
        <w:rPr>
          <w:spacing w:val="-2"/>
        </w:rPr>
        <w:t xml:space="preserve"> developments</w:t>
      </w:r>
    </w:p>
    <w:p w14:paraId="7CB2628C" w14:textId="77777777" w:rsidR="008A4099" w:rsidRDefault="006A6EE2">
      <w:pPr>
        <w:pStyle w:val="ListParagraph"/>
        <w:numPr>
          <w:ilvl w:val="2"/>
          <w:numId w:val="3"/>
        </w:numPr>
        <w:tabs>
          <w:tab w:val="left" w:pos="879"/>
        </w:tabs>
        <w:spacing w:before="259"/>
        <w:ind w:right="678" w:firstLine="0"/>
        <w:jc w:val="both"/>
        <w:rPr>
          <w:sz w:val="13"/>
        </w:rPr>
      </w:pPr>
      <w:r>
        <w:t>The</w:t>
      </w:r>
      <w:r>
        <w:rPr>
          <w:spacing w:val="-7"/>
        </w:rPr>
        <w:t xml:space="preserve"> </w:t>
      </w:r>
      <w:r>
        <w:t>2007</w:t>
      </w:r>
      <w:r>
        <w:rPr>
          <w:spacing w:val="-7"/>
        </w:rPr>
        <w:t xml:space="preserve"> </w:t>
      </w:r>
      <w:r>
        <w:t>TLRI</w:t>
      </w:r>
      <w:r>
        <w:rPr>
          <w:spacing w:val="-9"/>
        </w:rPr>
        <w:t xml:space="preserve"> </w:t>
      </w:r>
      <w:r>
        <w:t>Final</w:t>
      </w:r>
      <w:r>
        <w:rPr>
          <w:spacing w:val="-6"/>
        </w:rPr>
        <w:t xml:space="preserve"> </w:t>
      </w:r>
      <w:r>
        <w:t>Report</w:t>
      </w:r>
      <w:r>
        <w:rPr>
          <w:spacing w:val="-6"/>
        </w:rPr>
        <w:t xml:space="preserve"> </w:t>
      </w:r>
      <w:r>
        <w:t>recommended</w:t>
      </w:r>
      <w:r>
        <w:rPr>
          <w:spacing w:val="-7"/>
        </w:rPr>
        <w:t xml:space="preserve"> </w:t>
      </w:r>
      <w:r>
        <w:t>that</w:t>
      </w:r>
      <w:r>
        <w:rPr>
          <w:spacing w:val="-6"/>
        </w:rPr>
        <w:t xml:space="preserve"> </w:t>
      </w:r>
      <w:r>
        <w:t>a</w:t>
      </w:r>
      <w:r>
        <w:rPr>
          <w:spacing w:val="-7"/>
        </w:rPr>
        <w:t xml:space="preserve"> </w:t>
      </w:r>
      <w:r>
        <w:t>Tasmanian</w:t>
      </w:r>
      <w:r>
        <w:rPr>
          <w:spacing w:val="-7"/>
        </w:rPr>
        <w:t xml:space="preserve"> </w:t>
      </w:r>
      <w:r>
        <w:t>Charter</w:t>
      </w:r>
      <w:r>
        <w:rPr>
          <w:spacing w:val="-6"/>
        </w:rPr>
        <w:t xml:space="preserve"> </w:t>
      </w:r>
      <w:r>
        <w:t>allow</w:t>
      </w:r>
      <w:r>
        <w:rPr>
          <w:spacing w:val="-8"/>
        </w:rPr>
        <w:t xml:space="preserve"> </w:t>
      </w:r>
      <w:r>
        <w:t>any</w:t>
      </w:r>
      <w:r>
        <w:rPr>
          <w:spacing w:val="-7"/>
        </w:rPr>
        <w:t xml:space="preserve"> </w:t>
      </w:r>
      <w:r>
        <w:t>person</w:t>
      </w:r>
      <w:r>
        <w:rPr>
          <w:spacing w:val="-6"/>
        </w:rPr>
        <w:t xml:space="preserve"> </w:t>
      </w:r>
      <w:r>
        <w:t>who</w:t>
      </w:r>
      <w:r>
        <w:rPr>
          <w:spacing w:val="-10"/>
        </w:rPr>
        <w:t xml:space="preserve"> </w:t>
      </w:r>
      <w:r>
        <w:t>is, or</w:t>
      </w:r>
      <w:r>
        <w:rPr>
          <w:spacing w:val="-1"/>
        </w:rPr>
        <w:t xml:space="preserve"> </w:t>
      </w:r>
      <w:r>
        <w:t>would</w:t>
      </w:r>
      <w:r>
        <w:rPr>
          <w:spacing w:val="-1"/>
        </w:rPr>
        <w:t xml:space="preserve"> </w:t>
      </w:r>
      <w:r>
        <w:t>be,</w:t>
      </w:r>
      <w:r>
        <w:rPr>
          <w:spacing w:val="-3"/>
        </w:rPr>
        <w:t xml:space="preserve"> </w:t>
      </w:r>
      <w:r>
        <w:t>the</w:t>
      </w:r>
      <w:r>
        <w:rPr>
          <w:spacing w:val="-1"/>
        </w:rPr>
        <w:t xml:space="preserve"> </w:t>
      </w:r>
      <w:r>
        <w:t>victim of</w:t>
      </w:r>
      <w:r>
        <w:rPr>
          <w:spacing w:val="-1"/>
        </w:rPr>
        <w:t xml:space="preserve"> </w:t>
      </w:r>
      <w:r>
        <w:t>a</w:t>
      </w:r>
      <w:r>
        <w:rPr>
          <w:spacing w:val="-3"/>
        </w:rPr>
        <w:t xml:space="preserve"> </w:t>
      </w:r>
      <w:r>
        <w:t>breach</w:t>
      </w:r>
      <w:r>
        <w:rPr>
          <w:spacing w:val="-1"/>
        </w:rPr>
        <w:t xml:space="preserve"> </w:t>
      </w:r>
      <w:r>
        <w:t>of</w:t>
      </w:r>
      <w:r>
        <w:rPr>
          <w:spacing w:val="-1"/>
        </w:rPr>
        <w:t xml:space="preserve"> </w:t>
      </w:r>
      <w:r>
        <w:t>Charter</w:t>
      </w:r>
      <w:r>
        <w:rPr>
          <w:spacing w:val="-1"/>
        </w:rPr>
        <w:t xml:space="preserve"> </w:t>
      </w:r>
      <w:r>
        <w:t>rights</w:t>
      </w:r>
      <w:r>
        <w:rPr>
          <w:spacing w:val="-1"/>
        </w:rPr>
        <w:t xml:space="preserve"> </w:t>
      </w:r>
      <w:r>
        <w:t>by</w:t>
      </w:r>
      <w:r>
        <w:rPr>
          <w:spacing w:val="-3"/>
        </w:rPr>
        <w:t xml:space="preserve"> </w:t>
      </w:r>
      <w:r>
        <w:t>a</w:t>
      </w:r>
      <w:r>
        <w:rPr>
          <w:spacing w:val="-1"/>
        </w:rPr>
        <w:t xml:space="preserve"> </w:t>
      </w:r>
      <w:r>
        <w:t>public</w:t>
      </w:r>
      <w:r>
        <w:rPr>
          <w:spacing w:val="-1"/>
        </w:rPr>
        <w:t xml:space="preserve"> </w:t>
      </w:r>
      <w:r>
        <w:t>authority</w:t>
      </w:r>
      <w:r>
        <w:rPr>
          <w:spacing w:val="-4"/>
        </w:rPr>
        <w:t xml:space="preserve"> </w:t>
      </w:r>
      <w:r>
        <w:t>to</w:t>
      </w:r>
      <w:r>
        <w:rPr>
          <w:spacing w:val="-1"/>
        </w:rPr>
        <w:t xml:space="preserve"> </w:t>
      </w:r>
      <w:r>
        <w:t>bring</w:t>
      </w:r>
      <w:r>
        <w:rPr>
          <w:spacing w:val="-4"/>
        </w:rPr>
        <w:t xml:space="preserve"> </w:t>
      </w:r>
      <w:r>
        <w:t>proceedings</w:t>
      </w:r>
      <w:r>
        <w:rPr>
          <w:spacing w:val="-1"/>
        </w:rPr>
        <w:t xml:space="preserve"> </w:t>
      </w:r>
      <w:r>
        <w:t>against that</w:t>
      </w:r>
      <w:r>
        <w:rPr>
          <w:spacing w:val="-5"/>
        </w:rPr>
        <w:t xml:space="preserve"> </w:t>
      </w:r>
      <w:r>
        <w:t>authority</w:t>
      </w:r>
      <w:r>
        <w:rPr>
          <w:spacing w:val="-6"/>
        </w:rPr>
        <w:t xml:space="preserve"> </w:t>
      </w:r>
      <w:r>
        <w:t>in</w:t>
      </w:r>
      <w:r>
        <w:rPr>
          <w:spacing w:val="-9"/>
        </w:rPr>
        <w:t xml:space="preserve"> </w:t>
      </w:r>
      <w:r>
        <w:t>the</w:t>
      </w:r>
      <w:r>
        <w:rPr>
          <w:spacing w:val="-6"/>
        </w:rPr>
        <w:t xml:space="preserve"> </w:t>
      </w:r>
      <w:r>
        <w:t>Supreme</w:t>
      </w:r>
      <w:r>
        <w:rPr>
          <w:spacing w:val="-6"/>
        </w:rPr>
        <w:t xml:space="preserve"> </w:t>
      </w:r>
      <w:r>
        <w:t>Court,</w:t>
      </w:r>
      <w:r>
        <w:rPr>
          <w:spacing w:val="-6"/>
        </w:rPr>
        <w:t xml:space="preserve"> </w:t>
      </w:r>
      <w:r>
        <w:t>and</w:t>
      </w:r>
      <w:r>
        <w:rPr>
          <w:spacing w:val="-8"/>
        </w:rPr>
        <w:t xml:space="preserve"> </w:t>
      </w:r>
      <w:r>
        <w:t>that</w:t>
      </w:r>
      <w:r>
        <w:rPr>
          <w:spacing w:val="-5"/>
        </w:rPr>
        <w:t xml:space="preserve"> </w:t>
      </w:r>
      <w:r>
        <w:t>it</w:t>
      </w:r>
      <w:r>
        <w:rPr>
          <w:spacing w:val="-5"/>
        </w:rPr>
        <w:t xml:space="preserve"> </w:t>
      </w:r>
      <w:r>
        <w:t>allow</w:t>
      </w:r>
      <w:r>
        <w:rPr>
          <w:spacing w:val="-10"/>
        </w:rPr>
        <w:t xml:space="preserve"> </w:t>
      </w:r>
      <w:r>
        <w:t>the</w:t>
      </w:r>
      <w:r>
        <w:rPr>
          <w:spacing w:val="-6"/>
        </w:rPr>
        <w:t xml:space="preserve"> </w:t>
      </w:r>
      <w:r>
        <w:t>Supreme</w:t>
      </w:r>
      <w:r>
        <w:rPr>
          <w:spacing w:val="-6"/>
        </w:rPr>
        <w:t xml:space="preserve"> </w:t>
      </w:r>
      <w:r>
        <w:t>Court</w:t>
      </w:r>
      <w:r>
        <w:rPr>
          <w:spacing w:val="-5"/>
        </w:rPr>
        <w:t xml:space="preserve"> </w:t>
      </w:r>
      <w:r>
        <w:t>to</w:t>
      </w:r>
      <w:r>
        <w:rPr>
          <w:spacing w:val="-9"/>
        </w:rPr>
        <w:t xml:space="preserve"> </w:t>
      </w:r>
      <w:r>
        <w:t>make</w:t>
      </w:r>
      <w:r>
        <w:rPr>
          <w:spacing w:val="-6"/>
        </w:rPr>
        <w:t xml:space="preserve"> </w:t>
      </w:r>
      <w:r>
        <w:t>appropriate</w:t>
      </w:r>
      <w:r>
        <w:rPr>
          <w:spacing w:val="-6"/>
        </w:rPr>
        <w:t xml:space="preserve"> </w:t>
      </w:r>
      <w:r>
        <w:t>orders</w:t>
      </w:r>
      <w:r>
        <w:rPr>
          <w:spacing w:val="-8"/>
        </w:rPr>
        <w:t xml:space="preserve"> </w:t>
      </w:r>
      <w:r>
        <w:t>for remedy or relief, including damages.</w:t>
      </w:r>
      <w:r>
        <w:rPr>
          <w:position w:val="7"/>
          <w:sz w:val="13"/>
        </w:rPr>
        <w:t>487</w:t>
      </w:r>
    </w:p>
    <w:p w14:paraId="7CB2628D" w14:textId="77777777" w:rsidR="008A4099" w:rsidRDefault="006A6EE2">
      <w:pPr>
        <w:pStyle w:val="ListParagraph"/>
        <w:numPr>
          <w:ilvl w:val="2"/>
          <w:numId w:val="3"/>
        </w:numPr>
        <w:tabs>
          <w:tab w:val="left" w:pos="879"/>
        </w:tabs>
        <w:spacing w:before="215"/>
        <w:ind w:right="673" w:firstLine="0"/>
        <w:jc w:val="both"/>
      </w:pPr>
      <w:r>
        <w:t>Currently, only the ACT allows a direct cause of action for breaches of human rights.</w:t>
      </w:r>
      <w:r>
        <w:rPr>
          <w:vertAlign w:val="superscript"/>
        </w:rPr>
        <w:t>488</w:t>
      </w:r>
      <w:r>
        <w:t xml:space="preserve"> Both Victoria</w:t>
      </w:r>
      <w:r>
        <w:rPr>
          <w:spacing w:val="-4"/>
        </w:rPr>
        <w:t xml:space="preserve"> </w:t>
      </w:r>
      <w:r>
        <w:t>and</w:t>
      </w:r>
      <w:r>
        <w:rPr>
          <w:spacing w:val="-4"/>
        </w:rPr>
        <w:t xml:space="preserve"> </w:t>
      </w:r>
      <w:r>
        <w:t>Queensland</w:t>
      </w:r>
      <w:r>
        <w:rPr>
          <w:spacing w:val="-5"/>
        </w:rPr>
        <w:t xml:space="preserve"> </w:t>
      </w:r>
      <w:r>
        <w:t>provide</w:t>
      </w:r>
      <w:r>
        <w:rPr>
          <w:spacing w:val="-7"/>
        </w:rPr>
        <w:t xml:space="preserve"> </w:t>
      </w:r>
      <w:r>
        <w:t>that</w:t>
      </w:r>
      <w:r>
        <w:rPr>
          <w:spacing w:val="-4"/>
        </w:rPr>
        <w:t xml:space="preserve"> </w:t>
      </w:r>
      <w:r>
        <w:t>relief</w:t>
      </w:r>
      <w:r>
        <w:rPr>
          <w:spacing w:val="-4"/>
        </w:rPr>
        <w:t xml:space="preserve"> </w:t>
      </w:r>
      <w:r>
        <w:t>or</w:t>
      </w:r>
      <w:r>
        <w:rPr>
          <w:spacing w:val="-3"/>
        </w:rPr>
        <w:t xml:space="preserve"> </w:t>
      </w:r>
      <w:r>
        <w:t>remedy</w:t>
      </w:r>
      <w:r>
        <w:rPr>
          <w:spacing w:val="-6"/>
        </w:rPr>
        <w:t xml:space="preserve"> </w:t>
      </w:r>
      <w:r>
        <w:t>is</w:t>
      </w:r>
      <w:r>
        <w:rPr>
          <w:spacing w:val="-4"/>
        </w:rPr>
        <w:t xml:space="preserve"> </w:t>
      </w:r>
      <w:r>
        <w:t>available</w:t>
      </w:r>
      <w:r>
        <w:rPr>
          <w:spacing w:val="-4"/>
        </w:rPr>
        <w:t xml:space="preserve"> </w:t>
      </w:r>
      <w:r>
        <w:t>for</w:t>
      </w:r>
      <w:r>
        <w:rPr>
          <w:spacing w:val="-4"/>
        </w:rPr>
        <w:t xml:space="preserve"> </w:t>
      </w:r>
      <w:r>
        <w:t>a</w:t>
      </w:r>
      <w:r>
        <w:rPr>
          <w:spacing w:val="-4"/>
        </w:rPr>
        <w:t xml:space="preserve"> </w:t>
      </w:r>
      <w:r>
        <w:t>breach</w:t>
      </w:r>
      <w:r>
        <w:rPr>
          <w:spacing w:val="-4"/>
        </w:rPr>
        <w:t xml:space="preserve"> </w:t>
      </w:r>
      <w:r>
        <w:t>of</w:t>
      </w:r>
      <w:r>
        <w:rPr>
          <w:spacing w:val="-4"/>
        </w:rPr>
        <w:t xml:space="preserve"> </w:t>
      </w:r>
      <w:r>
        <w:t>human</w:t>
      </w:r>
      <w:r>
        <w:rPr>
          <w:spacing w:val="-4"/>
        </w:rPr>
        <w:t xml:space="preserve"> </w:t>
      </w:r>
      <w:r>
        <w:t>rights,</w:t>
      </w:r>
      <w:r>
        <w:rPr>
          <w:spacing w:val="-5"/>
        </w:rPr>
        <w:t xml:space="preserve"> </w:t>
      </w:r>
      <w:r>
        <w:t>only</w:t>
      </w:r>
      <w:r>
        <w:rPr>
          <w:spacing w:val="-5"/>
        </w:rPr>
        <w:t xml:space="preserve"> </w:t>
      </w:r>
      <w:r>
        <w:t>if the</w:t>
      </w:r>
      <w:r>
        <w:rPr>
          <w:spacing w:val="-3"/>
        </w:rPr>
        <w:t xml:space="preserve"> </w:t>
      </w:r>
      <w:r>
        <w:t>claim</w:t>
      </w:r>
      <w:r>
        <w:rPr>
          <w:spacing w:val="-5"/>
        </w:rPr>
        <w:t xml:space="preserve"> </w:t>
      </w:r>
      <w:r>
        <w:t>‘piggy-backs’</w:t>
      </w:r>
      <w:r>
        <w:rPr>
          <w:spacing w:val="-3"/>
        </w:rPr>
        <w:t xml:space="preserve"> </w:t>
      </w:r>
      <w:r>
        <w:t>on</w:t>
      </w:r>
      <w:r>
        <w:rPr>
          <w:spacing w:val="-6"/>
        </w:rPr>
        <w:t xml:space="preserve"> </w:t>
      </w:r>
      <w:r>
        <w:t>an</w:t>
      </w:r>
      <w:r>
        <w:rPr>
          <w:spacing w:val="-3"/>
        </w:rPr>
        <w:t xml:space="preserve"> </w:t>
      </w:r>
      <w:r>
        <w:t>action</w:t>
      </w:r>
      <w:r>
        <w:rPr>
          <w:spacing w:val="-6"/>
        </w:rPr>
        <w:t xml:space="preserve"> </w:t>
      </w:r>
      <w:r>
        <w:t>arising</w:t>
      </w:r>
      <w:r>
        <w:rPr>
          <w:spacing w:val="-4"/>
        </w:rPr>
        <w:t xml:space="preserve"> </w:t>
      </w:r>
      <w:r>
        <w:t>under</w:t>
      </w:r>
      <w:r>
        <w:rPr>
          <w:spacing w:val="-3"/>
        </w:rPr>
        <w:t xml:space="preserve"> </w:t>
      </w:r>
      <w:r>
        <w:t>other</w:t>
      </w:r>
      <w:r>
        <w:rPr>
          <w:spacing w:val="-3"/>
        </w:rPr>
        <w:t xml:space="preserve"> </w:t>
      </w:r>
      <w:r>
        <w:t>legislation</w:t>
      </w:r>
      <w:r>
        <w:rPr>
          <w:spacing w:val="-4"/>
        </w:rPr>
        <w:t xml:space="preserve"> </w:t>
      </w:r>
      <w:r>
        <w:t>or</w:t>
      </w:r>
      <w:r>
        <w:rPr>
          <w:spacing w:val="-3"/>
        </w:rPr>
        <w:t xml:space="preserve"> </w:t>
      </w:r>
      <w:r>
        <w:t>at</w:t>
      </w:r>
      <w:r>
        <w:rPr>
          <w:spacing w:val="-3"/>
        </w:rPr>
        <w:t xml:space="preserve"> </w:t>
      </w:r>
      <w:r>
        <w:t>common</w:t>
      </w:r>
      <w:r>
        <w:rPr>
          <w:spacing w:val="-4"/>
        </w:rPr>
        <w:t xml:space="preserve"> </w:t>
      </w:r>
      <w:r>
        <w:t>law.</w:t>
      </w:r>
      <w:r>
        <w:rPr>
          <w:spacing w:val="-4"/>
        </w:rPr>
        <w:t xml:space="preserve"> </w:t>
      </w:r>
      <w:r>
        <w:t>The</w:t>
      </w:r>
      <w:r>
        <w:rPr>
          <w:spacing w:val="-4"/>
        </w:rPr>
        <w:t xml:space="preserve"> </w:t>
      </w:r>
      <w:r>
        <w:t>piggy-back requirements</w:t>
      </w:r>
      <w:r>
        <w:rPr>
          <w:spacing w:val="-2"/>
        </w:rPr>
        <w:t xml:space="preserve"> </w:t>
      </w:r>
      <w:r>
        <w:t>have</w:t>
      </w:r>
      <w:r>
        <w:rPr>
          <w:spacing w:val="-2"/>
        </w:rPr>
        <w:t xml:space="preserve"> </w:t>
      </w:r>
      <w:r>
        <w:t>been</w:t>
      </w:r>
      <w:r>
        <w:rPr>
          <w:spacing w:val="-3"/>
        </w:rPr>
        <w:t xml:space="preserve"> </w:t>
      </w:r>
      <w:r>
        <w:t>criticised</w:t>
      </w:r>
      <w:r>
        <w:rPr>
          <w:spacing w:val="-3"/>
        </w:rPr>
        <w:t xml:space="preserve"> </w:t>
      </w:r>
      <w:r>
        <w:t>as</w:t>
      </w:r>
      <w:r>
        <w:rPr>
          <w:spacing w:val="-2"/>
        </w:rPr>
        <w:t xml:space="preserve"> </w:t>
      </w:r>
      <w:r>
        <w:t>unnecessarily</w:t>
      </w:r>
      <w:r>
        <w:rPr>
          <w:spacing w:val="-3"/>
        </w:rPr>
        <w:t xml:space="preserve"> </w:t>
      </w:r>
      <w:r>
        <w:t>restrictive</w:t>
      </w:r>
      <w:r>
        <w:rPr>
          <w:spacing w:val="-2"/>
        </w:rPr>
        <w:t xml:space="preserve"> </w:t>
      </w:r>
      <w:r>
        <w:t>and ‘drafted</w:t>
      </w:r>
      <w:r>
        <w:rPr>
          <w:spacing w:val="-2"/>
        </w:rPr>
        <w:t xml:space="preserve"> </w:t>
      </w:r>
      <w:r>
        <w:t>in</w:t>
      </w:r>
      <w:r>
        <w:rPr>
          <w:spacing w:val="-3"/>
        </w:rPr>
        <w:t xml:space="preserve"> </w:t>
      </w:r>
      <w:r>
        <w:t>terms</w:t>
      </w:r>
      <w:r>
        <w:rPr>
          <w:spacing w:val="-4"/>
        </w:rPr>
        <w:t xml:space="preserve"> </w:t>
      </w:r>
      <w:r>
        <w:t>that are</w:t>
      </w:r>
      <w:r>
        <w:rPr>
          <w:spacing w:val="-2"/>
        </w:rPr>
        <w:t xml:space="preserve"> </w:t>
      </w:r>
      <w:r>
        <w:t>convoluted and extraordinarily difficult</w:t>
      </w:r>
      <w:r>
        <w:rPr>
          <w:spacing w:val="-1"/>
        </w:rPr>
        <w:t xml:space="preserve"> </w:t>
      </w:r>
      <w:r>
        <w:t>to follow’.</w:t>
      </w:r>
      <w:r>
        <w:rPr>
          <w:position w:val="7"/>
          <w:sz w:val="13"/>
        </w:rPr>
        <w:t>489</w:t>
      </w:r>
      <w:r>
        <w:rPr>
          <w:spacing w:val="22"/>
          <w:position w:val="7"/>
          <w:sz w:val="13"/>
        </w:rPr>
        <w:t xml:space="preserve"> </w:t>
      </w:r>
      <w:r>
        <w:t>The decision</w:t>
      </w:r>
      <w:r>
        <w:rPr>
          <w:spacing w:val="-3"/>
        </w:rPr>
        <w:t xml:space="preserve"> </w:t>
      </w:r>
      <w:r>
        <w:t>in</w:t>
      </w:r>
      <w:r>
        <w:rPr>
          <w:spacing w:val="-1"/>
        </w:rPr>
        <w:t xml:space="preserve"> </w:t>
      </w:r>
      <w:r>
        <w:rPr>
          <w:i/>
        </w:rPr>
        <w:t>Thorpe</w:t>
      </w:r>
      <w:r>
        <w:rPr>
          <w:i/>
          <w:spacing w:val="-2"/>
        </w:rPr>
        <w:t xml:space="preserve"> </w:t>
      </w:r>
      <w:r>
        <w:rPr>
          <w:i/>
        </w:rPr>
        <w:t>v Transport Victoria</w:t>
      </w:r>
      <w:r>
        <w:rPr>
          <w:position w:val="7"/>
          <w:sz w:val="13"/>
        </w:rPr>
        <w:t>490</w:t>
      </w:r>
      <w:r>
        <w:rPr>
          <w:spacing w:val="22"/>
          <w:position w:val="7"/>
          <w:sz w:val="13"/>
        </w:rPr>
        <w:t xml:space="preserve"> </w:t>
      </w:r>
      <w:r>
        <w:t>demonstrates how a significant human rights</w:t>
      </w:r>
      <w:r>
        <w:rPr>
          <w:spacing w:val="-1"/>
        </w:rPr>
        <w:t xml:space="preserve"> </w:t>
      </w:r>
      <w:r>
        <w:t>issue – whether authorising damage to a</w:t>
      </w:r>
      <w:r>
        <w:rPr>
          <w:spacing w:val="-1"/>
        </w:rPr>
        <w:t xml:space="preserve"> </w:t>
      </w:r>
      <w:r>
        <w:t>site of cultural significance to</w:t>
      </w:r>
    </w:p>
    <w:p w14:paraId="7CB2628E" w14:textId="77777777" w:rsidR="008A4099" w:rsidRDefault="008A4099">
      <w:pPr>
        <w:pStyle w:val="BodyText"/>
        <w:rPr>
          <w:sz w:val="20"/>
        </w:rPr>
      </w:pPr>
    </w:p>
    <w:p w14:paraId="7CB2628F" w14:textId="77777777" w:rsidR="008A4099" w:rsidRDefault="008A4099">
      <w:pPr>
        <w:pStyle w:val="BodyText"/>
        <w:rPr>
          <w:sz w:val="20"/>
        </w:rPr>
      </w:pPr>
    </w:p>
    <w:p w14:paraId="7CB26290" w14:textId="77777777" w:rsidR="008A4099" w:rsidRDefault="008A4099">
      <w:pPr>
        <w:pStyle w:val="BodyText"/>
        <w:rPr>
          <w:sz w:val="20"/>
        </w:rPr>
      </w:pPr>
    </w:p>
    <w:p w14:paraId="7CB26291" w14:textId="77777777" w:rsidR="008A4099" w:rsidRDefault="008A4099">
      <w:pPr>
        <w:pStyle w:val="BodyText"/>
        <w:rPr>
          <w:sz w:val="20"/>
        </w:rPr>
      </w:pPr>
    </w:p>
    <w:p w14:paraId="7CB26292" w14:textId="77777777" w:rsidR="008A4099" w:rsidRDefault="006A6EE2">
      <w:pPr>
        <w:pStyle w:val="BodyText"/>
        <w:spacing w:before="1"/>
        <w:rPr>
          <w:sz w:val="20"/>
        </w:rPr>
      </w:pPr>
      <w:r>
        <w:rPr>
          <w:noProof/>
        </w:rPr>
        <mc:AlternateContent>
          <mc:Choice Requires="wps">
            <w:drawing>
              <wp:anchor distT="0" distB="0" distL="0" distR="0" simplePos="0" relativeHeight="487635456" behindDoc="1" locked="0" layoutInCell="1" allowOverlap="1" wp14:anchorId="7CB26693" wp14:editId="7CB26694">
                <wp:simplePos x="0" y="0"/>
                <wp:positionH relativeFrom="page">
                  <wp:posOffset>914704</wp:posOffset>
                </wp:positionH>
                <wp:positionV relativeFrom="paragraph">
                  <wp:posOffset>162386</wp:posOffset>
                </wp:positionV>
                <wp:extent cx="1829435" cy="762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3D877" id="Graphic 141" o:spid="_x0000_s1026" style="position:absolute;margin-left:1in;margin-top:12.8pt;width:144.05pt;height:.6pt;z-index:-156810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" path="m1829054,l,,,7619r1829054,l1829054,xe" fillcolor="black" stroked="f">
                <v:path arrowok="t"/>
                <w10:wrap type="topAndBottom" anchorx="page"/>
              </v:shape>
            </w:pict>
          </mc:Fallback>
        </mc:AlternateContent>
      </w:r>
    </w:p>
    <w:p w14:paraId="7CB26293" w14:textId="77777777" w:rsidR="008A4099" w:rsidRDefault="006A6EE2">
      <w:pPr>
        <w:spacing w:before="112" w:line="244" w:lineRule="auto"/>
        <w:ind w:left="160" w:right="677"/>
        <w:jc w:val="both"/>
        <w:rPr>
          <w:sz w:val="18"/>
        </w:rPr>
      </w:pPr>
      <w:r>
        <w:rPr>
          <w:sz w:val="18"/>
          <w:vertAlign w:val="superscript"/>
        </w:rPr>
        <w:t>486</w:t>
      </w:r>
      <w:r>
        <w:rPr>
          <w:sz w:val="18"/>
        </w:rPr>
        <w:t xml:space="preserve"> For discussion of courts’ human rights obligations, see TLRI 2007 Final Report at [4.2.1] and [4.212]–[4.2.20] on public </w:t>
      </w:r>
      <w:r>
        <w:rPr>
          <w:spacing w:val="-2"/>
          <w:sz w:val="18"/>
        </w:rPr>
        <w:t>authorities.</w:t>
      </w:r>
    </w:p>
    <w:p w14:paraId="7CB26294" w14:textId="77777777" w:rsidR="008A4099" w:rsidRDefault="006A6EE2">
      <w:pPr>
        <w:spacing w:before="15"/>
        <w:ind w:left="160"/>
        <w:jc w:val="both"/>
        <w:rPr>
          <w:sz w:val="18"/>
        </w:rPr>
      </w:pPr>
      <w:r>
        <w:rPr>
          <w:sz w:val="18"/>
          <w:vertAlign w:val="superscript"/>
        </w:rPr>
        <w:t>487</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19.</w:t>
      </w:r>
    </w:p>
    <w:p w14:paraId="7CB26295" w14:textId="77777777" w:rsidR="008A4099" w:rsidRDefault="006A6EE2">
      <w:pPr>
        <w:spacing w:before="23"/>
        <w:ind w:left="160"/>
        <w:jc w:val="both"/>
        <w:rPr>
          <w:sz w:val="18"/>
        </w:rPr>
      </w:pPr>
      <w:r>
        <w:rPr>
          <w:sz w:val="18"/>
          <w:vertAlign w:val="superscript"/>
        </w:rPr>
        <w:t>488</w:t>
      </w:r>
      <w:r>
        <w:rPr>
          <w:spacing w:val="1"/>
          <w:sz w:val="18"/>
        </w:rPr>
        <w:t xml:space="preserve"> </w:t>
      </w:r>
      <w:r>
        <w:rPr>
          <w:i/>
          <w:sz w:val="18"/>
        </w:rPr>
        <w:t>Human Rights</w:t>
      </w:r>
      <w:r>
        <w:rPr>
          <w:i/>
          <w:spacing w:val="1"/>
          <w:sz w:val="18"/>
        </w:rPr>
        <w:t xml:space="preserve"> </w:t>
      </w:r>
      <w:r>
        <w:rPr>
          <w:i/>
          <w:sz w:val="18"/>
        </w:rPr>
        <w:t>Act</w:t>
      </w:r>
      <w:r>
        <w:rPr>
          <w:i/>
          <w:spacing w:val="-1"/>
          <w:sz w:val="18"/>
        </w:rPr>
        <w:t xml:space="preserve"> </w:t>
      </w:r>
      <w:r>
        <w:rPr>
          <w:i/>
          <w:sz w:val="18"/>
        </w:rPr>
        <w:t>2004</w:t>
      </w:r>
      <w:r>
        <w:rPr>
          <w:i/>
          <w:spacing w:val="4"/>
          <w:sz w:val="18"/>
        </w:rPr>
        <w:t xml:space="preserve"> </w:t>
      </w:r>
      <w:r>
        <w:rPr>
          <w:sz w:val="18"/>
        </w:rPr>
        <w:t>(ACT)</w:t>
      </w:r>
      <w:r>
        <w:rPr>
          <w:spacing w:val="1"/>
          <w:sz w:val="18"/>
        </w:rPr>
        <w:t xml:space="preserve"> </w:t>
      </w:r>
      <w:r>
        <w:rPr>
          <w:sz w:val="18"/>
        </w:rPr>
        <w:t>s</w:t>
      </w:r>
      <w:r>
        <w:rPr>
          <w:spacing w:val="-2"/>
          <w:sz w:val="18"/>
        </w:rPr>
        <w:t xml:space="preserve"> </w:t>
      </w:r>
      <w:r>
        <w:rPr>
          <w:spacing w:val="-4"/>
          <w:sz w:val="18"/>
        </w:rPr>
        <w:t>40C.</w:t>
      </w:r>
    </w:p>
    <w:p w14:paraId="7CB26296" w14:textId="77777777" w:rsidR="008A4099" w:rsidRDefault="006A6EE2">
      <w:pPr>
        <w:spacing w:before="24" w:line="242" w:lineRule="auto"/>
        <w:ind w:left="160" w:right="674"/>
        <w:jc w:val="both"/>
        <w:rPr>
          <w:sz w:val="18"/>
        </w:rPr>
      </w:pPr>
      <w:r>
        <w:rPr>
          <w:sz w:val="18"/>
          <w:vertAlign w:val="superscript"/>
        </w:rPr>
        <w:t>489</w:t>
      </w:r>
      <w:r>
        <w:rPr>
          <w:sz w:val="18"/>
        </w:rPr>
        <w:t xml:space="preserve"> </w:t>
      </w:r>
      <w:r>
        <w:rPr>
          <w:i/>
          <w:sz w:val="18"/>
        </w:rPr>
        <w:t xml:space="preserve">Director of Housing v Sudi </w:t>
      </w:r>
      <w:r>
        <w:rPr>
          <w:sz w:val="18"/>
        </w:rPr>
        <w:t xml:space="preserve">(2011) 33 VR 559 per Weinberg JA at 596. See Chen, ‘The </w:t>
      </w:r>
      <w:r>
        <w:rPr>
          <w:i/>
          <w:sz w:val="18"/>
        </w:rPr>
        <w:t xml:space="preserve">Human Rights Act 2019 </w:t>
      </w:r>
      <w:r>
        <w:rPr>
          <w:sz w:val="18"/>
        </w:rPr>
        <w:t>(Qld): Some Perspectives from Victoria’ 10; Evans and Evans, ‘Legal Redress under the Victorian Charter of Human Rights and Responsibilities’ 281.</w:t>
      </w:r>
    </w:p>
    <w:p w14:paraId="7CB26297" w14:textId="77777777" w:rsidR="008A4099" w:rsidRDefault="006A6EE2">
      <w:pPr>
        <w:spacing w:before="16"/>
        <w:ind w:left="160"/>
        <w:jc w:val="both"/>
        <w:rPr>
          <w:sz w:val="18"/>
        </w:rPr>
      </w:pPr>
      <w:r>
        <w:rPr>
          <w:sz w:val="18"/>
          <w:vertAlign w:val="superscript"/>
        </w:rPr>
        <w:t>490</w:t>
      </w:r>
      <w:r>
        <w:rPr>
          <w:sz w:val="18"/>
        </w:rPr>
        <w:t xml:space="preserve"> </w:t>
      </w:r>
      <w:r>
        <w:rPr>
          <w:i/>
          <w:sz w:val="18"/>
        </w:rPr>
        <w:t>Thorpe v</w:t>
      </w:r>
      <w:r>
        <w:rPr>
          <w:i/>
          <w:spacing w:val="-1"/>
          <w:sz w:val="18"/>
        </w:rPr>
        <w:t xml:space="preserve"> </w:t>
      </w:r>
      <w:r>
        <w:rPr>
          <w:i/>
          <w:sz w:val="18"/>
        </w:rPr>
        <w:t>Transport</w:t>
      </w:r>
      <w:r>
        <w:rPr>
          <w:i/>
          <w:spacing w:val="1"/>
          <w:sz w:val="18"/>
        </w:rPr>
        <w:t xml:space="preserve"> </w:t>
      </w:r>
      <w:r>
        <w:rPr>
          <w:i/>
          <w:sz w:val="18"/>
        </w:rPr>
        <w:t>Victoria</w:t>
      </w:r>
      <w:r>
        <w:rPr>
          <w:i/>
          <w:spacing w:val="5"/>
          <w:sz w:val="18"/>
        </w:rPr>
        <w:t xml:space="preserve"> </w:t>
      </w:r>
      <w:r>
        <w:rPr>
          <w:sz w:val="18"/>
        </w:rPr>
        <w:t>[2001]</w:t>
      </w:r>
      <w:r>
        <w:rPr>
          <w:spacing w:val="1"/>
          <w:sz w:val="18"/>
        </w:rPr>
        <w:t xml:space="preserve"> </w:t>
      </w:r>
      <w:r>
        <w:rPr>
          <w:sz w:val="18"/>
        </w:rPr>
        <w:t>VSC</w:t>
      </w:r>
      <w:r>
        <w:rPr>
          <w:spacing w:val="-2"/>
          <w:sz w:val="18"/>
        </w:rPr>
        <w:t xml:space="preserve"> </w:t>
      </w:r>
      <w:r>
        <w:rPr>
          <w:sz w:val="18"/>
        </w:rPr>
        <w:t>750;</w:t>
      </w:r>
      <w:r>
        <w:rPr>
          <w:spacing w:val="-1"/>
          <w:sz w:val="18"/>
        </w:rPr>
        <w:t xml:space="preserve"> </w:t>
      </w:r>
      <w:r>
        <w:rPr>
          <w:sz w:val="18"/>
        </w:rPr>
        <w:t>66</w:t>
      </w:r>
      <w:r>
        <w:rPr>
          <w:spacing w:val="-1"/>
          <w:sz w:val="18"/>
        </w:rPr>
        <w:t xml:space="preserve"> </w:t>
      </w:r>
      <w:r>
        <w:rPr>
          <w:sz w:val="18"/>
        </w:rPr>
        <w:t>VR</w:t>
      </w:r>
      <w:r>
        <w:rPr>
          <w:spacing w:val="1"/>
          <w:sz w:val="18"/>
        </w:rPr>
        <w:t xml:space="preserve"> </w:t>
      </w:r>
      <w:r>
        <w:rPr>
          <w:spacing w:val="-5"/>
          <w:sz w:val="18"/>
        </w:rPr>
        <w:t>56.</w:t>
      </w:r>
    </w:p>
    <w:p w14:paraId="7CB26298" w14:textId="77777777" w:rsidR="008A4099" w:rsidRDefault="008A4099">
      <w:pPr>
        <w:jc w:val="both"/>
        <w:rPr>
          <w:sz w:val="18"/>
        </w:rPr>
        <w:sectPr w:rsidR="008A4099" w:rsidSect="00D43B2D">
          <w:pgSz w:w="11910" w:h="16840"/>
          <w:pgMar w:top="980" w:right="760" w:bottom="940" w:left="1280" w:header="718" w:footer="753" w:gutter="0"/>
          <w:cols w:space="720"/>
        </w:sectPr>
      </w:pPr>
    </w:p>
    <w:p w14:paraId="7CB26299" w14:textId="77777777" w:rsidR="008A4099" w:rsidRDefault="008A4099">
      <w:pPr>
        <w:pStyle w:val="BodyText"/>
        <w:spacing w:before="194"/>
      </w:pPr>
    </w:p>
    <w:p w14:paraId="7CB2629A" w14:textId="77777777" w:rsidR="008A4099" w:rsidRDefault="006A6EE2">
      <w:pPr>
        <w:pStyle w:val="BodyText"/>
        <w:ind w:left="160" w:right="679"/>
        <w:rPr>
          <w:sz w:val="13"/>
        </w:rPr>
      </w:pPr>
      <w:r>
        <w:t>First</w:t>
      </w:r>
      <w:r>
        <w:rPr>
          <w:spacing w:val="-4"/>
        </w:rPr>
        <w:t xml:space="preserve"> </w:t>
      </w:r>
      <w:r>
        <w:t>Nations</w:t>
      </w:r>
      <w:r>
        <w:rPr>
          <w:spacing w:val="-6"/>
        </w:rPr>
        <w:t xml:space="preserve"> </w:t>
      </w:r>
      <w:r>
        <w:t>people</w:t>
      </w:r>
      <w:r>
        <w:rPr>
          <w:spacing w:val="-7"/>
        </w:rPr>
        <w:t xml:space="preserve"> </w:t>
      </w:r>
      <w:r>
        <w:t>breaches</w:t>
      </w:r>
      <w:r>
        <w:rPr>
          <w:spacing w:val="-4"/>
        </w:rPr>
        <w:t xml:space="preserve"> </w:t>
      </w:r>
      <w:r>
        <w:t>cultural</w:t>
      </w:r>
      <w:r>
        <w:rPr>
          <w:spacing w:val="-6"/>
        </w:rPr>
        <w:t xml:space="preserve"> </w:t>
      </w:r>
      <w:r>
        <w:t>rights</w:t>
      </w:r>
      <w:r>
        <w:rPr>
          <w:spacing w:val="-1"/>
        </w:rPr>
        <w:t xml:space="preserve"> </w:t>
      </w:r>
      <w:r>
        <w:t>–</w:t>
      </w:r>
      <w:r>
        <w:rPr>
          <w:spacing w:val="-7"/>
        </w:rPr>
        <w:t xml:space="preserve"> </w:t>
      </w:r>
      <w:r>
        <w:t>may</w:t>
      </w:r>
      <w:r>
        <w:rPr>
          <w:spacing w:val="-5"/>
        </w:rPr>
        <w:t xml:space="preserve"> </w:t>
      </w:r>
      <w:r>
        <w:t>not</w:t>
      </w:r>
      <w:r>
        <w:rPr>
          <w:spacing w:val="-6"/>
        </w:rPr>
        <w:t xml:space="preserve"> </w:t>
      </w:r>
      <w:r>
        <w:t>be</w:t>
      </w:r>
      <w:r>
        <w:rPr>
          <w:spacing w:val="-4"/>
        </w:rPr>
        <w:t xml:space="preserve"> </w:t>
      </w:r>
      <w:r>
        <w:t>resolved</w:t>
      </w:r>
      <w:r>
        <w:rPr>
          <w:spacing w:val="-7"/>
        </w:rPr>
        <w:t xml:space="preserve"> </w:t>
      </w:r>
      <w:r>
        <w:t>where</w:t>
      </w:r>
      <w:r>
        <w:rPr>
          <w:spacing w:val="-7"/>
        </w:rPr>
        <w:t xml:space="preserve"> </w:t>
      </w:r>
      <w:r>
        <w:t>the</w:t>
      </w:r>
      <w:r>
        <w:rPr>
          <w:spacing w:val="-7"/>
        </w:rPr>
        <w:t xml:space="preserve"> </w:t>
      </w:r>
      <w:r>
        <w:t>related</w:t>
      </w:r>
      <w:r>
        <w:rPr>
          <w:spacing w:val="-5"/>
        </w:rPr>
        <w:t xml:space="preserve"> </w:t>
      </w:r>
      <w:r>
        <w:t>non-human</w:t>
      </w:r>
      <w:r>
        <w:rPr>
          <w:spacing w:val="-7"/>
        </w:rPr>
        <w:t xml:space="preserve"> </w:t>
      </w:r>
      <w:r>
        <w:t>rights claim could not be sustained.</w:t>
      </w:r>
      <w:r>
        <w:rPr>
          <w:position w:val="7"/>
          <w:sz w:val="13"/>
        </w:rPr>
        <w:t>491</w:t>
      </w:r>
    </w:p>
    <w:p w14:paraId="7CB2629B" w14:textId="77777777" w:rsidR="008A4099" w:rsidRDefault="006A6EE2">
      <w:pPr>
        <w:pStyle w:val="ListParagraph"/>
        <w:numPr>
          <w:ilvl w:val="2"/>
          <w:numId w:val="3"/>
        </w:numPr>
        <w:tabs>
          <w:tab w:val="left" w:pos="879"/>
        </w:tabs>
        <w:ind w:right="675" w:firstLine="0"/>
        <w:jc w:val="both"/>
        <w:rPr>
          <w:sz w:val="13"/>
        </w:rPr>
      </w:pPr>
      <w:r>
        <w:t xml:space="preserve">In the 2015 Victorian Review, it was recommended that the Charter be amended to enable a person to apply to the VCAT for a remedy or to rely on the Charter in any proceedings, with such a provision being modelled on the </w:t>
      </w:r>
      <w:r>
        <w:rPr>
          <w:i/>
        </w:rPr>
        <w:t xml:space="preserve">Human Rights Act 2004 </w:t>
      </w:r>
      <w:r>
        <w:t>(ACT) s 38.</w:t>
      </w:r>
      <w:r>
        <w:rPr>
          <w:position w:val="7"/>
          <w:sz w:val="13"/>
        </w:rPr>
        <w:t>492</w:t>
      </w:r>
      <w:r>
        <w:rPr>
          <w:spacing w:val="29"/>
          <w:position w:val="7"/>
          <w:sz w:val="13"/>
        </w:rPr>
        <w:t xml:space="preserve"> </w:t>
      </w:r>
      <w:r>
        <w:t>It was stated that the current ‘piggy-back’ model ‘leads to contortions in litigation just to get a Charter question before a court or Tribunal.</w:t>
      </w:r>
      <w:r>
        <w:rPr>
          <w:spacing w:val="-11"/>
        </w:rPr>
        <w:t xml:space="preserve"> </w:t>
      </w:r>
      <w:r>
        <w:t>…</w:t>
      </w:r>
      <w:r>
        <w:rPr>
          <w:spacing w:val="-9"/>
        </w:rPr>
        <w:t xml:space="preserve"> </w:t>
      </w:r>
      <w:r>
        <w:t>It</w:t>
      </w:r>
      <w:r>
        <w:rPr>
          <w:spacing w:val="-8"/>
        </w:rPr>
        <w:t xml:space="preserve"> </w:t>
      </w:r>
      <w:r>
        <w:t>seems</w:t>
      </w:r>
      <w:r>
        <w:rPr>
          <w:spacing w:val="-10"/>
        </w:rPr>
        <w:t xml:space="preserve"> </w:t>
      </w:r>
      <w:r>
        <w:t>absurd</w:t>
      </w:r>
      <w:r>
        <w:rPr>
          <w:spacing w:val="-9"/>
        </w:rPr>
        <w:t xml:space="preserve"> </w:t>
      </w:r>
      <w:r>
        <w:t>to</w:t>
      </w:r>
      <w:r>
        <w:rPr>
          <w:spacing w:val="-9"/>
        </w:rPr>
        <w:t xml:space="preserve"> </w:t>
      </w:r>
      <w:r>
        <w:t>require</w:t>
      </w:r>
      <w:r>
        <w:rPr>
          <w:spacing w:val="-8"/>
        </w:rPr>
        <w:t xml:space="preserve"> </w:t>
      </w:r>
      <w:r>
        <w:t>people</w:t>
      </w:r>
      <w:r>
        <w:rPr>
          <w:spacing w:val="-8"/>
        </w:rPr>
        <w:t xml:space="preserve"> </w:t>
      </w:r>
      <w:r>
        <w:t>to</w:t>
      </w:r>
      <w:r>
        <w:rPr>
          <w:spacing w:val="-11"/>
        </w:rPr>
        <w:t xml:space="preserve"> </w:t>
      </w:r>
      <w:r>
        <w:t>make</w:t>
      </w:r>
      <w:r>
        <w:rPr>
          <w:spacing w:val="-8"/>
        </w:rPr>
        <w:t xml:space="preserve"> </w:t>
      </w:r>
      <w:r>
        <w:t>unsuccessful</w:t>
      </w:r>
      <w:r>
        <w:rPr>
          <w:spacing w:val="-8"/>
        </w:rPr>
        <w:t xml:space="preserve"> </w:t>
      </w:r>
      <w:r>
        <w:t>arguments</w:t>
      </w:r>
      <w:r>
        <w:rPr>
          <w:spacing w:val="-8"/>
        </w:rPr>
        <w:t xml:space="preserve"> </w:t>
      </w:r>
      <w:r>
        <w:t>on</w:t>
      </w:r>
      <w:r>
        <w:rPr>
          <w:spacing w:val="-11"/>
        </w:rPr>
        <w:t xml:space="preserve"> </w:t>
      </w:r>
      <w:r>
        <w:t>other</w:t>
      </w:r>
      <w:r>
        <w:rPr>
          <w:spacing w:val="-8"/>
        </w:rPr>
        <w:t xml:space="preserve"> </w:t>
      </w:r>
      <w:r>
        <w:t>grounds</w:t>
      </w:r>
      <w:r>
        <w:rPr>
          <w:spacing w:val="-8"/>
        </w:rPr>
        <w:t xml:space="preserve"> </w:t>
      </w:r>
      <w:r>
        <w:t>before they can raise Charter grounds. This situation also creates complex jurisdictional and procedural question’.</w:t>
      </w:r>
      <w:r>
        <w:rPr>
          <w:position w:val="7"/>
          <w:sz w:val="13"/>
        </w:rPr>
        <w:t>493</w:t>
      </w:r>
      <w:r>
        <w:rPr>
          <w:spacing w:val="29"/>
          <w:position w:val="7"/>
          <w:sz w:val="13"/>
        </w:rPr>
        <w:t xml:space="preserve"> </w:t>
      </w:r>
      <w:r>
        <w:t>It was also viewed as undermining the effectiveness of the Charter by creating ‘a flawed regulatory model that does not include an ability to enforce the standards that it sets’.</w:t>
      </w:r>
      <w:r>
        <w:rPr>
          <w:position w:val="7"/>
          <w:sz w:val="13"/>
        </w:rPr>
        <w:t>494</w:t>
      </w:r>
    </w:p>
    <w:p w14:paraId="7CB2629C" w14:textId="77777777" w:rsidR="008A4099" w:rsidRDefault="006A6EE2">
      <w:pPr>
        <w:pStyle w:val="ListParagraph"/>
        <w:numPr>
          <w:ilvl w:val="2"/>
          <w:numId w:val="3"/>
        </w:numPr>
        <w:tabs>
          <w:tab w:val="left" w:pos="879"/>
        </w:tabs>
        <w:spacing w:before="216"/>
        <w:ind w:right="675" w:firstLine="0"/>
        <w:jc w:val="both"/>
        <w:rPr>
          <w:sz w:val="13"/>
        </w:rPr>
      </w:pPr>
      <w:r>
        <w:t>One argument against creating a direct cause of action is the potential to increase civil litigation.</w:t>
      </w:r>
      <w:r>
        <w:rPr>
          <w:position w:val="7"/>
          <w:sz w:val="13"/>
        </w:rPr>
        <w:t>495</w:t>
      </w:r>
      <w:r>
        <w:rPr>
          <w:spacing w:val="26"/>
          <w:position w:val="7"/>
          <w:sz w:val="13"/>
        </w:rPr>
        <w:t xml:space="preserve"> </w:t>
      </w:r>
      <w:r>
        <w:t>The 2015 Victorian Review noted, however, that this was not likely to be the case (based on the ACT experience) and that it was the preferrable approach because it ‘should … reduce unnecessary litigation that occurs because the current remedies provision is obscure’.</w:t>
      </w:r>
      <w:r>
        <w:rPr>
          <w:position w:val="7"/>
          <w:sz w:val="13"/>
        </w:rPr>
        <w:t>496</w:t>
      </w:r>
      <w:r>
        <w:rPr>
          <w:spacing w:val="28"/>
          <w:position w:val="7"/>
          <w:sz w:val="13"/>
        </w:rPr>
        <w:t xml:space="preserve"> </w:t>
      </w:r>
      <w:r>
        <w:t xml:space="preserve">In addition, it is noted that, despite the direct claim provisions in the </w:t>
      </w:r>
      <w:r>
        <w:rPr>
          <w:i/>
        </w:rPr>
        <w:t xml:space="preserve">Human Rights Act 2004 </w:t>
      </w:r>
      <w:r>
        <w:t>(ACT), there has not been a significant volume of cases relying on that Act. In 2020-2021, the ACT Human Rights Commission intervened in only two cases involving human rights issues.</w:t>
      </w:r>
      <w:r>
        <w:rPr>
          <w:position w:val="7"/>
          <w:sz w:val="13"/>
        </w:rPr>
        <w:t>497</w:t>
      </w:r>
    </w:p>
    <w:p w14:paraId="7CB2629D" w14:textId="77777777" w:rsidR="008A4099" w:rsidRDefault="006A6EE2">
      <w:pPr>
        <w:pStyle w:val="ListParagraph"/>
        <w:numPr>
          <w:ilvl w:val="2"/>
          <w:numId w:val="3"/>
        </w:numPr>
        <w:tabs>
          <w:tab w:val="left" w:pos="879"/>
        </w:tabs>
        <w:spacing w:before="216"/>
        <w:ind w:right="674" w:firstLine="0"/>
        <w:jc w:val="both"/>
      </w:pPr>
      <w:r>
        <w:t>An</w:t>
      </w:r>
      <w:r>
        <w:rPr>
          <w:spacing w:val="-7"/>
        </w:rPr>
        <w:t xml:space="preserve"> </w:t>
      </w:r>
      <w:r>
        <w:t>additional</w:t>
      </w:r>
      <w:r>
        <w:rPr>
          <w:spacing w:val="-9"/>
        </w:rPr>
        <w:t xml:space="preserve"> </w:t>
      </w:r>
      <w:r>
        <w:t>matter</w:t>
      </w:r>
      <w:r>
        <w:rPr>
          <w:spacing w:val="-8"/>
        </w:rPr>
        <w:t xml:space="preserve"> </w:t>
      </w:r>
      <w:r>
        <w:t>raised</w:t>
      </w:r>
      <w:r>
        <w:rPr>
          <w:spacing w:val="-9"/>
        </w:rPr>
        <w:t xml:space="preserve"> </w:t>
      </w:r>
      <w:r>
        <w:t>in</w:t>
      </w:r>
      <w:r>
        <w:rPr>
          <w:spacing w:val="-10"/>
        </w:rPr>
        <w:t xml:space="preserve"> </w:t>
      </w:r>
      <w:r>
        <w:t>the</w:t>
      </w:r>
      <w:r>
        <w:rPr>
          <w:spacing w:val="-9"/>
        </w:rPr>
        <w:t xml:space="preserve"> </w:t>
      </w:r>
      <w:r>
        <w:t>Review</w:t>
      </w:r>
      <w:r>
        <w:rPr>
          <w:spacing w:val="-8"/>
        </w:rPr>
        <w:t xml:space="preserve"> </w:t>
      </w:r>
      <w:r>
        <w:t>Period</w:t>
      </w:r>
      <w:r>
        <w:rPr>
          <w:spacing w:val="-10"/>
        </w:rPr>
        <w:t xml:space="preserve"> </w:t>
      </w:r>
      <w:r>
        <w:t>is</w:t>
      </w:r>
      <w:r>
        <w:rPr>
          <w:spacing w:val="-9"/>
        </w:rPr>
        <w:t xml:space="preserve"> </w:t>
      </w:r>
      <w:r>
        <w:t>the</w:t>
      </w:r>
      <w:r>
        <w:rPr>
          <w:spacing w:val="-9"/>
        </w:rPr>
        <w:t xml:space="preserve"> </w:t>
      </w:r>
      <w:r>
        <w:t>need</w:t>
      </w:r>
      <w:r>
        <w:rPr>
          <w:spacing w:val="-10"/>
        </w:rPr>
        <w:t xml:space="preserve"> </w:t>
      </w:r>
      <w:r>
        <w:t>for</w:t>
      </w:r>
      <w:r>
        <w:rPr>
          <w:spacing w:val="-6"/>
        </w:rPr>
        <w:t xml:space="preserve"> </w:t>
      </w:r>
      <w:r>
        <w:t>accessible</w:t>
      </w:r>
      <w:r>
        <w:rPr>
          <w:spacing w:val="-9"/>
        </w:rPr>
        <w:t xml:space="preserve"> </w:t>
      </w:r>
      <w:r>
        <w:t>remedies. It</w:t>
      </w:r>
      <w:r>
        <w:rPr>
          <w:spacing w:val="-9"/>
        </w:rPr>
        <w:t xml:space="preserve"> </w:t>
      </w:r>
      <w:r>
        <w:t>is</w:t>
      </w:r>
      <w:r>
        <w:rPr>
          <w:spacing w:val="-9"/>
        </w:rPr>
        <w:t xml:space="preserve"> </w:t>
      </w:r>
      <w:r>
        <w:t>noted that that Qld Human Rights Act allows for dispute resolution by the Human Rights Commissioner.</w:t>
      </w:r>
      <w:r>
        <w:rPr>
          <w:position w:val="7"/>
          <w:sz w:val="13"/>
        </w:rPr>
        <w:t>498</w:t>
      </w:r>
      <w:r>
        <w:rPr>
          <w:spacing w:val="40"/>
          <w:position w:val="7"/>
          <w:sz w:val="13"/>
        </w:rPr>
        <w:t xml:space="preserve"> </w:t>
      </w:r>
      <w:r>
        <w:t xml:space="preserve">In February 2022, the ACT Parliament referred a petition calling for more accessible remedies under the ACT Human Rights Act to a Standing Committee for inquiry. The petition sought the following </w:t>
      </w:r>
      <w:r>
        <w:rPr>
          <w:spacing w:val="-2"/>
        </w:rPr>
        <w:t>reforms:</w:t>
      </w:r>
    </w:p>
    <w:p w14:paraId="7CB2629E" w14:textId="77777777" w:rsidR="008A4099" w:rsidRDefault="006A6EE2">
      <w:pPr>
        <w:pStyle w:val="ListParagraph"/>
        <w:numPr>
          <w:ilvl w:val="3"/>
          <w:numId w:val="3"/>
        </w:numPr>
        <w:tabs>
          <w:tab w:val="left" w:pos="1600"/>
        </w:tabs>
        <w:spacing w:before="217" w:line="273" w:lineRule="auto"/>
        <w:ind w:left="1600" w:right="675"/>
        <w:jc w:val="left"/>
      </w:pPr>
      <w:r>
        <w:t>to</w:t>
      </w:r>
      <w:r>
        <w:rPr>
          <w:spacing w:val="-14"/>
        </w:rPr>
        <w:t xml:space="preserve"> </w:t>
      </w:r>
      <w:r>
        <w:t>enable</w:t>
      </w:r>
      <w:r>
        <w:rPr>
          <w:spacing w:val="-14"/>
        </w:rPr>
        <w:t xml:space="preserve"> </w:t>
      </w:r>
      <w:r>
        <w:t>complaints</w:t>
      </w:r>
      <w:r>
        <w:rPr>
          <w:spacing w:val="-14"/>
        </w:rPr>
        <w:t xml:space="preserve"> </w:t>
      </w:r>
      <w:r>
        <w:t>about</w:t>
      </w:r>
      <w:r>
        <w:rPr>
          <w:spacing w:val="-14"/>
        </w:rPr>
        <w:t xml:space="preserve"> </w:t>
      </w:r>
      <w:r>
        <w:t>any</w:t>
      </w:r>
      <w:r>
        <w:rPr>
          <w:spacing w:val="-14"/>
        </w:rPr>
        <w:t xml:space="preserve"> </w:t>
      </w:r>
      <w:r>
        <w:t>breach</w:t>
      </w:r>
      <w:r>
        <w:rPr>
          <w:spacing w:val="-14"/>
        </w:rPr>
        <w:t xml:space="preserve"> </w:t>
      </w:r>
      <w:r>
        <w:t>of</w:t>
      </w:r>
      <w:r>
        <w:rPr>
          <w:spacing w:val="-14"/>
        </w:rPr>
        <w:t xml:space="preserve"> </w:t>
      </w:r>
      <w:r>
        <w:t>the</w:t>
      </w:r>
      <w:r>
        <w:rPr>
          <w:spacing w:val="-13"/>
        </w:rPr>
        <w:t xml:space="preserve"> </w:t>
      </w:r>
      <w:r>
        <w:rPr>
          <w:i/>
        </w:rPr>
        <w:t>Human</w:t>
      </w:r>
      <w:r>
        <w:rPr>
          <w:i/>
          <w:spacing w:val="-14"/>
        </w:rPr>
        <w:t xml:space="preserve"> </w:t>
      </w:r>
      <w:r>
        <w:rPr>
          <w:i/>
        </w:rPr>
        <w:t>Rights</w:t>
      </w:r>
      <w:r>
        <w:rPr>
          <w:i/>
          <w:spacing w:val="-14"/>
        </w:rPr>
        <w:t xml:space="preserve"> </w:t>
      </w:r>
      <w:r>
        <w:rPr>
          <w:i/>
        </w:rPr>
        <w:t>Act</w:t>
      </w:r>
      <w:r>
        <w:rPr>
          <w:i/>
          <w:spacing w:val="-14"/>
        </w:rPr>
        <w:t xml:space="preserve"> </w:t>
      </w:r>
      <w:r>
        <w:rPr>
          <w:i/>
        </w:rPr>
        <w:t>2004</w:t>
      </w:r>
      <w:r>
        <w:rPr>
          <w:i/>
          <w:spacing w:val="-13"/>
        </w:rPr>
        <w:t xml:space="preserve"> </w:t>
      </w:r>
      <w:r>
        <w:t>(ACT)</w:t>
      </w:r>
      <w:r>
        <w:rPr>
          <w:spacing w:val="-14"/>
        </w:rPr>
        <w:t xml:space="preserve"> </w:t>
      </w:r>
      <w:r>
        <w:t>to</w:t>
      </w:r>
      <w:r>
        <w:rPr>
          <w:spacing w:val="-14"/>
        </w:rPr>
        <w:t xml:space="preserve"> </w:t>
      </w:r>
      <w:r>
        <w:t>be</w:t>
      </w:r>
      <w:r>
        <w:rPr>
          <w:spacing w:val="-14"/>
        </w:rPr>
        <w:t xml:space="preserve"> </w:t>
      </w:r>
      <w:r>
        <w:t>made to the Human Rights Commission for confidential conciliation; and</w:t>
      </w:r>
    </w:p>
    <w:p w14:paraId="7CB2629F" w14:textId="77777777" w:rsidR="008A4099" w:rsidRDefault="006A6EE2">
      <w:pPr>
        <w:pStyle w:val="ListParagraph"/>
        <w:numPr>
          <w:ilvl w:val="3"/>
          <w:numId w:val="3"/>
        </w:numPr>
        <w:tabs>
          <w:tab w:val="left" w:pos="1600"/>
        </w:tabs>
        <w:spacing w:before="123" w:line="273" w:lineRule="auto"/>
        <w:ind w:left="1600" w:right="681"/>
        <w:jc w:val="left"/>
        <w:rPr>
          <w:sz w:val="13"/>
        </w:rPr>
      </w:pPr>
      <w:r>
        <w:t>if conciliation is unsuccessful, to enable a complaint to</w:t>
      </w:r>
      <w:r>
        <w:rPr>
          <w:spacing w:val="-3"/>
        </w:rPr>
        <w:t xml:space="preserve"> </w:t>
      </w:r>
      <w:r>
        <w:t>be made to the ACT</w:t>
      </w:r>
      <w:r>
        <w:rPr>
          <w:spacing w:val="-1"/>
        </w:rPr>
        <w:t xml:space="preserve"> </w:t>
      </w:r>
      <w:r>
        <w:t>Civil and Administrative Tribunal for resolution.</w:t>
      </w:r>
      <w:r>
        <w:rPr>
          <w:position w:val="7"/>
          <w:sz w:val="13"/>
        </w:rPr>
        <w:t>499</w:t>
      </w:r>
    </w:p>
    <w:p w14:paraId="7CB262A0" w14:textId="77777777" w:rsidR="008A4099" w:rsidRDefault="006A6EE2">
      <w:pPr>
        <w:pStyle w:val="ListParagraph"/>
        <w:numPr>
          <w:ilvl w:val="2"/>
          <w:numId w:val="3"/>
        </w:numPr>
        <w:tabs>
          <w:tab w:val="left" w:pos="879"/>
        </w:tabs>
        <w:spacing w:before="224" w:line="237" w:lineRule="auto"/>
        <w:ind w:right="678" w:firstLine="0"/>
        <w:jc w:val="both"/>
      </w:pPr>
      <w:r>
        <w:t>The Committee Report, released in June 2022, recommended, ‘[t]hat the ACT Government support and enact the terms of the petition to create a system that mirrors the current approach with respect to discrimination complaints’.</w:t>
      </w:r>
      <w:r>
        <w:rPr>
          <w:position w:val="7"/>
          <w:sz w:val="13"/>
        </w:rPr>
        <w:t>500</w:t>
      </w:r>
      <w:r>
        <w:t>At the time of writing, this reform has not been implemented.</w:t>
      </w:r>
    </w:p>
    <w:p w14:paraId="7CB262A1" w14:textId="77777777" w:rsidR="008A4099" w:rsidRDefault="006A6EE2">
      <w:pPr>
        <w:pStyle w:val="Heading3"/>
        <w:spacing w:before="239"/>
      </w:pPr>
      <w:r>
        <w:t>TLRI’s</w:t>
      </w:r>
      <w:r>
        <w:rPr>
          <w:spacing w:val="-4"/>
        </w:rPr>
        <w:t xml:space="preserve"> </w:t>
      </w:r>
      <w:r>
        <w:t>current</w:t>
      </w:r>
      <w:r>
        <w:rPr>
          <w:spacing w:val="-4"/>
        </w:rPr>
        <w:t xml:space="preserve"> </w:t>
      </w:r>
      <w:r>
        <w:t>views</w:t>
      </w:r>
      <w:r>
        <w:rPr>
          <w:spacing w:val="-4"/>
        </w:rPr>
        <w:t xml:space="preserve"> </w:t>
      </w:r>
      <w:r>
        <w:t>and</w:t>
      </w:r>
      <w:r>
        <w:rPr>
          <w:spacing w:val="-3"/>
        </w:rPr>
        <w:t xml:space="preserve"> </w:t>
      </w:r>
      <w:r>
        <w:rPr>
          <w:spacing w:val="-2"/>
        </w:rPr>
        <w:t>recommendations</w:t>
      </w:r>
    </w:p>
    <w:p w14:paraId="7CB262A2" w14:textId="77777777" w:rsidR="008A4099" w:rsidRDefault="008A4099">
      <w:pPr>
        <w:pStyle w:val="BodyText"/>
        <w:spacing w:before="1"/>
        <w:rPr>
          <w:b/>
          <w:sz w:val="23"/>
        </w:rPr>
      </w:pPr>
    </w:p>
    <w:p w14:paraId="7CB262A3" w14:textId="77777777" w:rsidR="008A4099" w:rsidRDefault="006A6EE2">
      <w:pPr>
        <w:pStyle w:val="ListParagraph"/>
        <w:numPr>
          <w:ilvl w:val="2"/>
          <w:numId w:val="3"/>
        </w:numPr>
        <w:tabs>
          <w:tab w:val="left" w:pos="879"/>
        </w:tabs>
        <w:spacing w:before="0" w:line="235" w:lineRule="auto"/>
        <w:ind w:right="682" w:firstLine="0"/>
        <w:jc w:val="both"/>
      </w:pPr>
      <w:r>
        <w:t>Having regard to the experience in other jurisdictions, the TLRI maintains its 2007 recommendation</w:t>
      </w:r>
      <w:r>
        <w:rPr>
          <w:spacing w:val="-8"/>
        </w:rPr>
        <w:t xml:space="preserve"> </w:t>
      </w:r>
      <w:r>
        <w:t>that</w:t>
      </w:r>
      <w:r>
        <w:rPr>
          <w:spacing w:val="-7"/>
        </w:rPr>
        <w:t xml:space="preserve"> </w:t>
      </w:r>
      <w:r>
        <w:t>a</w:t>
      </w:r>
      <w:r>
        <w:rPr>
          <w:spacing w:val="-4"/>
        </w:rPr>
        <w:t xml:space="preserve"> </w:t>
      </w:r>
      <w:r>
        <w:t>direct</w:t>
      </w:r>
      <w:r>
        <w:rPr>
          <w:spacing w:val="-5"/>
        </w:rPr>
        <w:t xml:space="preserve"> </w:t>
      </w:r>
      <w:r>
        <w:t>cause</w:t>
      </w:r>
      <w:r>
        <w:rPr>
          <w:spacing w:val="-5"/>
        </w:rPr>
        <w:t xml:space="preserve"> </w:t>
      </w:r>
      <w:r>
        <w:t>of</w:t>
      </w:r>
      <w:r>
        <w:rPr>
          <w:spacing w:val="-4"/>
        </w:rPr>
        <w:t xml:space="preserve"> </w:t>
      </w:r>
      <w:r>
        <w:t>action</w:t>
      </w:r>
      <w:r>
        <w:rPr>
          <w:spacing w:val="-6"/>
        </w:rPr>
        <w:t xml:space="preserve"> </w:t>
      </w:r>
      <w:r>
        <w:t>should</w:t>
      </w:r>
      <w:r>
        <w:rPr>
          <w:spacing w:val="-6"/>
        </w:rPr>
        <w:t xml:space="preserve"> </w:t>
      </w:r>
      <w:r>
        <w:t>be</w:t>
      </w:r>
      <w:r>
        <w:rPr>
          <w:spacing w:val="-7"/>
        </w:rPr>
        <w:t xml:space="preserve"> </w:t>
      </w:r>
      <w:r>
        <w:t>available</w:t>
      </w:r>
      <w:r>
        <w:rPr>
          <w:spacing w:val="-8"/>
        </w:rPr>
        <w:t xml:space="preserve"> </w:t>
      </w:r>
      <w:r>
        <w:t>for</w:t>
      </w:r>
      <w:r>
        <w:rPr>
          <w:spacing w:val="-4"/>
        </w:rPr>
        <w:t xml:space="preserve"> </w:t>
      </w:r>
      <w:r>
        <w:t>breaches</w:t>
      </w:r>
      <w:r>
        <w:rPr>
          <w:spacing w:val="-7"/>
        </w:rPr>
        <w:t xml:space="preserve"> </w:t>
      </w:r>
      <w:r>
        <w:t>of</w:t>
      </w:r>
      <w:r>
        <w:rPr>
          <w:spacing w:val="-5"/>
        </w:rPr>
        <w:t xml:space="preserve"> </w:t>
      </w:r>
      <w:r>
        <w:t>a</w:t>
      </w:r>
      <w:r>
        <w:rPr>
          <w:spacing w:val="-7"/>
        </w:rPr>
        <w:t xml:space="preserve"> </w:t>
      </w:r>
      <w:r>
        <w:t>human</w:t>
      </w:r>
      <w:r>
        <w:rPr>
          <w:spacing w:val="-8"/>
        </w:rPr>
        <w:t xml:space="preserve"> </w:t>
      </w:r>
      <w:r>
        <w:t>rights,</w:t>
      </w:r>
      <w:r>
        <w:rPr>
          <w:spacing w:val="-4"/>
        </w:rPr>
        <w:t xml:space="preserve"> </w:t>
      </w:r>
      <w:r>
        <w:rPr>
          <w:spacing w:val="-2"/>
        </w:rPr>
        <w:t>rather</w:t>
      </w:r>
    </w:p>
    <w:p w14:paraId="7CB262A4" w14:textId="77777777" w:rsidR="008A4099" w:rsidRDefault="006A6EE2">
      <w:pPr>
        <w:pStyle w:val="BodyText"/>
        <w:spacing w:before="162"/>
        <w:rPr>
          <w:sz w:val="20"/>
        </w:rPr>
      </w:pPr>
      <w:r>
        <w:rPr>
          <w:noProof/>
        </w:rPr>
        <mc:AlternateContent>
          <mc:Choice Requires="wps">
            <w:drawing>
              <wp:anchor distT="0" distB="0" distL="0" distR="0" simplePos="0" relativeHeight="487635968" behindDoc="1" locked="0" layoutInCell="1" allowOverlap="1" wp14:anchorId="7CB26695" wp14:editId="7CB26696">
                <wp:simplePos x="0" y="0"/>
                <wp:positionH relativeFrom="page">
                  <wp:posOffset>914704</wp:posOffset>
                </wp:positionH>
                <wp:positionV relativeFrom="paragraph">
                  <wp:posOffset>264638</wp:posOffset>
                </wp:positionV>
                <wp:extent cx="1829435" cy="762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400B5B" id="Graphic 142" o:spid="_x0000_s1026" style="position:absolute;margin-left:1in;margin-top:20.85pt;width:144.05pt;height:.6pt;z-index:-156805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" path="m1829054,l,,,7620r1829054,l1829054,xe" fillcolor="black" stroked="f">
                <v:path arrowok="t"/>
                <w10:wrap type="topAndBottom" anchorx="page"/>
              </v:shape>
            </w:pict>
          </mc:Fallback>
        </mc:AlternateContent>
      </w:r>
    </w:p>
    <w:p w14:paraId="7CB262A5" w14:textId="77777777" w:rsidR="008A4099" w:rsidRDefault="006A6EE2">
      <w:pPr>
        <w:spacing w:before="112" w:line="244" w:lineRule="auto"/>
        <w:ind w:left="160" w:right="680"/>
        <w:rPr>
          <w:sz w:val="18"/>
        </w:rPr>
      </w:pPr>
      <w:r>
        <w:rPr>
          <w:sz w:val="18"/>
          <w:vertAlign w:val="superscript"/>
        </w:rPr>
        <w:t>491</w:t>
      </w:r>
      <w:r>
        <w:rPr>
          <w:spacing w:val="-8"/>
          <w:sz w:val="18"/>
        </w:rPr>
        <w:t xml:space="preserve"> </w:t>
      </w:r>
      <w:r>
        <w:rPr>
          <w:sz w:val="18"/>
        </w:rPr>
        <w:t>The</w:t>
      </w:r>
      <w:r>
        <w:rPr>
          <w:spacing w:val="-9"/>
          <w:sz w:val="18"/>
        </w:rPr>
        <w:t xml:space="preserve"> </w:t>
      </w:r>
      <w:r>
        <w:rPr>
          <w:i/>
          <w:sz w:val="18"/>
        </w:rPr>
        <w:t>Human</w:t>
      </w:r>
      <w:r>
        <w:rPr>
          <w:i/>
          <w:spacing w:val="-9"/>
          <w:sz w:val="18"/>
        </w:rPr>
        <w:t xml:space="preserve"> </w:t>
      </w:r>
      <w:r>
        <w:rPr>
          <w:i/>
          <w:sz w:val="18"/>
        </w:rPr>
        <w:t>Rights</w:t>
      </w:r>
      <w:r>
        <w:rPr>
          <w:i/>
          <w:spacing w:val="-8"/>
          <w:sz w:val="18"/>
        </w:rPr>
        <w:t xml:space="preserve"> </w:t>
      </w:r>
      <w:r>
        <w:rPr>
          <w:i/>
          <w:sz w:val="18"/>
        </w:rPr>
        <w:t>Act</w:t>
      </w:r>
      <w:r>
        <w:rPr>
          <w:i/>
          <w:spacing w:val="-10"/>
          <w:sz w:val="18"/>
        </w:rPr>
        <w:t xml:space="preserve"> </w:t>
      </w:r>
      <w:r>
        <w:rPr>
          <w:i/>
          <w:sz w:val="18"/>
        </w:rPr>
        <w:t>2019</w:t>
      </w:r>
      <w:r>
        <w:rPr>
          <w:i/>
          <w:spacing w:val="-5"/>
          <w:sz w:val="18"/>
        </w:rPr>
        <w:t xml:space="preserve"> </w:t>
      </w:r>
      <w:r>
        <w:rPr>
          <w:sz w:val="18"/>
        </w:rPr>
        <w:t>(Qld)</w:t>
      </w:r>
      <w:r>
        <w:rPr>
          <w:spacing w:val="-8"/>
          <w:sz w:val="18"/>
        </w:rPr>
        <w:t xml:space="preserve"> </w:t>
      </w:r>
      <w:r>
        <w:rPr>
          <w:sz w:val="18"/>
        </w:rPr>
        <w:t>s</w:t>
      </w:r>
      <w:r>
        <w:rPr>
          <w:spacing w:val="-9"/>
          <w:sz w:val="18"/>
        </w:rPr>
        <w:t xml:space="preserve"> </w:t>
      </w:r>
      <w:r>
        <w:rPr>
          <w:sz w:val="18"/>
        </w:rPr>
        <w:t>59(2)</w:t>
      </w:r>
      <w:r>
        <w:rPr>
          <w:spacing w:val="-8"/>
          <w:sz w:val="18"/>
        </w:rPr>
        <w:t xml:space="preserve"> </w:t>
      </w:r>
      <w:r>
        <w:rPr>
          <w:sz w:val="18"/>
        </w:rPr>
        <w:t>clarifies</w:t>
      </w:r>
      <w:r>
        <w:rPr>
          <w:spacing w:val="-9"/>
          <w:sz w:val="18"/>
        </w:rPr>
        <w:t xml:space="preserve"> </w:t>
      </w:r>
      <w:r>
        <w:rPr>
          <w:sz w:val="18"/>
        </w:rPr>
        <w:t>that</w:t>
      </w:r>
      <w:r>
        <w:rPr>
          <w:spacing w:val="-8"/>
          <w:sz w:val="18"/>
        </w:rPr>
        <w:t xml:space="preserve"> </w:t>
      </w:r>
      <w:r>
        <w:rPr>
          <w:sz w:val="18"/>
        </w:rPr>
        <w:t>a</w:t>
      </w:r>
      <w:r>
        <w:rPr>
          <w:spacing w:val="-11"/>
          <w:sz w:val="18"/>
        </w:rPr>
        <w:t xml:space="preserve"> </w:t>
      </w:r>
      <w:r>
        <w:rPr>
          <w:sz w:val="18"/>
        </w:rPr>
        <w:t>human</w:t>
      </w:r>
      <w:r>
        <w:rPr>
          <w:spacing w:val="-7"/>
          <w:sz w:val="18"/>
        </w:rPr>
        <w:t xml:space="preserve"> </w:t>
      </w:r>
      <w:r>
        <w:rPr>
          <w:sz w:val="18"/>
        </w:rPr>
        <w:t>rights</w:t>
      </w:r>
      <w:r>
        <w:rPr>
          <w:spacing w:val="-8"/>
          <w:sz w:val="18"/>
        </w:rPr>
        <w:t xml:space="preserve"> </w:t>
      </w:r>
      <w:r>
        <w:rPr>
          <w:sz w:val="18"/>
        </w:rPr>
        <w:t>claim</w:t>
      </w:r>
      <w:r>
        <w:rPr>
          <w:spacing w:val="-9"/>
          <w:sz w:val="18"/>
        </w:rPr>
        <w:t xml:space="preserve"> </w:t>
      </w:r>
      <w:r>
        <w:rPr>
          <w:sz w:val="18"/>
        </w:rPr>
        <w:t>can</w:t>
      </w:r>
      <w:r>
        <w:rPr>
          <w:spacing w:val="-7"/>
          <w:sz w:val="18"/>
        </w:rPr>
        <w:t xml:space="preserve"> </w:t>
      </w:r>
      <w:r>
        <w:rPr>
          <w:sz w:val="18"/>
        </w:rPr>
        <w:t>succeed,</w:t>
      </w:r>
      <w:r>
        <w:rPr>
          <w:spacing w:val="-8"/>
          <w:sz w:val="18"/>
        </w:rPr>
        <w:t xml:space="preserve"> </w:t>
      </w:r>
      <w:r>
        <w:rPr>
          <w:sz w:val="18"/>
        </w:rPr>
        <w:t>even</w:t>
      </w:r>
      <w:r>
        <w:rPr>
          <w:spacing w:val="-9"/>
          <w:sz w:val="18"/>
        </w:rPr>
        <w:t xml:space="preserve"> </w:t>
      </w:r>
      <w:r>
        <w:rPr>
          <w:sz w:val="18"/>
        </w:rPr>
        <w:t>where</w:t>
      </w:r>
      <w:r>
        <w:rPr>
          <w:spacing w:val="-11"/>
          <w:sz w:val="18"/>
        </w:rPr>
        <w:t xml:space="preserve"> </w:t>
      </w:r>
      <w:r>
        <w:rPr>
          <w:sz w:val="18"/>
        </w:rPr>
        <w:t>the</w:t>
      </w:r>
      <w:r>
        <w:rPr>
          <w:spacing w:val="-11"/>
          <w:sz w:val="18"/>
        </w:rPr>
        <w:t xml:space="preserve"> </w:t>
      </w:r>
      <w:r>
        <w:rPr>
          <w:sz w:val="18"/>
        </w:rPr>
        <w:t>non-human</w:t>
      </w:r>
      <w:r>
        <w:rPr>
          <w:spacing w:val="-7"/>
          <w:sz w:val="18"/>
        </w:rPr>
        <w:t xml:space="preserve"> </w:t>
      </w:r>
      <w:r>
        <w:rPr>
          <w:sz w:val="18"/>
        </w:rPr>
        <w:t>rights claim does not.</w:t>
      </w:r>
    </w:p>
    <w:p w14:paraId="7CB262A6" w14:textId="77777777" w:rsidR="008A4099" w:rsidRDefault="006A6EE2">
      <w:pPr>
        <w:spacing w:before="16"/>
        <w:ind w:left="160"/>
        <w:rPr>
          <w:sz w:val="18"/>
        </w:rPr>
      </w:pPr>
      <w:r>
        <w:rPr>
          <w:sz w:val="18"/>
          <w:vertAlign w:val="superscript"/>
        </w:rPr>
        <w:t>492</w:t>
      </w:r>
      <w:r>
        <w:rPr>
          <w:sz w:val="18"/>
        </w:rPr>
        <w:t xml:space="preserve"> Brett Young,</w:t>
      </w:r>
      <w:r>
        <w:rPr>
          <w:spacing w:val="1"/>
          <w:sz w:val="18"/>
        </w:rPr>
        <w:t xml:space="preserve"> </w:t>
      </w:r>
      <w:r>
        <w:rPr>
          <w:i/>
          <w:sz w:val="18"/>
        </w:rPr>
        <w:t>From Commitment</w:t>
      </w:r>
      <w:r>
        <w:rPr>
          <w:i/>
          <w:spacing w:val="-2"/>
          <w:sz w:val="18"/>
        </w:rPr>
        <w:t xml:space="preserve"> </w:t>
      </w:r>
      <w:r>
        <w:rPr>
          <w:i/>
          <w:sz w:val="18"/>
        </w:rPr>
        <w:t>to</w:t>
      </w:r>
      <w:r>
        <w:rPr>
          <w:i/>
          <w:spacing w:val="1"/>
          <w:sz w:val="18"/>
        </w:rPr>
        <w:t xml:space="preserve"> </w:t>
      </w:r>
      <w:r>
        <w:rPr>
          <w:i/>
          <w:sz w:val="18"/>
        </w:rPr>
        <w:t>Culture</w:t>
      </w:r>
      <w:r>
        <w:rPr>
          <w:sz w:val="18"/>
        </w:rPr>
        <w:t>, Recommendation</w:t>
      </w:r>
      <w:r>
        <w:rPr>
          <w:spacing w:val="-1"/>
          <w:sz w:val="18"/>
        </w:rPr>
        <w:t xml:space="preserve"> </w:t>
      </w:r>
      <w:r>
        <w:rPr>
          <w:spacing w:val="-5"/>
          <w:sz w:val="18"/>
        </w:rPr>
        <w:t>27.</w:t>
      </w:r>
    </w:p>
    <w:p w14:paraId="7CB262A7" w14:textId="77777777" w:rsidR="008A4099" w:rsidRDefault="006A6EE2">
      <w:pPr>
        <w:spacing w:before="23"/>
        <w:ind w:left="160"/>
        <w:rPr>
          <w:sz w:val="18"/>
        </w:rPr>
      </w:pPr>
      <w:r>
        <w:rPr>
          <w:sz w:val="18"/>
          <w:vertAlign w:val="superscript"/>
        </w:rPr>
        <w:t>493</w:t>
      </w:r>
      <w:r>
        <w:rPr>
          <w:spacing w:val="6"/>
          <w:sz w:val="18"/>
        </w:rPr>
        <w:t xml:space="preserve"> </w:t>
      </w:r>
      <w:r>
        <w:rPr>
          <w:sz w:val="18"/>
        </w:rPr>
        <w:t>Ibid</w:t>
      </w:r>
      <w:r>
        <w:rPr>
          <w:spacing w:val="6"/>
          <w:sz w:val="18"/>
        </w:rPr>
        <w:t xml:space="preserve"> </w:t>
      </w:r>
      <w:r>
        <w:rPr>
          <w:spacing w:val="-4"/>
          <w:sz w:val="18"/>
        </w:rPr>
        <w:t>127.</w:t>
      </w:r>
    </w:p>
    <w:p w14:paraId="7CB262A8" w14:textId="77777777" w:rsidR="008A4099" w:rsidRDefault="006A6EE2">
      <w:pPr>
        <w:spacing w:before="23"/>
        <w:ind w:left="160"/>
        <w:rPr>
          <w:sz w:val="18"/>
        </w:rPr>
      </w:pPr>
      <w:r>
        <w:rPr>
          <w:w w:val="105"/>
          <w:sz w:val="18"/>
          <w:vertAlign w:val="superscript"/>
        </w:rPr>
        <w:t>494</w:t>
      </w:r>
      <w:r>
        <w:rPr>
          <w:spacing w:val="1"/>
          <w:w w:val="105"/>
          <w:sz w:val="18"/>
        </w:rPr>
        <w:t xml:space="preserve"> </w:t>
      </w:r>
      <w:r>
        <w:rPr>
          <w:spacing w:val="-2"/>
          <w:w w:val="105"/>
          <w:sz w:val="18"/>
        </w:rPr>
        <w:t>Ibid.</w:t>
      </w:r>
    </w:p>
    <w:p w14:paraId="7CB262A9" w14:textId="77777777" w:rsidR="008A4099" w:rsidRDefault="006A6EE2">
      <w:pPr>
        <w:spacing w:before="24"/>
        <w:ind w:left="160"/>
        <w:rPr>
          <w:sz w:val="18"/>
        </w:rPr>
      </w:pPr>
      <w:r>
        <w:rPr>
          <w:w w:val="105"/>
          <w:sz w:val="18"/>
          <w:vertAlign w:val="superscript"/>
        </w:rPr>
        <w:t>495</w:t>
      </w:r>
      <w:r>
        <w:rPr>
          <w:spacing w:val="1"/>
          <w:w w:val="105"/>
          <w:sz w:val="18"/>
        </w:rPr>
        <w:t xml:space="preserve"> </w:t>
      </w:r>
      <w:r>
        <w:rPr>
          <w:spacing w:val="-2"/>
          <w:w w:val="105"/>
          <w:sz w:val="18"/>
        </w:rPr>
        <w:t>Ibid.</w:t>
      </w:r>
    </w:p>
    <w:p w14:paraId="7CB262AA" w14:textId="77777777" w:rsidR="008A4099" w:rsidRDefault="006A6EE2">
      <w:pPr>
        <w:spacing w:before="23"/>
        <w:ind w:left="160"/>
        <w:rPr>
          <w:sz w:val="18"/>
        </w:rPr>
      </w:pPr>
      <w:r>
        <w:rPr>
          <w:w w:val="105"/>
          <w:sz w:val="18"/>
          <w:vertAlign w:val="superscript"/>
        </w:rPr>
        <w:t>496</w:t>
      </w:r>
      <w:r>
        <w:rPr>
          <w:spacing w:val="1"/>
          <w:w w:val="105"/>
          <w:sz w:val="18"/>
        </w:rPr>
        <w:t xml:space="preserve"> </w:t>
      </w:r>
      <w:r>
        <w:rPr>
          <w:spacing w:val="-2"/>
          <w:w w:val="105"/>
          <w:sz w:val="18"/>
        </w:rPr>
        <w:t>Ibid.</w:t>
      </w:r>
    </w:p>
    <w:p w14:paraId="7CB262AB" w14:textId="77777777" w:rsidR="008A4099" w:rsidRDefault="006A6EE2">
      <w:pPr>
        <w:spacing w:before="21"/>
        <w:ind w:left="160"/>
        <w:rPr>
          <w:sz w:val="18"/>
        </w:rPr>
      </w:pPr>
      <w:r>
        <w:rPr>
          <w:sz w:val="18"/>
          <w:vertAlign w:val="superscript"/>
        </w:rPr>
        <w:t>497</w:t>
      </w:r>
      <w:r>
        <w:rPr>
          <w:sz w:val="18"/>
        </w:rPr>
        <w:t xml:space="preserve"> ACT Human</w:t>
      </w:r>
      <w:r>
        <w:rPr>
          <w:spacing w:val="1"/>
          <w:sz w:val="18"/>
        </w:rPr>
        <w:t xml:space="preserve"> </w:t>
      </w:r>
      <w:r>
        <w:rPr>
          <w:sz w:val="18"/>
        </w:rPr>
        <w:t>Rights Commission,</w:t>
      </w:r>
      <w:r>
        <w:rPr>
          <w:spacing w:val="4"/>
          <w:sz w:val="18"/>
        </w:rPr>
        <w:t xml:space="preserve"> </w:t>
      </w:r>
      <w:r>
        <w:rPr>
          <w:i/>
          <w:sz w:val="18"/>
        </w:rPr>
        <w:t>Annual Report</w:t>
      </w:r>
      <w:r>
        <w:rPr>
          <w:i/>
          <w:spacing w:val="-2"/>
          <w:sz w:val="18"/>
        </w:rPr>
        <w:t xml:space="preserve"> </w:t>
      </w:r>
      <w:r>
        <w:rPr>
          <w:i/>
          <w:sz w:val="18"/>
        </w:rPr>
        <w:t>2020-2021</w:t>
      </w:r>
      <w:r>
        <w:rPr>
          <w:i/>
          <w:spacing w:val="-1"/>
          <w:sz w:val="18"/>
        </w:rPr>
        <w:t xml:space="preserve"> </w:t>
      </w:r>
      <w:r>
        <w:rPr>
          <w:spacing w:val="-5"/>
          <w:sz w:val="18"/>
        </w:rPr>
        <w:t>21.</w:t>
      </w:r>
    </w:p>
    <w:p w14:paraId="7CB262AC" w14:textId="77777777" w:rsidR="008A4099" w:rsidRDefault="006A6EE2">
      <w:pPr>
        <w:spacing w:before="24"/>
        <w:ind w:left="160"/>
        <w:rPr>
          <w:sz w:val="18"/>
        </w:rPr>
      </w:pPr>
      <w:r>
        <w:rPr>
          <w:sz w:val="18"/>
          <w:vertAlign w:val="superscript"/>
        </w:rPr>
        <w:t>498</w:t>
      </w:r>
      <w:r>
        <w:rPr>
          <w:spacing w:val="2"/>
          <w:sz w:val="18"/>
        </w:rPr>
        <w:t xml:space="preserve"> </w:t>
      </w:r>
      <w:r>
        <w:rPr>
          <w:sz w:val="18"/>
        </w:rPr>
        <w:t>See</w:t>
      </w:r>
      <w:r>
        <w:rPr>
          <w:spacing w:val="1"/>
          <w:sz w:val="18"/>
        </w:rPr>
        <w:t xml:space="preserve"> </w:t>
      </w:r>
      <w:r>
        <w:rPr>
          <w:sz w:val="18"/>
        </w:rPr>
        <w:t>discussion</w:t>
      </w:r>
      <w:r>
        <w:rPr>
          <w:spacing w:val="4"/>
          <w:sz w:val="18"/>
        </w:rPr>
        <w:t xml:space="preserve"> </w:t>
      </w:r>
      <w:r>
        <w:rPr>
          <w:sz w:val="18"/>
        </w:rPr>
        <w:t>at</w:t>
      </w:r>
      <w:r>
        <w:rPr>
          <w:spacing w:val="4"/>
          <w:sz w:val="18"/>
        </w:rPr>
        <w:t xml:space="preserve"> </w:t>
      </w:r>
      <w:r>
        <w:rPr>
          <w:spacing w:val="-2"/>
          <w:sz w:val="18"/>
        </w:rPr>
        <w:t>[4.6.13].</w:t>
      </w:r>
    </w:p>
    <w:p w14:paraId="7CB262AD" w14:textId="77777777" w:rsidR="008A4099" w:rsidRDefault="006A6EE2">
      <w:pPr>
        <w:spacing w:before="23" w:line="244" w:lineRule="auto"/>
        <w:ind w:left="160" w:right="680"/>
        <w:rPr>
          <w:sz w:val="18"/>
        </w:rPr>
      </w:pPr>
      <w:r>
        <w:rPr>
          <w:sz w:val="18"/>
          <w:vertAlign w:val="superscript"/>
        </w:rPr>
        <w:t>499</w:t>
      </w:r>
      <w:r>
        <w:rPr>
          <w:spacing w:val="-1"/>
          <w:sz w:val="18"/>
        </w:rPr>
        <w:t xml:space="preserve"> </w:t>
      </w:r>
      <w:r>
        <w:rPr>
          <w:sz w:val="18"/>
        </w:rPr>
        <w:t>Legislative</w:t>
      </w:r>
      <w:r>
        <w:rPr>
          <w:spacing w:val="-2"/>
          <w:sz w:val="18"/>
        </w:rPr>
        <w:t xml:space="preserve"> </w:t>
      </w:r>
      <w:r>
        <w:rPr>
          <w:sz w:val="18"/>
        </w:rPr>
        <w:t>Assembly for</w:t>
      </w:r>
      <w:r>
        <w:rPr>
          <w:spacing w:val="-1"/>
          <w:sz w:val="18"/>
        </w:rPr>
        <w:t xml:space="preserve"> </w:t>
      </w:r>
      <w:r>
        <w:rPr>
          <w:sz w:val="18"/>
        </w:rPr>
        <w:t>the</w:t>
      </w:r>
      <w:r>
        <w:rPr>
          <w:spacing w:val="-2"/>
          <w:sz w:val="18"/>
        </w:rPr>
        <w:t xml:space="preserve"> </w:t>
      </w:r>
      <w:r>
        <w:rPr>
          <w:sz w:val="18"/>
        </w:rPr>
        <w:t>Australian Capital</w:t>
      </w:r>
      <w:r>
        <w:rPr>
          <w:spacing w:val="-1"/>
          <w:sz w:val="18"/>
        </w:rPr>
        <w:t xml:space="preserve"> </w:t>
      </w:r>
      <w:r>
        <w:rPr>
          <w:sz w:val="18"/>
        </w:rPr>
        <w:t>Territory,</w:t>
      </w:r>
      <w:r>
        <w:rPr>
          <w:spacing w:val="-1"/>
          <w:sz w:val="18"/>
        </w:rPr>
        <w:t xml:space="preserve"> </w:t>
      </w:r>
      <w:r>
        <w:rPr>
          <w:sz w:val="18"/>
        </w:rPr>
        <w:t>Standing Committee</w:t>
      </w:r>
      <w:r>
        <w:rPr>
          <w:spacing w:val="-2"/>
          <w:sz w:val="18"/>
        </w:rPr>
        <w:t xml:space="preserve"> </w:t>
      </w:r>
      <w:r>
        <w:rPr>
          <w:sz w:val="18"/>
        </w:rPr>
        <w:t>on Justice</w:t>
      </w:r>
      <w:r>
        <w:rPr>
          <w:spacing w:val="-2"/>
          <w:sz w:val="18"/>
        </w:rPr>
        <w:t xml:space="preserve"> </w:t>
      </w:r>
      <w:r>
        <w:rPr>
          <w:sz w:val="18"/>
        </w:rPr>
        <w:t>and Community</w:t>
      </w:r>
      <w:r>
        <w:rPr>
          <w:spacing w:val="-2"/>
          <w:sz w:val="18"/>
        </w:rPr>
        <w:t xml:space="preserve"> </w:t>
      </w:r>
      <w:r>
        <w:rPr>
          <w:sz w:val="18"/>
        </w:rPr>
        <w:t xml:space="preserve">Safety, </w:t>
      </w:r>
      <w:r>
        <w:rPr>
          <w:i/>
          <w:sz w:val="18"/>
        </w:rPr>
        <w:t xml:space="preserve">Report into the Inquiry into Petition 32-21. No Rights Without Remedy </w:t>
      </w:r>
      <w:r>
        <w:rPr>
          <w:sz w:val="18"/>
        </w:rPr>
        <w:t>(Report, 7 June 2022) 1</w:t>
      </w:r>
    </w:p>
    <w:p w14:paraId="7CB262AE" w14:textId="77777777" w:rsidR="008A4099" w:rsidRDefault="006A6EE2">
      <w:pPr>
        <w:spacing w:line="242" w:lineRule="auto"/>
        <w:ind w:left="160" w:right="1199"/>
        <w:rPr>
          <w:sz w:val="18"/>
        </w:rPr>
      </w:pPr>
      <w:r>
        <w:rPr>
          <w:sz w:val="18"/>
        </w:rPr>
        <w:t>&lt;https://</w:t>
      </w:r>
      <w:hyperlink r:id="rId155">
        <w:r>
          <w:rPr>
            <w:sz w:val="18"/>
          </w:rPr>
          <w:t>www.parliament.act.gov.au/</w:t>
        </w:r>
      </w:hyperlink>
      <w:r>
        <w:rPr>
          <w:spacing w:val="80"/>
          <w:sz w:val="18"/>
          <w:u w:val="single"/>
        </w:rPr>
        <w:t xml:space="preserve"> </w:t>
      </w:r>
      <w:r>
        <w:rPr>
          <w:sz w:val="18"/>
        </w:rPr>
        <w:t xml:space="preserve">data/assets/pdf_file/0006/2023764/JCS-Report-7-Report-into-the-Inquiry-into- </w:t>
      </w:r>
      <w:r>
        <w:rPr>
          <w:spacing w:val="-2"/>
          <w:sz w:val="18"/>
        </w:rPr>
        <w:t>Petition-32-21-No-Rights-Without-Remedy.pdf&gt;</w:t>
      </w:r>
    </w:p>
    <w:p w14:paraId="7CB262AF" w14:textId="77777777" w:rsidR="008A4099" w:rsidRDefault="006A6EE2">
      <w:pPr>
        <w:spacing w:before="12" w:line="244" w:lineRule="auto"/>
        <w:ind w:left="160" w:right="680"/>
        <w:rPr>
          <w:sz w:val="18"/>
        </w:rPr>
      </w:pPr>
      <w:r>
        <w:rPr>
          <w:sz w:val="18"/>
          <w:vertAlign w:val="superscript"/>
        </w:rPr>
        <w:t>500</w:t>
      </w:r>
      <w:r>
        <w:rPr>
          <w:spacing w:val="-1"/>
          <w:sz w:val="18"/>
        </w:rPr>
        <w:t xml:space="preserve"> </w:t>
      </w:r>
      <w:r>
        <w:rPr>
          <w:sz w:val="18"/>
        </w:rPr>
        <w:t>Legislative</w:t>
      </w:r>
      <w:r>
        <w:rPr>
          <w:spacing w:val="-2"/>
          <w:sz w:val="18"/>
        </w:rPr>
        <w:t xml:space="preserve"> </w:t>
      </w:r>
      <w:r>
        <w:rPr>
          <w:sz w:val="18"/>
        </w:rPr>
        <w:t>Assembly for</w:t>
      </w:r>
      <w:r>
        <w:rPr>
          <w:spacing w:val="-1"/>
          <w:sz w:val="18"/>
        </w:rPr>
        <w:t xml:space="preserve"> </w:t>
      </w:r>
      <w:r>
        <w:rPr>
          <w:sz w:val="18"/>
        </w:rPr>
        <w:t>the</w:t>
      </w:r>
      <w:r>
        <w:rPr>
          <w:spacing w:val="-2"/>
          <w:sz w:val="18"/>
        </w:rPr>
        <w:t xml:space="preserve"> </w:t>
      </w:r>
      <w:r>
        <w:rPr>
          <w:sz w:val="18"/>
        </w:rPr>
        <w:t>Australian Capital</w:t>
      </w:r>
      <w:r>
        <w:rPr>
          <w:spacing w:val="-1"/>
          <w:sz w:val="18"/>
        </w:rPr>
        <w:t xml:space="preserve"> </w:t>
      </w:r>
      <w:r>
        <w:rPr>
          <w:sz w:val="18"/>
        </w:rPr>
        <w:t>Territory,</w:t>
      </w:r>
      <w:r>
        <w:rPr>
          <w:spacing w:val="-1"/>
          <w:sz w:val="18"/>
        </w:rPr>
        <w:t xml:space="preserve"> </w:t>
      </w:r>
      <w:r>
        <w:rPr>
          <w:sz w:val="18"/>
        </w:rPr>
        <w:t>Standing Committee</w:t>
      </w:r>
      <w:r>
        <w:rPr>
          <w:spacing w:val="-2"/>
          <w:sz w:val="18"/>
        </w:rPr>
        <w:t xml:space="preserve"> </w:t>
      </w:r>
      <w:r>
        <w:rPr>
          <w:sz w:val="18"/>
        </w:rPr>
        <w:t>on Justice</w:t>
      </w:r>
      <w:r>
        <w:rPr>
          <w:spacing w:val="-2"/>
          <w:sz w:val="18"/>
        </w:rPr>
        <w:t xml:space="preserve"> </w:t>
      </w:r>
      <w:r>
        <w:rPr>
          <w:sz w:val="18"/>
        </w:rPr>
        <w:t>and Community</w:t>
      </w:r>
      <w:r>
        <w:rPr>
          <w:spacing w:val="-2"/>
          <w:sz w:val="18"/>
        </w:rPr>
        <w:t xml:space="preserve"> </w:t>
      </w:r>
      <w:r>
        <w:rPr>
          <w:sz w:val="18"/>
        </w:rPr>
        <w:t xml:space="preserve">Safety, </w:t>
      </w:r>
      <w:r>
        <w:rPr>
          <w:i/>
          <w:sz w:val="18"/>
        </w:rPr>
        <w:t>Report into the Inquiry into Petition 32-21. No Rights Without Remedy</w:t>
      </w:r>
      <w:r>
        <w:rPr>
          <w:sz w:val="18"/>
        </w:rPr>
        <w:t>.</w:t>
      </w:r>
    </w:p>
    <w:p w14:paraId="7CB262B0" w14:textId="77777777" w:rsidR="008A4099" w:rsidRDefault="008A4099">
      <w:pPr>
        <w:spacing w:line="244" w:lineRule="auto"/>
        <w:rPr>
          <w:sz w:val="18"/>
        </w:rPr>
        <w:sectPr w:rsidR="008A4099" w:rsidSect="00D43B2D">
          <w:pgSz w:w="11910" w:h="16840"/>
          <w:pgMar w:top="980" w:right="760" w:bottom="940" w:left="1280" w:header="718" w:footer="753" w:gutter="0"/>
          <w:cols w:space="720"/>
        </w:sectPr>
      </w:pPr>
    </w:p>
    <w:p w14:paraId="7CB262B1" w14:textId="77777777" w:rsidR="008A4099" w:rsidRDefault="008A4099">
      <w:pPr>
        <w:pStyle w:val="BodyText"/>
        <w:spacing w:before="194"/>
      </w:pPr>
    </w:p>
    <w:p w14:paraId="7CB262B2" w14:textId="77777777" w:rsidR="008A4099" w:rsidRDefault="006A6EE2">
      <w:pPr>
        <w:pStyle w:val="BodyText"/>
        <w:ind w:left="160"/>
      </w:pPr>
      <w:r>
        <w:t>than</w:t>
      </w:r>
      <w:r>
        <w:rPr>
          <w:spacing w:val="80"/>
        </w:rPr>
        <w:t xml:space="preserve"> </w:t>
      </w:r>
      <w:r>
        <w:t>human</w:t>
      </w:r>
      <w:r>
        <w:rPr>
          <w:spacing w:val="80"/>
        </w:rPr>
        <w:t xml:space="preserve"> </w:t>
      </w:r>
      <w:r>
        <w:t>rights</w:t>
      </w:r>
      <w:r>
        <w:rPr>
          <w:spacing w:val="80"/>
        </w:rPr>
        <w:t xml:space="preserve"> </w:t>
      </w:r>
      <w:r>
        <w:t>claims</w:t>
      </w:r>
      <w:r>
        <w:rPr>
          <w:spacing w:val="80"/>
        </w:rPr>
        <w:t xml:space="preserve"> </w:t>
      </w:r>
      <w:r>
        <w:t>having</w:t>
      </w:r>
      <w:r>
        <w:rPr>
          <w:spacing w:val="80"/>
        </w:rPr>
        <w:t xml:space="preserve"> </w:t>
      </w:r>
      <w:r>
        <w:t>to</w:t>
      </w:r>
      <w:r>
        <w:rPr>
          <w:spacing w:val="80"/>
        </w:rPr>
        <w:t xml:space="preserve"> </w:t>
      </w:r>
      <w:r>
        <w:t>rely</w:t>
      </w:r>
      <w:r>
        <w:rPr>
          <w:spacing w:val="80"/>
        </w:rPr>
        <w:t xml:space="preserve"> </w:t>
      </w:r>
      <w:r>
        <w:t>on</w:t>
      </w:r>
      <w:r>
        <w:rPr>
          <w:spacing w:val="80"/>
        </w:rPr>
        <w:t xml:space="preserve"> </w:t>
      </w:r>
      <w:r>
        <w:t>piggy-back</w:t>
      </w:r>
      <w:r>
        <w:rPr>
          <w:spacing w:val="80"/>
        </w:rPr>
        <w:t xml:space="preserve"> </w:t>
      </w:r>
      <w:r>
        <w:t>provisions.</w:t>
      </w:r>
      <w:r>
        <w:rPr>
          <w:spacing w:val="80"/>
        </w:rPr>
        <w:t xml:space="preserve"> </w:t>
      </w:r>
      <w:r>
        <w:t>This</w:t>
      </w:r>
      <w:r>
        <w:rPr>
          <w:spacing w:val="80"/>
        </w:rPr>
        <w:t xml:space="preserve"> </w:t>
      </w:r>
      <w:r>
        <w:t>is</w:t>
      </w:r>
      <w:r>
        <w:rPr>
          <w:spacing w:val="80"/>
        </w:rPr>
        <w:t xml:space="preserve"> </w:t>
      </w:r>
      <w:r>
        <w:t>consistent</w:t>
      </w:r>
      <w:r>
        <w:rPr>
          <w:spacing w:val="80"/>
        </w:rPr>
        <w:t xml:space="preserve"> </w:t>
      </w:r>
      <w:r>
        <w:t>with Recommendation 19 of the TLRI 2007 Final Report (see Appendix A).</w:t>
      </w:r>
    </w:p>
    <w:p w14:paraId="7CB262B3" w14:textId="77777777" w:rsidR="008A4099" w:rsidRDefault="006A6EE2">
      <w:pPr>
        <w:pStyle w:val="ListParagraph"/>
        <w:numPr>
          <w:ilvl w:val="2"/>
          <w:numId w:val="3"/>
        </w:numPr>
        <w:tabs>
          <w:tab w:val="left" w:pos="879"/>
        </w:tabs>
        <w:ind w:right="673" w:firstLine="0"/>
        <w:jc w:val="both"/>
      </w:pPr>
      <w:r>
        <w:t>The TLRI is also of the view that cases should be able to be brought in either the Tasmanian Civil</w:t>
      </w:r>
      <w:r>
        <w:rPr>
          <w:spacing w:val="-2"/>
        </w:rPr>
        <w:t xml:space="preserve"> </w:t>
      </w:r>
      <w:r>
        <w:t>and</w:t>
      </w:r>
      <w:r>
        <w:rPr>
          <w:spacing w:val="-3"/>
        </w:rPr>
        <w:t xml:space="preserve"> </w:t>
      </w:r>
      <w:r>
        <w:t>Administrative</w:t>
      </w:r>
      <w:r>
        <w:rPr>
          <w:spacing w:val="-5"/>
        </w:rPr>
        <w:t xml:space="preserve"> </w:t>
      </w:r>
      <w:r>
        <w:t>Tribunal</w:t>
      </w:r>
      <w:r>
        <w:rPr>
          <w:spacing w:val="-2"/>
        </w:rPr>
        <w:t xml:space="preserve"> </w:t>
      </w:r>
      <w:r>
        <w:t>(‘TasCAT’)</w:t>
      </w:r>
      <w:r>
        <w:rPr>
          <w:spacing w:val="-4"/>
        </w:rPr>
        <w:t xml:space="preserve"> </w:t>
      </w:r>
      <w:r>
        <w:t>or</w:t>
      </w:r>
      <w:r>
        <w:rPr>
          <w:spacing w:val="-5"/>
        </w:rPr>
        <w:t xml:space="preserve"> </w:t>
      </w:r>
      <w:r>
        <w:t>the</w:t>
      </w:r>
      <w:r>
        <w:rPr>
          <w:spacing w:val="-5"/>
        </w:rPr>
        <w:t xml:space="preserve"> </w:t>
      </w:r>
      <w:r>
        <w:t>Supreme</w:t>
      </w:r>
      <w:r>
        <w:rPr>
          <w:spacing w:val="-5"/>
        </w:rPr>
        <w:t xml:space="preserve"> </w:t>
      </w:r>
      <w:r>
        <w:t>Court.</w:t>
      </w:r>
      <w:r>
        <w:rPr>
          <w:spacing w:val="-3"/>
        </w:rPr>
        <w:t xml:space="preserve"> </w:t>
      </w:r>
      <w:r>
        <w:t>This</w:t>
      </w:r>
      <w:r>
        <w:rPr>
          <w:spacing w:val="-5"/>
        </w:rPr>
        <w:t xml:space="preserve"> </w:t>
      </w:r>
      <w:r>
        <w:t>builds</w:t>
      </w:r>
      <w:r>
        <w:rPr>
          <w:spacing w:val="-5"/>
        </w:rPr>
        <w:t xml:space="preserve"> </w:t>
      </w:r>
      <w:r>
        <w:t>on</w:t>
      </w:r>
      <w:r>
        <w:rPr>
          <w:spacing w:val="-3"/>
        </w:rPr>
        <w:t xml:space="preserve"> </w:t>
      </w:r>
      <w:r>
        <w:t>Recommendation 19 of the 2007 Final Report, which referred only to actions in the Supreme Court of Tasmania. Direct applications to TasCAT are likely to be less time and cost restrictive than proceedings in the Supreme Court.</w:t>
      </w:r>
      <w:r>
        <w:rPr>
          <w:spacing w:val="-2"/>
        </w:rPr>
        <w:t xml:space="preserve"> </w:t>
      </w:r>
      <w:r>
        <w:t>This approach was supported</w:t>
      </w:r>
      <w:r>
        <w:rPr>
          <w:spacing w:val="-2"/>
        </w:rPr>
        <w:t xml:space="preserve"> </w:t>
      </w:r>
      <w:r>
        <w:t>in</w:t>
      </w:r>
      <w:r>
        <w:rPr>
          <w:spacing w:val="-3"/>
        </w:rPr>
        <w:t xml:space="preserve"> </w:t>
      </w:r>
      <w:r>
        <w:t>the 2015 Victorian Review, where VCAT</w:t>
      </w:r>
      <w:r>
        <w:rPr>
          <w:spacing w:val="-2"/>
        </w:rPr>
        <w:t xml:space="preserve"> </w:t>
      </w:r>
      <w:r>
        <w:t>was identified</w:t>
      </w:r>
      <w:r>
        <w:rPr>
          <w:spacing w:val="-2"/>
        </w:rPr>
        <w:t xml:space="preserve"> </w:t>
      </w:r>
      <w:r>
        <w:t>as</w:t>
      </w:r>
      <w:r>
        <w:rPr>
          <w:spacing w:val="-2"/>
        </w:rPr>
        <w:t xml:space="preserve"> </w:t>
      </w:r>
      <w:r>
        <w:t>the appropriate forum for claims under the Charter as a ‘more accessible, and less costly forum compared to the Supreme Court’.</w:t>
      </w:r>
      <w:r>
        <w:rPr>
          <w:position w:val="7"/>
          <w:sz w:val="13"/>
        </w:rPr>
        <w:t>501</w:t>
      </w:r>
      <w:r>
        <w:rPr>
          <w:spacing w:val="40"/>
          <w:position w:val="7"/>
          <w:sz w:val="13"/>
        </w:rPr>
        <w:t xml:space="preserve"> </w:t>
      </w:r>
      <w:r>
        <w:t>This option would be usefully supported by provisions for conciliation of complaints by a Tasmanian Human Rights Commission (see below at [4.6.13]–[4.6.16]). Implementation of this recommendation should be supported by statutory procedural provisions covering</w:t>
      </w:r>
      <w:r>
        <w:rPr>
          <w:spacing w:val="-2"/>
        </w:rPr>
        <w:t xml:space="preserve"> </w:t>
      </w:r>
      <w:r>
        <w:t>the relationship between different institutions, the Human Rights Commission, TasCAT, and the Courts, and also dealing with jurisdictional matters, such as where proceedings are to be commenced, and with rights of appeal. These provisions should be constructed in a way that ensures parties’ accessibility. This recommendation reflects developments in the Review</w:t>
      </w:r>
      <w:r>
        <w:rPr>
          <w:spacing w:val="-1"/>
        </w:rPr>
        <w:t xml:space="preserve"> </w:t>
      </w:r>
      <w:r>
        <w:t>Period and builds on Recommendation 19 of the 2007 Final Report.</w:t>
      </w:r>
    </w:p>
    <w:p w14:paraId="7CB262B4" w14:textId="77777777" w:rsidR="008A4099" w:rsidRDefault="006A6EE2">
      <w:pPr>
        <w:pStyle w:val="BodyText"/>
        <w:spacing w:before="11"/>
        <w:rPr>
          <w:sz w:val="16"/>
        </w:rPr>
      </w:pPr>
      <w:r>
        <w:rPr>
          <w:noProof/>
        </w:rPr>
        <mc:AlternateContent>
          <mc:Choice Requires="wps">
            <w:drawing>
              <wp:anchor distT="0" distB="0" distL="0" distR="0" simplePos="0" relativeHeight="487636480" behindDoc="1" locked="0" layoutInCell="1" allowOverlap="1" wp14:anchorId="7CB26697" wp14:editId="7CB26698">
                <wp:simplePos x="0" y="0"/>
                <wp:positionH relativeFrom="page">
                  <wp:posOffset>917752</wp:posOffset>
                </wp:positionH>
                <wp:positionV relativeFrom="paragraph">
                  <wp:posOffset>139298</wp:posOffset>
                </wp:positionV>
                <wp:extent cx="5727065" cy="2295525"/>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295525"/>
                        </a:xfrm>
                        <a:prstGeom prst="rect">
                          <a:avLst/>
                        </a:prstGeom>
                        <a:solidFill>
                          <a:srgbClr val="E8E8E8"/>
                        </a:solidFill>
                      </wps:spPr>
                      <wps:txbx>
                        <w:txbxContent>
                          <w:p w14:paraId="7CB26792" w14:textId="77777777" w:rsidR="008A4099" w:rsidRDefault="006A6EE2">
                            <w:pPr>
                              <w:spacing w:before="219"/>
                              <w:ind w:left="108"/>
                              <w:jc w:val="both"/>
                              <w:rPr>
                                <w:b/>
                                <w:color w:val="000000"/>
                                <w:sz w:val="23"/>
                              </w:rPr>
                            </w:pPr>
                            <w:r>
                              <w:rPr>
                                <w:b/>
                                <w:color w:val="000000"/>
                                <w:sz w:val="23"/>
                              </w:rPr>
                              <w:t>Recommendation</w:t>
                            </w:r>
                            <w:r>
                              <w:rPr>
                                <w:b/>
                                <w:color w:val="000000"/>
                                <w:spacing w:val="-3"/>
                                <w:sz w:val="23"/>
                              </w:rPr>
                              <w:t xml:space="preserve"> </w:t>
                            </w:r>
                            <w:r>
                              <w:rPr>
                                <w:b/>
                                <w:color w:val="000000"/>
                                <w:sz w:val="23"/>
                              </w:rPr>
                              <w:t>15</w:t>
                            </w:r>
                            <w:r>
                              <w:rPr>
                                <w:b/>
                                <w:color w:val="000000"/>
                                <w:spacing w:val="-2"/>
                                <w:sz w:val="23"/>
                              </w:rPr>
                              <w:t xml:space="preserve"> </w:t>
                            </w:r>
                            <w:r>
                              <w:rPr>
                                <w:b/>
                                <w:color w:val="000000"/>
                                <w:sz w:val="23"/>
                              </w:rPr>
                              <w:t>–</w:t>
                            </w:r>
                            <w:r>
                              <w:rPr>
                                <w:b/>
                                <w:color w:val="000000"/>
                                <w:spacing w:val="-2"/>
                                <w:sz w:val="23"/>
                              </w:rPr>
                              <w:t xml:space="preserve"> </w:t>
                            </w:r>
                            <w:r>
                              <w:rPr>
                                <w:b/>
                                <w:color w:val="000000"/>
                                <w:sz w:val="23"/>
                              </w:rPr>
                              <w:t>Cause</w:t>
                            </w:r>
                            <w:r>
                              <w:rPr>
                                <w:b/>
                                <w:color w:val="000000"/>
                                <w:spacing w:val="-2"/>
                                <w:sz w:val="23"/>
                              </w:rPr>
                              <w:t xml:space="preserve"> </w:t>
                            </w:r>
                            <w:r>
                              <w:rPr>
                                <w:b/>
                                <w:color w:val="000000"/>
                                <w:sz w:val="23"/>
                              </w:rPr>
                              <w:t>of</w:t>
                            </w:r>
                            <w:r>
                              <w:rPr>
                                <w:b/>
                                <w:color w:val="000000"/>
                                <w:spacing w:val="-2"/>
                                <w:sz w:val="23"/>
                              </w:rPr>
                              <w:t xml:space="preserve"> </w:t>
                            </w:r>
                            <w:r>
                              <w:rPr>
                                <w:b/>
                                <w:color w:val="000000"/>
                                <w:sz w:val="23"/>
                              </w:rPr>
                              <w:t>Action</w:t>
                            </w:r>
                            <w:r>
                              <w:rPr>
                                <w:b/>
                                <w:color w:val="000000"/>
                                <w:spacing w:val="-3"/>
                                <w:sz w:val="23"/>
                              </w:rPr>
                              <w:t xml:space="preserve"> </w:t>
                            </w:r>
                            <w:r>
                              <w:rPr>
                                <w:b/>
                                <w:color w:val="000000"/>
                                <w:sz w:val="23"/>
                              </w:rPr>
                              <w:t>for</w:t>
                            </w:r>
                            <w:r>
                              <w:rPr>
                                <w:b/>
                                <w:color w:val="000000"/>
                                <w:spacing w:val="-2"/>
                                <w:sz w:val="23"/>
                              </w:rPr>
                              <w:t xml:space="preserve"> </w:t>
                            </w:r>
                            <w:r>
                              <w:rPr>
                                <w:b/>
                                <w:color w:val="000000"/>
                                <w:sz w:val="23"/>
                              </w:rPr>
                              <w:t>Breaches</w:t>
                            </w:r>
                            <w:r>
                              <w:rPr>
                                <w:b/>
                                <w:color w:val="000000"/>
                                <w:spacing w:val="-3"/>
                                <w:sz w:val="23"/>
                              </w:rPr>
                              <w:t xml:space="preserve"> </w:t>
                            </w:r>
                            <w:r>
                              <w:rPr>
                                <w:b/>
                                <w:color w:val="000000"/>
                                <w:sz w:val="23"/>
                              </w:rPr>
                              <w:t>of</w:t>
                            </w:r>
                            <w:r>
                              <w:rPr>
                                <w:b/>
                                <w:color w:val="000000"/>
                                <w:spacing w:val="-2"/>
                                <w:sz w:val="23"/>
                              </w:rPr>
                              <w:t xml:space="preserve"> </w:t>
                            </w:r>
                            <w:r>
                              <w:rPr>
                                <w:b/>
                                <w:color w:val="000000"/>
                                <w:sz w:val="23"/>
                              </w:rPr>
                              <w:t>Human</w:t>
                            </w:r>
                            <w:r>
                              <w:rPr>
                                <w:b/>
                                <w:color w:val="000000"/>
                                <w:spacing w:val="-2"/>
                                <w:sz w:val="23"/>
                              </w:rPr>
                              <w:t xml:space="preserve"> Rights</w:t>
                            </w:r>
                          </w:p>
                          <w:p w14:paraId="7CB26793" w14:textId="77777777" w:rsidR="008A4099" w:rsidRDefault="006A6EE2">
                            <w:pPr>
                              <w:pStyle w:val="BodyText"/>
                              <w:spacing w:before="240"/>
                              <w:ind w:left="108" w:right="225"/>
                              <w:jc w:val="both"/>
                              <w:rPr>
                                <w:color w:val="000000"/>
                              </w:rPr>
                            </w:pPr>
                            <w:r>
                              <w:rPr>
                                <w:color w:val="000000"/>
                              </w:rPr>
                              <w:t>That a direct cause of action be available to a person who is, or would be, the victim of unlawful action</w:t>
                            </w:r>
                            <w:r>
                              <w:rPr>
                                <w:color w:val="000000"/>
                                <w:spacing w:val="-2"/>
                              </w:rPr>
                              <w:t xml:space="preserve"> </w:t>
                            </w:r>
                            <w:r>
                              <w:rPr>
                                <w:color w:val="000000"/>
                              </w:rPr>
                              <w:t>where</w:t>
                            </w:r>
                            <w:r>
                              <w:rPr>
                                <w:color w:val="000000"/>
                                <w:spacing w:val="-2"/>
                              </w:rPr>
                              <w:t xml:space="preserve"> </w:t>
                            </w:r>
                            <w:r>
                              <w:rPr>
                                <w:color w:val="000000"/>
                              </w:rPr>
                              <w:t>a</w:t>
                            </w:r>
                            <w:r>
                              <w:rPr>
                                <w:color w:val="000000"/>
                                <w:spacing w:val="-2"/>
                              </w:rPr>
                              <w:t xml:space="preserve"> </w:t>
                            </w:r>
                            <w:r>
                              <w:rPr>
                                <w:color w:val="000000"/>
                              </w:rPr>
                              <w:t>public</w:t>
                            </w:r>
                            <w:r>
                              <w:rPr>
                                <w:color w:val="000000"/>
                                <w:spacing w:val="-2"/>
                              </w:rPr>
                              <w:t xml:space="preserve"> </w:t>
                            </w:r>
                            <w:r>
                              <w:rPr>
                                <w:color w:val="000000"/>
                              </w:rPr>
                              <w:t>authority</w:t>
                            </w:r>
                            <w:r>
                              <w:rPr>
                                <w:color w:val="000000"/>
                                <w:spacing w:val="-2"/>
                              </w:rPr>
                              <w:t xml:space="preserve"> </w:t>
                            </w:r>
                            <w:r>
                              <w:rPr>
                                <w:color w:val="000000"/>
                              </w:rPr>
                              <w:t>has</w:t>
                            </w:r>
                            <w:r>
                              <w:rPr>
                                <w:color w:val="000000"/>
                                <w:spacing w:val="-4"/>
                              </w:rPr>
                              <w:t xml:space="preserve"> </w:t>
                            </w:r>
                            <w:r>
                              <w:rPr>
                                <w:color w:val="000000"/>
                              </w:rPr>
                              <w:t>acted,</w:t>
                            </w:r>
                            <w:r>
                              <w:rPr>
                                <w:color w:val="000000"/>
                                <w:spacing w:val="-2"/>
                              </w:rPr>
                              <w:t xml:space="preserve"> </w:t>
                            </w:r>
                            <w:r>
                              <w:rPr>
                                <w:color w:val="000000"/>
                              </w:rPr>
                              <w:t>or</w:t>
                            </w:r>
                            <w:r>
                              <w:rPr>
                                <w:color w:val="000000"/>
                                <w:spacing w:val="-2"/>
                              </w:rPr>
                              <w:t xml:space="preserve"> </w:t>
                            </w:r>
                            <w:r>
                              <w:rPr>
                                <w:color w:val="000000"/>
                              </w:rPr>
                              <w:t>proposes</w:t>
                            </w:r>
                            <w:r>
                              <w:rPr>
                                <w:color w:val="000000"/>
                                <w:spacing w:val="-2"/>
                              </w:rPr>
                              <w:t xml:space="preserve"> </w:t>
                            </w:r>
                            <w:r>
                              <w:rPr>
                                <w:color w:val="000000"/>
                              </w:rPr>
                              <w:t>to</w:t>
                            </w:r>
                            <w:r>
                              <w:rPr>
                                <w:color w:val="000000"/>
                                <w:spacing w:val="-2"/>
                              </w:rPr>
                              <w:t xml:space="preserve"> </w:t>
                            </w:r>
                            <w:r>
                              <w:rPr>
                                <w:color w:val="000000"/>
                              </w:rPr>
                              <w:t>act,</w:t>
                            </w:r>
                            <w:r>
                              <w:rPr>
                                <w:color w:val="000000"/>
                                <w:spacing w:val="-5"/>
                              </w:rPr>
                              <w:t xml:space="preserve"> </w:t>
                            </w:r>
                            <w:r>
                              <w:rPr>
                                <w:color w:val="000000"/>
                              </w:rPr>
                              <w:t>in</w:t>
                            </w:r>
                            <w:r>
                              <w:rPr>
                                <w:color w:val="000000"/>
                                <w:spacing w:val="-2"/>
                              </w:rPr>
                              <w:t xml:space="preserve"> </w:t>
                            </w:r>
                            <w:r>
                              <w:rPr>
                                <w:color w:val="000000"/>
                              </w:rPr>
                              <w:t>a</w:t>
                            </w:r>
                            <w:r>
                              <w:rPr>
                                <w:color w:val="000000"/>
                                <w:spacing w:val="-2"/>
                              </w:rPr>
                              <w:t xml:space="preserve"> </w:t>
                            </w:r>
                            <w:r>
                              <w:rPr>
                                <w:color w:val="000000"/>
                              </w:rPr>
                              <w:t>way</w:t>
                            </w:r>
                            <w:r>
                              <w:rPr>
                                <w:color w:val="000000"/>
                                <w:spacing w:val="-2"/>
                              </w:rPr>
                              <w:t xml:space="preserve"> </w:t>
                            </w:r>
                            <w:r>
                              <w:rPr>
                                <w:color w:val="000000"/>
                              </w:rPr>
                              <w:t>that</w:t>
                            </w:r>
                            <w:r>
                              <w:rPr>
                                <w:color w:val="000000"/>
                                <w:spacing w:val="-4"/>
                              </w:rPr>
                              <w:t xml:space="preserve"> </w:t>
                            </w:r>
                            <w:r>
                              <w:rPr>
                                <w:color w:val="000000"/>
                              </w:rPr>
                              <w:t>is</w:t>
                            </w:r>
                            <w:r>
                              <w:rPr>
                                <w:color w:val="000000"/>
                                <w:spacing w:val="-4"/>
                              </w:rPr>
                              <w:t xml:space="preserve"> </w:t>
                            </w:r>
                            <w:r>
                              <w:rPr>
                                <w:color w:val="000000"/>
                              </w:rPr>
                              <w:t>made</w:t>
                            </w:r>
                            <w:r>
                              <w:rPr>
                                <w:color w:val="000000"/>
                                <w:spacing w:val="-4"/>
                              </w:rPr>
                              <w:t xml:space="preserve"> </w:t>
                            </w:r>
                            <w:r>
                              <w:rPr>
                                <w:color w:val="000000"/>
                              </w:rPr>
                              <w:t>unlawful</w:t>
                            </w:r>
                            <w:r>
                              <w:rPr>
                                <w:color w:val="000000"/>
                                <w:spacing w:val="-1"/>
                              </w:rPr>
                              <w:t xml:space="preserve"> </w:t>
                            </w:r>
                            <w:r>
                              <w:rPr>
                                <w:color w:val="000000"/>
                              </w:rPr>
                              <w:t>by</w:t>
                            </w:r>
                            <w:r>
                              <w:rPr>
                                <w:color w:val="000000"/>
                                <w:spacing w:val="-5"/>
                              </w:rPr>
                              <w:t xml:space="preserve"> </w:t>
                            </w:r>
                            <w:r>
                              <w:rPr>
                                <w:color w:val="000000"/>
                              </w:rPr>
                              <w:t>the human rights enactment.</w:t>
                            </w:r>
                          </w:p>
                          <w:p w14:paraId="7CB26794" w14:textId="77777777" w:rsidR="008A4099" w:rsidRDefault="006A6EE2">
                            <w:pPr>
                              <w:pStyle w:val="BodyText"/>
                              <w:spacing w:before="119"/>
                              <w:ind w:left="108" w:right="222"/>
                              <w:jc w:val="both"/>
                              <w:rPr>
                                <w:color w:val="000000"/>
                              </w:rPr>
                            </w:pPr>
                            <w:r>
                              <w:rPr>
                                <w:color w:val="000000"/>
                              </w:rPr>
                              <w:t>Proceedings against a public authority should be able to be brought in either the Tasmanian Civil and Administrative Tribunal (‘TasCAT’) or the Supreme Court of Tasmania.</w:t>
                            </w:r>
                          </w:p>
                          <w:p w14:paraId="7CB26795" w14:textId="77777777" w:rsidR="008A4099" w:rsidRDefault="006A6EE2">
                            <w:pPr>
                              <w:pStyle w:val="BodyText"/>
                              <w:spacing w:before="121"/>
                              <w:ind w:left="108" w:right="221"/>
                              <w:jc w:val="both"/>
                              <w:rPr>
                                <w:color w:val="000000"/>
                              </w:rPr>
                            </w:pPr>
                            <w:r>
                              <w:rPr>
                                <w:color w:val="000000"/>
                              </w:rPr>
                              <w:t>Implementation of this recommendation should be supported by statutory procedural provisions covering the relationship between different institutions, the Human Rights Commission, TasCAT, and the Courts, and also dealing with jurisdictional matters, such as where proceedings are to be commenced,</w:t>
                            </w:r>
                            <w:r>
                              <w:rPr>
                                <w:color w:val="000000"/>
                                <w:spacing w:val="-14"/>
                              </w:rPr>
                              <w:t xml:space="preserve"> </w:t>
                            </w:r>
                            <w:r>
                              <w:rPr>
                                <w:color w:val="000000"/>
                              </w:rPr>
                              <w:t>and</w:t>
                            </w:r>
                            <w:r>
                              <w:rPr>
                                <w:color w:val="000000"/>
                                <w:spacing w:val="-14"/>
                              </w:rPr>
                              <w:t xml:space="preserve"> </w:t>
                            </w:r>
                            <w:r>
                              <w:rPr>
                                <w:color w:val="000000"/>
                              </w:rPr>
                              <w:t>with</w:t>
                            </w:r>
                            <w:r>
                              <w:rPr>
                                <w:color w:val="000000"/>
                                <w:spacing w:val="-12"/>
                              </w:rPr>
                              <w:t xml:space="preserve"> </w:t>
                            </w:r>
                            <w:r>
                              <w:rPr>
                                <w:color w:val="000000"/>
                              </w:rPr>
                              <w:t>rights</w:t>
                            </w:r>
                            <w:r>
                              <w:rPr>
                                <w:color w:val="000000"/>
                                <w:spacing w:val="-11"/>
                              </w:rPr>
                              <w:t xml:space="preserve"> </w:t>
                            </w:r>
                            <w:r>
                              <w:rPr>
                                <w:color w:val="000000"/>
                              </w:rPr>
                              <w:t>of</w:t>
                            </w:r>
                            <w:r>
                              <w:rPr>
                                <w:color w:val="000000"/>
                                <w:spacing w:val="-13"/>
                              </w:rPr>
                              <w:t xml:space="preserve"> </w:t>
                            </w:r>
                            <w:r>
                              <w:rPr>
                                <w:color w:val="000000"/>
                              </w:rPr>
                              <w:t>appeal.</w:t>
                            </w:r>
                            <w:r>
                              <w:rPr>
                                <w:color w:val="000000"/>
                                <w:spacing w:val="-12"/>
                              </w:rPr>
                              <w:t xml:space="preserve"> </w:t>
                            </w:r>
                            <w:r>
                              <w:rPr>
                                <w:color w:val="000000"/>
                              </w:rPr>
                              <w:t>These</w:t>
                            </w:r>
                            <w:r>
                              <w:rPr>
                                <w:color w:val="000000"/>
                                <w:spacing w:val="-14"/>
                              </w:rPr>
                              <w:t xml:space="preserve"> </w:t>
                            </w:r>
                            <w:r>
                              <w:rPr>
                                <w:color w:val="000000"/>
                              </w:rPr>
                              <w:t>provisions</w:t>
                            </w:r>
                            <w:r>
                              <w:rPr>
                                <w:color w:val="000000"/>
                                <w:spacing w:val="-11"/>
                              </w:rPr>
                              <w:t xml:space="preserve"> </w:t>
                            </w:r>
                            <w:r>
                              <w:rPr>
                                <w:color w:val="000000"/>
                              </w:rPr>
                              <w:t>should</w:t>
                            </w:r>
                            <w:r>
                              <w:rPr>
                                <w:color w:val="000000"/>
                                <w:spacing w:val="-14"/>
                              </w:rPr>
                              <w:t xml:space="preserve"> </w:t>
                            </w:r>
                            <w:r>
                              <w:rPr>
                                <w:color w:val="000000"/>
                              </w:rPr>
                              <w:t>be</w:t>
                            </w:r>
                            <w:r>
                              <w:rPr>
                                <w:color w:val="000000"/>
                                <w:spacing w:val="-14"/>
                              </w:rPr>
                              <w:t xml:space="preserve"> </w:t>
                            </w:r>
                            <w:r>
                              <w:rPr>
                                <w:color w:val="000000"/>
                              </w:rPr>
                              <w:t>constructed</w:t>
                            </w:r>
                            <w:r>
                              <w:rPr>
                                <w:color w:val="000000"/>
                                <w:spacing w:val="-14"/>
                              </w:rPr>
                              <w:t xml:space="preserve"> </w:t>
                            </w:r>
                            <w:r>
                              <w:rPr>
                                <w:color w:val="000000"/>
                              </w:rPr>
                              <w:t>in</w:t>
                            </w:r>
                            <w:r>
                              <w:rPr>
                                <w:color w:val="000000"/>
                                <w:spacing w:val="-13"/>
                              </w:rPr>
                              <w:t xml:space="preserve"> </w:t>
                            </w:r>
                            <w:r>
                              <w:rPr>
                                <w:color w:val="000000"/>
                              </w:rPr>
                              <w:t>a</w:t>
                            </w:r>
                            <w:r>
                              <w:rPr>
                                <w:color w:val="000000"/>
                                <w:spacing w:val="-14"/>
                              </w:rPr>
                              <w:t xml:space="preserve"> </w:t>
                            </w:r>
                            <w:r>
                              <w:rPr>
                                <w:color w:val="000000"/>
                              </w:rPr>
                              <w:t>way</w:t>
                            </w:r>
                            <w:r>
                              <w:rPr>
                                <w:color w:val="000000"/>
                                <w:spacing w:val="-12"/>
                              </w:rPr>
                              <w:t xml:space="preserve"> </w:t>
                            </w:r>
                            <w:r>
                              <w:rPr>
                                <w:color w:val="000000"/>
                              </w:rPr>
                              <w:t>that</w:t>
                            </w:r>
                            <w:r>
                              <w:rPr>
                                <w:color w:val="000000"/>
                                <w:spacing w:val="-13"/>
                              </w:rPr>
                              <w:t xml:space="preserve"> </w:t>
                            </w:r>
                            <w:r>
                              <w:rPr>
                                <w:color w:val="000000"/>
                              </w:rPr>
                              <w:t>ensures parties’ accessibility.</w:t>
                            </w:r>
                          </w:p>
                        </w:txbxContent>
                      </wps:txbx>
                      <wps:bodyPr wrap="square" lIns="0" tIns="0" rIns="0" bIns="0" rtlCol="0">
                        <a:noAutofit/>
                      </wps:bodyPr>
                    </wps:wsp>
                  </a:graphicData>
                </a:graphic>
              </wp:anchor>
            </w:drawing>
          </mc:Choice>
          <mc:Fallback>
            <w:pict>
              <v:shape w14:anchorId="7CB26697" id="Textbox 143" o:spid="_x0000_s1041" type="#_x0000_t202" style="position:absolute;margin-left:72.25pt;margin-top:10.95pt;width:450.95pt;height:180.75pt;z-index:-1568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" fillcolor="#e8e8e8" stroked="f">
                <v:textbox inset="0,0,0,0">
                  <w:txbxContent>
                    <w:p w14:paraId="7CB26792" w14:textId="77777777" w:rsidR="008A4099" w:rsidRDefault="006A6EE2">
                      <w:pPr>
                        <w:spacing w:before="219"/>
                        <w:ind w:left="108"/>
                        <w:jc w:val="both"/>
                        <w:rPr>
                          <w:b/>
                          <w:color w:val="000000"/>
                          <w:sz w:val="23"/>
                        </w:rPr>
                      </w:pPr>
                      <w:r>
                        <w:rPr>
                          <w:b/>
                          <w:color w:val="000000"/>
                          <w:sz w:val="23"/>
                        </w:rPr>
                        <w:t>Recommendation</w:t>
                      </w:r>
                      <w:r>
                        <w:rPr>
                          <w:b/>
                          <w:color w:val="000000"/>
                          <w:spacing w:val="-3"/>
                          <w:sz w:val="23"/>
                        </w:rPr>
                        <w:t xml:space="preserve"> </w:t>
                      </w:r>
                      <w:r>
                        <w:rPr>
                          <w:b/>
                          <w:color w:val="000000"/>
                          <w:sz w:val="23"/>
                        </w:rPr>
                        <w:t>15</w:t>
                      </w:r>
                      <w:r>
                        <w:rPr>
                          <w:b/>
                          <w:color w:val="000000"/>
                          <w:spacing w:val="-2"/>
                          <w:sz w:val="23"/>
                        </w:rPr>
                        <w:t xml:space="preserve"> </w:t>
                      </w:r>
                      <w:r>
                        <w:rPr>
                          <w:b/>
                          <w:color w:val="000000"/>
                          <w:sz w:val="23"/>
                        </w:rPr>
                        <w:t>–</w:t>
                      </w:r>
                      <w:r>
                        <w:rPr>
                          <w:b/>
                          <w:color w:val="000000"/>
                          <w:spacing w:val="-2"/>
                          <w:sz w:val="23"/>
                        </w:rPr>
                        <w:t xml:space="preserve"> </w:t>
                      </w:r>
                      <w:r>
                        <w:rPr>
                          <w:b/>
                          <w:color w:val="000000"/>
                          <w:sz w:val="23"/>
                        </w:rPr>
                        <w:t>Cause</w:t>
                      </w:r>
                      <w:r>
                        <w:rPr>
                          <w:b/>
                          <w:color w:val="000000"/>
                          <w:spacing w:val="-2"/>
                          <w:sz w:val="23"/>
                        </w:rPr>
                        <w:t xml:space="preserve"> </w:t>
                      </w:r>
                      <w:r>
                        <w:rPr>
                          <w:b/>
                          <w:color w:val="000000"/>
                          <w:sz w:val="23"/>
                        </w:rPr>
                        <w:t>of</w:t>
                      </w:r>
                      <w:r>
                        <w:rPr>
                          <w:b/>
                          <w:color w:val="000000"/>
                          <w:spacing w:val="-2"/>
                          <w:sz w:val="23"/>
                        </w:rPr>
                        <w:t xml:space="preserve"> </w:t>
                      </w:r>
                      <w:r>
                        <w:rPr>
                          <w:b/>
                          <w:color w:val="000000"/>
                          <w:sz w:val="23"/>
                        </w:rPr>
                        <w:t>Action</w:t>
                      </w:r>
                      <w:r>
                        <w:rPr>
                          <w:b/>
                          <w:color w:val="000000"/>
                          <w:spacing w:val="-3"/>
                          <w:sz w:val="23"/>
                        </w:rPr>
                        <w:t xml:space="preserve"> </w:t>
                      </w:r>
                      <w:r>
                        <w:rPr>
                          <w:b/>
                          <w:color w:val="000000"/>
                          <w:sz w:val="23"/>
                        </w:rPr>
                        <w:t>for</w:t>
                      </w:r>
                      <w:r>
                        <w:rPr>
                          <w:b/>
                          <w:color w:val="000000"/>
                          <w:spacing w:val="-2"/>
                          <w:sz w:val="23"/>
                        </w:rPr>
                        <w:t xml:space="preserve"> </w:t>
                      </w:r>
                      <w:r>
                        <w:rPr>
                          <w:b/>
                          <w:color w:val="000000"/>
                          <w:sz w:val="23"/>
                        </w:rPr>
                        <w:t>Breaches</w:t>
                      </w:r>
                      <w:r>
                        <w:rPr>
                          <w:b/>
                          <w:color w:val="000000"/>
                          <w:spacing w:val="-3"/>
                          <w:sz w:val="23"/>
                        </w:rPr>
                        <w:t xml:space="preserve"> </w:t>
                      </w:r>
                      <w:r>
                        <w:rPr>
                          <w:b/>
                          <w:color w:val="000000"/>
                          <w:sz w:val="23"/>
                        </w:rPr>
                        <w:t>of</w:t>
                      </w:r>
                      <w:r>
                        <w:rPr>
                          <w:b/>
                          <w:color w:val="000000"/>
                          <w:spacing w:val="-2"/>
                          <w:sz w:val="23"/>
                        </w:rPr>
                        <w:t xml:space="preserve"> </w:t>
                      </w:r>
                      <w:r>
                        <w:rPr>
                          <w:b/>
                          <w:color w:val="000000"/>
                          <w:sz w:val="23"/>
                        </w:rPr>
                        <w:t>Human</w:t>
                      </w:r>
                      <w:r>
                        <w:rPr>
                          <w:b/>
                          <w:color w:val="000000"/>
                          <w:spacing w:val="-2"/>
                          <w:sz w:val="23"/>
                        </w:rPr>
                        <w:t xml:space="preserve"> Rights</w:t>
                      </w:r>
                    </w:p>
                    <w:p w14:paraId="7CB26793" w14:textId="77777777" w:rsidR="008A4099" w:rsidRDefault="006A6EE2">
                      <w:pPr>
                        <w:pStyle w:val="BodyText"/>
                        <w:spacing w:before="240"/>
                        <w:ind w:left="108" w:right="225"/>
                        <w:jc w:val="both"/>
                        <w:rPr>
                          <w:color w:val="000000"/>
                        </w:rPr>
                      </w:pPr>
                      <w:r>
                        <w:rPr>
                          <w:color w:val="000000"/>
                        </w:rPr>
                        <w:t>That a direct cause of action be available to a person who is, or would be, the victim of unlawful action</w:t>
                      </w:r>
                      <w:r>
                        <w:rPr>
                          <w:color w:val="000000"/>
                          <w:spacing w:val="-2"/>
                        </w:rPr>
                        <w:t xml:space="preserve"> </w:t>
                      </w:r>
                      <w:r>
                        <w:rPr>
                          <w:color w:val="000000"/>
                        </w:rPr>
                        <w:t>where</w:t>
                      </w:r>
                      <w:r>
                        <w:rPr>
                          <w:color w:val="000000"/>
                          <w:spacing w:val="-2"/>
                        </w:rPr>
                        <w:t xml:space="preserve"> </w:t>
                      </w:r>
                      <w:r>
                        <w:rPr>
                          <w:color w:val="000000"/>
                        </w:rPr>
                        <w:t>a</w:t>
                      </w:r>
                      <w:r>
                        <w:rPr>
                          <w:color w:val="000000"/>
                          <w:spacing w:val="-2"/>
                        </w:rPr>
                        <w:t xml:space="preserve"> </w:t>
                      </w:r>
                      <w:r>
                        <w:rPr>
                          <w:color w:val="000000"/>
                        </w:rPr>
                        <w:t>public</w:t>
                      </w:r>
                      <w:r>
                        <w:rPr>
                          <w:color w:val="000000"/>
                          <w:spacing w:val="-2"/>
                        </w:rPr>
                        <w:t xml:space="preserve"> </w:t>
                      </w:r>
                      <w:r>
                        <w:rPr>
                          <w:color w:val="000000"/>
                        </w:rPr>
                        <w:t>authority</w:t>
                      </w:r>
                      <w:r>
                        <w:rPr>
                          <w:color w:val="000000"/>
                          <w:spacing w:val="-2"/>
                        </w:rPr>
                        <w:t xml:space="preserve"> </w:t>
                      </w:r>
                      <w:r>
                        <w:rPr>
                          <w:color w:val="000000"/>
                        </w:rPr>
                        <w:t>has</w:t>
                      </w:r>
                      <w:r>
                        <w:rPr>
                          <w:color w:val="000000"/>
                          <w:spacing w:val="-4"/>
                        </w:rPr>
                        <w:t xml:space="preserve"> </w:t>
                      </w:r>
                      <w:r>
                        <w:rPr>
                          <w:color w:val="000000"/>
                        </w:rPr>
                        <w:t>acted,</w:t>
                      </w:r>
                      <w:r>
                        <w:rPr>
                          <w:color w:val="000000"/>
                          <w:spacing w:val="-2"/>
                        </w:rPr>
                        <w:t xml:space="preserve"> </w:t>
                      </w:r>
                      <w:r>
                        <w:rPr>
                          <w:color w:val="000000"/>
                        </w:rPr>
                        <w:t>or</w:t>
                      </w:r>
                      <w:r>
                        <w:rPr>
                          <w:color w:val="000000"/>
                          <w:spacing w:val="-2"/>
                        </w:rPr>
                        <w:t xml:space="preserve"> </w:t>
                      </w:r>
                      <w:r>
                        <w:rPr>
                          <w:color w:val="000000"/>
                        </w:rPr>
                        <w:t>proposes</w:t>
                      </w:r>
                      <w:r>
                        <w:rPr>
                          <w:color w:val="000000"/>
                          <w:spacing w:val="-2"/>
                        </w:rPr>
                        <w:t xml:space="preserve"> </w:t>
                      </w:r>
                      <w:r>
                        <w:rPr>
                          <w:color w:val="000000"/>
                        </w:rPr>
                        <w:t>to</w:t>
                      </w:r>
                      <w:r>
                        <w:rPr>
                          <w:color w:val="000000"/>
                          <w:spacing w:val="-2"/>
                        </w:rPr>
                        <w:t xml:space="preserve"> </w:t>
                      </w:r>
                      <w:r>
                        <w:rPr>
                          <w:color w:val="000000"/>
                        </w:rPr>
                        <w:t>act,</w:t>
                      </w:r>
                      <w:r>
                        <w:rPr>
                          <w:color w:val="000000"/>
                          <w:spacing w:val="-5"/>
                        </w:rPr>
                        <w:t xml:space="preserve"> </w:t>
                      </w:r>
                      <w:r>
                        <w:rPr>
                          <w:color w:val="000000"/>
                        </w:rPr>
                        <w:t>in</w:t>
                      </w:r>
                      <w:r>
                        <w:rPr>
                          <w:color w:val="000000"/>
                          <w:spacing w:val="-2"/>
                        </w:rPr>
                        <w:t xml:space="preserve"> </w:t>
                      </w:r>
                      <w:r>
                        <w:rPr>
                          <w:color w:val="000000"/>
                        </w:rPr>
                        <w:t>a</w:t>
                      </w:r>
                      <w:r>
                        <w:rPr>
                          <w:color w:val="000000"/>
                          <w:spacing w:val="-2"/>
                        </w:rPr>
                        <w:t xml:space="preserve"> </w:t>
                      </w:r>
                      <w:r>
                        <w:rPr>
                          <w:color w:val="000000"/>
                        </w:rPr>
                        <w:t>way</w:t>
                      </w:r>
                      <w:r>
                        <w:rPr>
                          <w:color w:val="000000"/>
                          <w:spacing w:val="-2"/>
                        </w:rPr>
                        <w:t xml:space="preserve"> </w:t>
                      </w:r>
                      <w:r>
                        <w:rPr>
                          <w:color w:val="000000"/>
                        </w:rPr>
                        <w:t>that</w:t>
                      </w:r>
                      <w:r>
                        <w:rPr>
                          <w:color w:val="000000"/>
                          <w:spacing w:val="-4"/>
                        </w:rPr>
                        <w:t xml:space="preserve"> </w:t>
                      </w:r>
                      <w:r>
                        <w:rPr>
                          <w:color w:val="000000"/>
                        </w:rPr>
                        <w:t>is</w:t>
                      </w:r>
                      <w:r>
                        <w:rPr>
                          <w:color w:val="000000"/>
                          <w:spacing w:val="-4"/>
                        </w:rPr>
                        <w:t xml:space="preserve"> </w:t>
                      </w:r>
                      <w:r>
                        <w:rPr>
                          <w:color w:val="000000"/>
                        </w:rPr>
                        <w:t>made</w:t>
                      </w:r>
                      <w:r>
                        <w:rPr>
                          <w:color w:val="000000"/>
                          <w:spacing w:val="-4"/>
                        </w:rPr>
                        <w:t xml:space="preserve"> </w:t>
                      </w:r>
                      <w:r>
                        <w:rPr>
                          <w:color w:val="000000"/>
                        </w:rPr>
                        <w:t>unlawful</w:t>
                      </w:r>
                      <w:r>
                        <w:rPr>
                          <w:color w:val="000000"/>
                          <w:spacing w:val="-1"/>
                        </w:rPr>
                        <w:t xml:space="preserve"> </w:t>
                      </w:r>
                      <w:r>
                        <w:rPr>
                          <w:color w:val="000000"/>
                        </w:rPr>
                        <w:t>by</w:t>
                      </w:r>
                      <w:r>
                        <w:rPr>
                          <w:color w:val="000000"/>
                          <w:spacing w:val="-5"/>
                        </w:rPr>
                        <w:t xml:space="preserve"> </w:t>
                      </w:r>
                      <w:r>
                        <w:rPr>
                          <w:color w:val="000000"/>
                        </w:rPr>
                        <w:t>the human rights enactment.</w:t>
                      </w:r>
                    </w:p>
                    <w:p w14:paraId="7CB26794" w14:textId="77777777" w:rsidR="008A4099" w:rsidRDefault="006A6EE2">
                      <w:pPr>
                        <w:pStyle w:val="BodyText"/>
                        <w:spacing w:before="119"/>
                        <w:ind w:left="108" w:right="222"/>
                        <w:jc w:val="both"/>
                        <w:rPr>
                          <w:color w:val="000000"/>
                        </w:rPr>
                      </w:pPr>
                      <w:r>
                        <w:rPr>
                          <w:color w:val="000000"/>
                        </w:rPr>
                        <w:t>Proceedings against a public authority should be able to be brought in either the Tasmanian Civil and Administrative Tribunal (‘TasCAT’) or the Supreme Court of Tasmania.</w:t>
                      </w:r>
                    </w:p>
                    <w:p w14:paraId="7CB26795" w14:textId="77777777" w:rsidR="008A4099" w:rsidRDefault="006A6EE2">
                      <w:pPr>
                        <w:pStyle w:val="BodyText"/>
                        <w:spacing w:before="121"/>
                        <w:ind w:left="108" w:right="221"/>
                        <w:jc w:val="both"/>
                        <w:rPr>
                          <w:color w:val="000000"/>
                        </w:rPr>
                      </w:pPr>
                      <w:r>
                        <w:rPr>
                          <w:color w:val="000000"/>
                        </w:rPr>
                        <w:t>Implementation of this recommendation should be supported by statutory procedural provisions covering the relationship between different institutions, the Human Rights Commission, TasCAT, and the Courts, and also dealing with jurisdictional matters, such as where proceedings are to be commenced,</w:t>
                      </w:r>
                      <w:r>
                        <w:rPr>
                          <w:color w:val="000000"/>
                          <w:spacing w:val="-14"/>
                        </w:rPr>
                        <w:t xml:space="preserve"> </w:t>
                      </w:r>
                      <w:r>
                        <w:rPr>
                          <w:color w:val="000000"/>
                        </w:rPr>
                        <w:t>and</w:t>
                      </w:r>
                      <w:r>
                        <w:rPr>
                          <w:color w:val="000000"/>
                          <w:spacing w:val="-14"/>
                        </w:rPr>
                        <w:t xml:space="preserve"> </w:t>
                      </w:r>
                      <w:r>
                        <w:rPr>
                          <w:color w:val="000000"/>
                        </w:rPr>
                        <w:t>with</w:t>
                      </w:r>
                      <w:r>
                        <w:rPr>
                          <w:color w:val="000000"/>
                          <w:spacing w:val="-12"/>
                        </w:rPr>
                        <w:t xml:space="preserve"> </w:t>
                      </w:r>
                      <w:r>
                        <w:rPr>
                          <w:color w:val="000000"/>
                        </w:rPr>
                        <w:t>rights</w:t>
                      </w:r>
                      <w:r>
                        <w:rPr>
                          <w:color w:val="000000"/>
                          <w:spacing w:val="-11"/>
                        </w:rPr>
                        <w:t xml:space="preserve"> </w:t>
                      </w:r>
                      <w:r>
                        <w:rPr>
                          <w:color w:val="000000"/>
                        </w:rPr>
                        <w:t>of</w:t>
                      </w:r>
                      <w:r>
                        <w:rPr>
                          <w:color w:val="000000"/>
                          <w:spacing w:val="-13"/>
                        </w:rPr>
                        <w:t xml:space="preserve"> </w:t>
                      </w:r>
                      <w:r>
                        <w:rPr>
                          <w:color w:val="000000"/>
                        </w:rPr>
                        <w:t>appeal.</w:t>
                      </w:r>
                      <w:r>
                        <w:rPr>
                          <w:color w:val="000000"/>
                          <w:spacing w:val="-12"/>
                        </w:rPr>
                        <w:t xml:space="preserve"> </w:t>
                      </w:r>
                      <w:r>
                        <w:rPr>
                          <w:color w:val="000000"/>
                        </w:rPr>
                        <w:t>These</w:t>
                      </w:r>
                      <w:r>
                        <w:rPr>
                          <w:color w:val="000000"/>
                          <w:spacing w:val="-14"/>
                        </w:rPr>
                        <w:t xml:space="preserve"> </w:t>
                      </w:r>
                      <w:r>
                        <w:rPr>
                          <w:color w:val="000000"/>
                        </w:rPr>
                        <w:t>provisions</w:t>
                      </w:r>
                      <w:r>
                        <w:rPr>
                          <w:color w:val="000000"/>
                          <w:spacing w:val="-11"/>
                        </w:rPr>
                        <w:t xml:space="preserve"> </w:t>
                      </w:r>
                      <w:r>
                        <w:rPr>
                          <w:color w:val="000000"/>
                        </w:rPr>
                        <w:t>should</w:t>
                      </w:r>
                      <w:r>
                        <w:rPr>
                          <w:color w:val="000000"/>
                          <w:spacing w:val="-14"/>
                        </w:rPr>
                        <w:t xml:space="preserve"> </w:t>
                      </w:r>
                      <w:r>
                        <w:rPr>
                          <w:color w:val="000000"/>
                        </w:rPr>
                        <w:t>be</w:t>
                      </w:r>
                      <w:r>
                        <w:rPr>
                          <w:color w:val="000000"/>
                          <w:spacing w:val="-14"/>
                        </w:rPr>
                        <w:t xml:space="preserve"> </w:t>
                      </w:r>
                      <w:r>
                        <w:rPr>
                          <w:color w:val="000000"/>
                        </w:rPr>
                        <w:t>constructed</w:t>
                      </w:r>
                      <w:r>
                        <w:rPr>
                          <w:color w:val="000000"/>
                          <w:spacing w:val="-14"/>
                        </w:rPr>
                        <w:t xml:space="preserve"> </w:t>
                      </w:r>
                      <w:r>
                        <w:rPr>
                          <w:color w:val="000000"/>
                        </w:rPr>
                        <w:t>in</w:t>
                      </w:r>
                      <w:r>
                        <w:rPr>
                          <w:color w:val="000000"/>
                          <w:spacing w:val="-13"/>
                        </w:rPr>
                        <w:t xml:space="preserve"> </w:t>
                      </w:r>
                      <w:r>
                        <w:rPr>
                          <w:color w:val="000000"/>
                        </w:rPr>
                        <w:t>a</w:t>
                      </w:r>
                      <w:r>
                        <w:rPr>
                          <w:color w:val="000000"/>
                          <w:spacing w:val="-14"/>
                        </w:rPr>
                        <w:t xml:space="preserve"> </w:t>
                      </w:r>
                      <w:r>
                        <w:rPr>
                          <w:color w:val="000000"/>
                        </w:rPr>
                        <w:t>way</w:t>
                      </w:r>
                      <w:r>
                        <w:rPr>
                          <w:color w:val="000000"/>
                          <w:spacing w:val="-12"/>
                        </w:rPr>
                        <w:t xml:space="preserve"> </w:t>
                      </w:r>
                      <w:r>
                        <w:rPr>
                          <w:color w:val="000000"/>
                        </w:rPr>
                        <w:t>that</w:t>
                      </w:r>
                      <w:r>
                        <w:rPr>
                          <w:color w:val="000000"/>
                          <w:spacing w:val="-13"/>
                        </w:rPr>
                        <w:t xml:space="preserve"> </w:t>
                      </w:r>
                      <w:r>
                        <w:rPr>
                          <w:color w:val="000000"/>
                        </w:rPr>
                        <w:t>ensures parties’ accessibility.</w:t>
                      </w:r>
                    </w:p>
                  </w:txbxContent>
                </v:textbox>
                <w10:wrap type="topAndBottom" anchorx="page"/>
              </v:shape>
            </w:pict>
          </mc:Fallback>
        </mc:AlternateContent>
      </w:r>
    </w:p>
    <w:p w14:paraId="7CB262B5" w14:textId="77777777" w:rsidR="008A4099" w:rsidRDefault="006A6EE2">
      <w:pPr>
        <w:pStyle w:val="Heading4"/>
      </w:pPr>
      <w:bookmarkStart w:id="52" w:name="_TOC_250008"/>
      <w:r>
        <w:t>Damages</w:t>
      </w:r>
      <w:r>
        <w:rPr>
          <w:spacing w:val="-4"/>
        </w:rPr>
        <w:t xml:space="preserve"> </w:t>
      </w:r>
      <w:r>
        <w:t>(financial</w:t>
      </w:r>
      <w:bookmarkEnd w:id="52"/>
      <w:r>
        <w:rPr>
          <w:spacing w:val="-2"/>
        </w:rPr>
        <w:t xml:space="preserve"> compensation)</w:t>
      </w:r>
    </w:p>
    <w:p w14:paraId="7CB262B6" w14:textId="77777777" w:rsidR="008A4099" w:rsidRDefault="008A4099">
      <w:pPr>
        <w:pStyle w:val="BodyText"/>
        <w:spacing w:before="13"/>
        <w:rPr>
          <w:b/>
          <w:i/>
          <w:sz w:val="23"/>
        </w:rPr>
      </w:pPr>
    </w:p>
    <w:p w14:paraId="7CB262B7" w14:textId="77777777" w:rsidR="008A4099" w:rsidRDefault="006A6EE2">
      <w:pPr>
        <w:pStyle w:val="Heading3"/>
      </w:pPr>
      <w:r>
        <w:t>2007</w:t>
      </w:r>
      <w:r>
        <w:rPr>
          <w:spacing w:val="-3"/>
        </w:rPr>
        <w:t xml:space="preserve"> </w:t>
      </w:r>
      <w:r>
        <w:t>Final</w:t>
      </w:r>
      <w:r>
        <w:rPr>
          <w:spacing w:val="-5"/>
        </w:rPr>
        <w:t xml:space="preserve"> </w:t>
      </w:r>
      <w:r>
        <w:t>report</w:t>
      </w:r>
      <w:r>
        <w:rPr>
          <w:spacing w:val="-2"/>
        </w:rPr>
        <w:t xml:space="preserve"> </w:t>
      </w:r>
      <w:r>
        <w:t>and</w:t>
      </w:r>
      <w:r>
        <w:rPr>
          <w:spacing w:val="-4"/>
        </w:rPr>
        <w:t xml:space="preserve"> </w:t>
      </w:r>
      <w:r>
        <w:t>subsequent</w:t>
      </w:r>
      <w:r>
        <w:rPr>
          <w:spacing w:val="-2"/>
        </w:rPr>
        <w:t xml:space="preserve"> developments</w:t>
      </w:r>
    </w:p>
    <w:p w14:paraId="7CB262B8" w14:textId="77777777" w:rsidR="008A4099" w:rsidRDefault="006A6EE2">
      <w:pPr>
        <w:pStyle w:val="ListParagraph"/>
        <w:numPr>
          <w:ilvl w:val="2"/>
          <w:numId w:val="3"/>
        </w:numPr>
        <w:tabs>
          <w:tab w:val="left" w:pos="879"/>
        </w:tabs>
        <w:spacing w:before="261"/>
        <w:ind w:right="673" w:firstLine="0"/>
        <w:jc w:val="both"/>
        <w:rPr>
          <w:sz w:val="13"/>
        </w:rPr>
      </w:pPr>
      <w:r>
        <w:t>The</w:t>
      </w:r>
      <w:r>
        <w:rPr>
          <w:spacing w:val="-2"/>
        </w:rPr>
        <w:t xml:space="preserve"> </w:t>
      </w:r>
      <w:r>
        <w:t>TLRI</w:t>
      </w:r>
      <w:r>
        <w:rPr>
          <w:spacing w:val="-4"/>
        </w:rPr>
        <w:t xml:space="preserve"> </w:t>
      </w:r>
      <w:r>
        <w:t>recommended</w:t>
      </w:r>
      <w:r>
        <w:rPr>
          <w:spacing w:val="-4"/>
        </w:rPr>
        <w:t xml:space="preserve"> </w:t>
      </w:r>
      <w:r>
        <w:t>in</w:t>
      </w:r>
      <w:r>
        <w:rPr>
          <w:spacing w:val="-5"/>
        </w:rPr>
        <w:t xml:space="preserve"> </w:t>
      </w:r>
      <w:r>
        <w:t>its</w:t>
      </w:r>
      <w:r>
        <w:rPr>
          <w:spacing w:val="-2"/>
        </w:rPr>
        <w:t xml:space="preserve"> </w:t>
      </w:r>
      <w:r>
        <w:t>2007</w:t>
      </w:r>
      <w:r>
        <w:rPr>
          <w:spacing w:val="-2"/>
        </w:rPr>
        <w:t xml:space="preserve"> </w:t>
      </w:r>
      <w:r>
        <w:t>Final</w:t>
      </w:r>
      <w:r>
        <w:rPr>
          <w:spacing w:val="-1"/>
        </w:rPr>
        <w:t xml:space="preserve"> </w:t>
      </w:r>
      <w:r>
        <w:t>Report</w:t>
      </w:r>
      <w:r>
        <w:rPr>
          <w:spacing w:val="-4"/>
        </w:rPr>
        <w:t xml:space="preserve"> </w:t>
      </w:r>
      <w:r>
        <w:t>that</w:t>
      </w:r>
      <w:r>
        <w:rPr>
          <w:spacing w:val="-1"/>
        </w:rPr>
        <w:t xml:space="preserve"> </w:t>
      </w:r>
      <w:r>
        <w:t>the</w:t>
      </w:r>
      <w:r>
        <w:rPr>
          <w:spacing w:val="-2"/>
        </w:rPr>
        <w:t xml:space="preserve"> </w:t>
      </w:r>
      <w:r>
        <w:t>Supreme</w:t>
      </w:r>
      <w:r>
        <w:rPr>
          <w:spacing w:val="-2"/>
        </w:rPr>
        <w:t xml:space="preserve"> </w:t>
      </w:r>
      <w:r>
        <w:t>Court</w:t>
      </w:r>
      <w:r>
        <w:rPr>
          <w:spacing w:val="-1"/>
        </w:rPr>
        <w:t xml:space="preserve"> </w:t>
      </w:r>
      <w:r>
        <w:t>be</w:t>
      </w:r>
      <w:r>
        <w:rPr>
          <w:spacing w:val="-2"/>
        </w:rPr>
        <w:t xml:space="preserve"> </w:t>
      </w:r>
      <w:r>
        <w:t>able</w:t>
      </w:r>
      <w:r>
        <w:rPr>
          <w:spacing w:val="-2"/>
        </w:rPr>
        <w:t xml:space="preserve"> </w:t>
      </w:r>
      <w:r>
        <w:t>to</w:t>
      </w:r>
      <w:r>
        <w:rPr>
          <w:spacing w:val="-2"/>
        </w:rPr>
        <w:t xml:space="preserve"> </w:t>
      </w:r>
      <w:r>
        <w:t>grant ‘any remedy that is just and equitable in the circumstances’ where a person has suffered damage as a result of a public authority breaching Charter rights.</w:t>
      </w:r>
      <w:r>
        <w:rPr>
          <w:position w:val="7"/>
          <w:sz w:val="13"/>
        </w:rPr>
        <w:t>502</w:t>
      </w:r>
      <w:r>
        <w:rPr>
          <w:spacing w:val="40"/>
          <w:position w:val="7"/>
          <w:sz w:val="13"/>
        </w:rPr>
        <w:t xml:space="preserve"> </w:t>
      </w:r>
      <w:r>
        <w:t>In contrast, the Tasmanian Government’s 2010 Directions Paper recommended that people not be able to seek damages.</w:t>
      </w:r>
      <w:r>
        <w:rPr>
          <w:position w:val="7"/>
          <w:sz w:val="13"/>
        </w:rPr>
        <w:t>503</w:t>
      </w:r>
      <w:r>
        <w:rPr>
          <w:spacing w:val="40"/>
          <w:position w:val="7"/>
          <w:sz w:val="13"/>
        </w:rPr>
        <w:t xml:space="preserve"> </w:t>
      </w:r>
      <w:r>
        <w:t xml:space="preserve">The latter position is consistent with the current approach in all three Australian jurisdictions with human rights </w:t>
      </w:r>
      <w:r>
        <w:rPr>
          <w:spacing w:val="-2"/>
        </w:rPr>
        <w:t>enactments.</w:t>
      </w:r>
      <w:r>
        <w:rPr>
          <w:spacing w:val="-2"/>
          <w:position w:val="7"/>
          <w:sz w:val="13"/>
        </w:rPr>
        <w:t>504</w:t>
      </w:r>
    </w:p>
    <w:p w14:paraId="7CB262B9" w14:textId="77777777" w:rsidR="008A4099" w:rsidRDefault="006A6EE2">
      <w:pPr>
        <w:pStyle w:val="ListParagraph"/>
        <w:numPr>
          <w:ilvl w:val="2"/>
          <w:numId w:val="3"/>
        </w:numPr>
        <w:tabs>
          <w:tab w:val="left" w:pos="879"/>
        </w:tabs>
        <w:spacing w:before="219" w:line="237" w:lineRule="auto"/>
        <w:ind w:right="677" w:firstLine="0"/>
        <w:jc w:val="both"/>
      </w:pPr>
      <w:r>
        <w:t>While</w:t>
      </w:r>
      <w:r>
        <w:rPr>
          <w:spacing w:val="-6"/>
        </w:rPr>
        <w:t xml:space="preserve"> </w:t>
      </w:r>
      <w:r>
        <w:t>the</w:t>
      </w:r>
      <w:r>
        <w:rPr>
          <w:spacing w:val="-4"/>
        </w:rPr>
        <w:t xml:space="preserve"> </w:t>
      </w:r>
      <w:r>
        <w:t>2015</w:t>
      </w:r>
      <w:r>
        <w:rPr>
          <w:spacing w:val="-5"/>
        </w:rPr>
        <w:t xml:space="preserve"> </w:t>
      </w:r>
      <w:r>
        <w:t>Review</w:t>
      </w:r>
      <w:r>
        <w:rPr>
          <w:spacing w:val="-5"/>
        </w:rPr>
        <w:t xml:space="preserve"> </w:t>
      </w:r>
      <w:r>
        <w:t>of</w:t>
      </w:r>
      <w:r>
        <w:rPr>
          <w:spacing w:val="-4"/>
        </w:rPr>
        <w:t xml:space="preserve"> </w:t>
      </w:r>
      <w:r>
        <w:t>the</w:t>
      </w:r>
      <w:r>
        <w:rPr>
          <w:spacing w:val="-4"/>
        </w:rPr>
        <w:t xml:space="preserve"> </w:t>
      </w:r>
      <w:r>
        <w:t>Victorian</w:t>
      </w:r>
      <w:r>
        <w:rPr>
          <w:spacing w:val="-7"/>
        </w:rPr>
        <w:t xml:space="preserve"> </w:t>
      </w:r>
      <w:r>
        <w:t>legislation</w:t>
      </w:r>
      <w:r>
        <w:rPr>
          <w:spacing w:val="-5"/>
        </w:rPr>
        <w:t xml:space="preserve"> </w:t>
      </w:r>
      <w:r>
        <w:t>recognised</w:t>
      </w:r>
      <w:r>
        <w:rPr>
          <w:spacing w:val="-4"/>
        </w:rPr>
        <w:t xml:space="preserve"> </w:t>
      </w:r>
      <w:r>
        <w:t>that</w:t>
      </w:r>
      <w:r>
        <w:rPr>
          <w:spacing w:val="-6"/>
        </w:rPr>
        <w:t xml:space="preserve"> </w:t>
      </w:r>
      <w:r>
        <w:t>there</w:t>
      </w:r>
      <w:r>
        <w:rPr>
          <w:spacing w:val="-7"/>
        </w:rPr>
        <w:t xml:space="preserve"> </w:t>
      </w:r>
      <w:r>
        <w:t>were</w:t>
      </w:r>
      <w:r>
        <w:rPr>
          <w:spacing w:val="-7"/>
        </w:rPr>
        <w:t xml:space="preserve"> </w:t>
      </w:r>
      <w:r>
        <w:t>good</w:t>
      </w:r>
      <w:r>
        <w:rPr>
          <w:spacing w:val="-5"/>
        </w:rPr>
        <w:t xml:space="preserve"> </w:t>
      </w:r>
      <w:r>
        <w:t>arguments for</w:t>
      </w:r>
      <w:r>
        <w:rPr>
          <w:spacing w:val="-13"/>
        </w:rPr>
        <w:t xml:space="preserve"> </w:t>
      </w:r>
      <w:r>
        <w:t>making</w:t>
      </w:r>
      <w:r>
        <w:rPr>
          <w:spacing w:val="-11"/>
        </w:rPr>
        <w:t xml:space="preserve"> </w:t>
      </w:r>
      <w:r>
        <w:t>damages</w:t>
      </w:r>
      <w:r>
        <w:rPr>
          <w:spacing w:val="-13"/>
        </w:rPr>
        <w:t xml:space="preserve"> </w:t>
      </w:r>
      <w:r>
        <w:t>a</w:t>
      </w:r>
      <w:r>
        <w:rPr>
          <w:spacing w:val="-11"/>
        </w:rPr>
        <w:t xml:space="preserve"> </w:t>
      </w:r>
      <w:r>
        <w:t>remedy,</w:t>
      </w:r>
      <w:r>
        <w:rPr>
          <w:spacing w:val="-11"/>
        </w:rPr>
        <w:t xml:space="preserve"> </w:t>
      </w:r>
      <w:r>
        <w:t>it</w:t>
      </w:r>
      <w:r>
        <w:rPr>
          <w:spacing w:val="-10"/>
        </w:rPr>
        <w:t xml:space="preserve"> </w:t>
      </w:r>
      <w:r>
        <w:t>did</w:t>
      </w:r>
      <w:r>
        <w:rPr>
          <w:spacing w:val="-11"/>
        </w:rPr>
        <w:t xml:space="preserve"> </w:t>
      </w:r>
      <w:r>
        <w:t>not</w:t>
      </w:r>
      <w:r>
        <w:rPr>
          <w:spacing w:val="-10"/>
        </w:rPr>
        <w:t xml:space="preserve"> </w:t>
      </w:r>
      <w:r>
        <w:t>recommend</w:t>
      </w:r>
      <w:r>
        <w:rPr>
          <w:spacing w:val="-13"/>
        </w:rPr>
        <w:t xml:space="preserve"> </w:t>
      </w:r>
      <w:r>
        <w:t>that</w:t>
      </w:r>
      <w:r>
        <w:rPr>
          <w:spacing w:val="-10"/>
        </w:rPr>
        <w:t xml:space="preserve"> </w:t>
      </w:r>
      <w:r>
        <w:t>damages</w:t>
      </w:r>
      <w:r>
        <w:rPr>
          <w:spacing w:val="-10"/>
        </w:rPr>
        <w:t xml:space="preserve"> </w:t>
      </w:r>
      <w:r>
        <w:t>be</w:t>
      </w:r>
      <w:r>
        <w:rPr>
          <w:spacing w:val="-11"/>
        </w:rPr>
        <w:t xml:space="preserve"> </w:t>
      </w:r>
      <w:r>
        <w:t>available</w:t>
      </w:r>
      <w:r>
        <w:rPr>
          <w:spacing w:val="-11"/>
        </w:rPr>
        <w:t xml:space="preserve"> </w:t>
      </w:r>
      <w:r>
        <w:t>as</w:t>
      </w:r>
      <w:r>
        <w:rPr>
          <w:spacing w:val="-10"/>
        </w:rPr>
        <w:t xml:space="preserve"> </w:t>
      </w:r>
      <w:r>
        <w:t>a</w:t>
      </w:r>
      <w:r>
        <w:rPr>
          <w:spacing w:val="-13"/>
        </w:rPr>
        <w:t xml:space="preserve"> </w:t>
      </w:r>
      <w:r>
        <w:t>remedy</w:t>
      </w:r>
      <w:r>
        <w:rPr>
          <w:spacing w:val="-13"/>
        </w:rPr>
        <w:t xml:space="preserve"> </w:t>
      </w:r>
      <w:r>
        <w:t>for</w:t>
      </w:r>
      <w:r>
        <w:rPr>
          <w:spacing w:val="-10"/>
        </w:rPr>
        <w:t xml:space="preserve"> </w:t>
      </w:r>
      <w:r>
        <w:t>a</w:t>
      </w:r>
      <w:r>
        <w:rPr>
          <w:spacing w:val="-13"/>
        </w:rPr>
        <w:t xml:space="preserve"> </w:t>
      </w:r>
      <w:r>
        <w:t>breach of the Charter at that time.</w:t>
      </w:r>
      <w:r>
        <w:rPr>
          <w:spacing w:val="-1"/>
        </w:rPr>
        <w:t xml:space="preserve"> </w:t>
      </w:r>
      <w:r>
        <w:t>This was on the basis</w:t>
      </w:r>
      <w:r>
        <w:rPr>
          <w:spacing w:val="-1"/>
        </w:rPr>
        <w:t xml:space="preserve"> </w:t>
      </w:r>
      <w:r>
        <w:t>that the introduction of a direct cause of action was a significant</w:t>
      </w:r>
      <w:r>
        <w:rPr>
          <w:spacing w:val="-9"/>
        </w:rPr>
        <w:t xml:space="preserve"> </w:t>
      </w:r>
      <w:r>
        <w:t>step</w:t>
      </w:r>
      <w:r>
        <w:rPr>
          <w:spacing w:val="-12"/>
        </w:rPr>
        <w:t xml:space="preserve"> </w:t>
      </w:r>
      <w:r>
        <w:t>(along</w:t>
      </w:r>
      <w:r>
        <w:rPr>
          <w:spacing w:val="-10"/>
        </w:rPr>
        <w:t xml:space="preserve"> </w:t>
      </w:r>
      <w:r>
        <w:t>with</w:t>
      </w:r>
      <w:r>
        <w:rPr>
          <w:spacing w:val="-12"/>
        </w:rPr>
        <w:t xml:space="preserve"> </w:t>
      </w:r>
      <w:r>
        <w:t>other</w:t>
      </w:r>
      <w:r>
        <w:rPr>
          <w:spacing w:val="-9"/>
        </w:rPr>
        <w:t xml:space="preserve"> </w:t>
      </w:r>
      <w:r>
        <w:t>measures</w:t>
      </w:r>
      <w:r>
        <w:rPr>
          <w:spacing w:val="-11"/>
        </w:rPr>
        <w:t xml:space="preserve"> </w:t>
      </w:r>
      <w:r>
        <w:t>recommended</w:t>
      </w:r>
      <w:r>
        <w:rPr>
          <w:spacing w:val="-9"/>
        </w:rPr>
        <w:t xml:space="preserve"> </w:t>
      </w:r>
      <w:r>
        <w:t>by</w:t>
      </w:r>
      <w:r>
        <w:rPr>
          <w:spacing w:val="-10"/>
        </w:rPr>
        <w:t xml:space="preserve"> </w:t>
      </w:r>
      <w:r>
        <w:t>the</w:t>
      </w:r>
      <w:r>
        <w:rPr>
          <w:spacing w:val="-9"/>
        </w:rPr>
        <w:t xml:space="preserve"> </w:t>
      </w:r>
      <w:r>
        <w:t>review),</w:t>
      </w:r>
      <w:r>
        <w:rPr>
          <w:spacing w:val="-9"/>
        </w:rPr>
        <w:t xml:space="preserve"> </w:t>
      </w:r>
      <w:r>
        <w:t>so</w:t>
      </w:r>
      <w:r>
        <w:rPr>
          <w:spacing w:val="-11"/>
        </w:rPr>
        <w:t xml:space="preserve"> </w:t>
      </w:r>
      <w:r>
        <w:t>making</w:t>
      </w:r>
      <w:r>
        <w:rPr>
          <w:spacing w:val="-10"/>
        </w:rPr>
        <w:t xml:space="preserve"> </w:t>
      </w:r>
      <w:r>
        <w:t>damages</w:t>
      </w:r>
      <w:r>
        <w:rPr>
          <w:spacing w:val="-11"/>
        </w:rPr>
        <w:t xml:space="preserve"> </w:t>
      </w:r>
      <w:r>
        <w:t>a</w:t>
      </w:r>
      <w:r>
        <w:rPr>
          <w:spacing w:val="-9"/>
        </w:rPr>
        <w:t xml:space="preserve"> </w:t>
      </w:r>
      <w:r>
        <w:t>remedy ‘should</w:t>
      </w:r>
      <w:r>
        <w:rPr>
          <w:spacing w:val="17"/>
        </w:rPr>
        <w:t xml:space="preserve"> </w:t>
      </w:r>
      <w:r>
        <w:t>be</w:t>
      </w:r>
      <w:r>
        <w:rPr>
          <w:spacing w:val="15"/>
        </w:rPr>
        <w:t xml:space="preserve"> </w:t>
      </w:r>
      <w:r>
        <w:t>considered</w:t>
      </w:r>
      <w:r>
        <w:rPr>
          <w:spacing w:val="17"/>
        </w:rPr>
        <w:t xml:space="preserve"> </w:t>
      </w:r>
      <w:r>
        <w:t>only</w:t>
      </w:r>
      <w:r>
        <w:rPr>
          <w:spacing w:val="15"/>
        </w:rPr>
        <w:t xml:space="preserve"> </w:t>
      </w:r>
      <w:r>
        <w:t>as</w:t>
      </w:r>
      <w:r>
        <w:rPr>
          <w:spacing w:val="17"/>
        </w:rPr>
        <w:t xml:space="preserve"> </w:t>
      </w:r>
      <w:r>
        <w:t>an</w:t>
      </w:r>
      <w:r>
        <w:rPr>
          <w:spacing w:val="17"/>
        </w:rPr>
        <w:t xml:space="preserve"> </w:t>
      </w:r>
      <w:r>
        <w:t>incremental</w:t>
      </w:r>
      <w:r>
        <w:rPr>
          <w:spacing w:val="18"/>
        </w:rPr>
        <w:t xml:space="preserve"> </w:t>
      </w:r>
      <w:r>
        <w:t>step</w:t>
      </w:r>
      <w:r>
        <w:rPr>
          <w:spacing w:val="17"/>
        </w:rPr>
        <w:t xml:space="preserve"> </w:t>
      </w:r>
      <w:r>
        <w:t>once</w:t>
      </w:r>
      <w:r>
        <w:rPr>
          <w:spacing w:val="17"/>
        </w:rPr>
        <w:t xml:space="preserve"> </w:t>
      </w:r>
      <w:r>
        <w:t>the</w:t>
      </w:r>
      <w:r>
        <w:rPr>
          <w:spacing w:val="17"/>
        </w:rPr>
        <w:t xml:space="preserve"> </w:t>
      </w:r>
      <w:r>
        <w:t>direct</w:t>
      </w:r>
      <w:r>
        <w:rPr>
          <w:spacing w:val="18"/>
        </w:rPr>
        <w:t xml:space="preserve"> </w:t>
      </w:r>
      <w:r>
        <w:t>cause</w:t>
      </w:r>
      <w:r>
        <w:rPr>
          <w:spacing w:val="17"/>
        </w:rPr>
        <w:t xml:space="preserve"> </w:t>
      </w:r>
      <w:r>
        <w:t>of</w:t>
      </w:r>
      <w:r>
        <w:rPr>
          <w:spacing w:val="17"/>
        </w:rPr>
        <w:t xml:space="preserve"> </w:t>
      </w:r>
      <w:r>
        <w:t>action</w:t>
      </w:r>
      <w:r>
        <w:rPr>
          <w:spacing w:val="17"/>
        </w:rPr>
        <w:t xml:space="preserve"> </w:t>
      </w:r>
      <w:r>
        <w:t>is</w:t>
      </w:r>
      <w:r>
        <w:rPr>
          <w:spacing w:val="17"/>
        </w:rPr>
        <w:t xml:space="preserve"> </w:t>
      </w:r>
      <w:r>
        <w:t>established</w:t>
      </w:r>
      <w:r>
        <w:rPr>
          <w:spacing w:val="15"/>
        </w:rPr>
        <w:t xml:space="preserve"> </w:t>
      </w:r>
      <w:r>
        <w:t>and</w:t>
      </w:r>
    </w:p>
    <w:p w14:paraId="7CB262BA" w14:textId="77777777" w:rsidR="008A4099" w:rsidRDefault="006A6EE2">
      <w:pPr>
        <w:pStyle w:val="BodyText"/>
        <w:spacing w:before="214"/>
        <w:rPr>
          <w:sz w:val="20"/>
        </w:rPr>
      </w:pPr>
      <w:r>
        <w:rPr>
          <w:noProof/>
        </w:rPr>
        <mc:AlternateContent>
          <mc:Choice Requires="wps">
            <w:drawing>
              <wp:anchor distT="0" distB="0" distL="0" distR="0" simplePos="0" relativeHeight="487636992" behindDoc="1" locked="0" layoutInCell="1" allowOverlap="1" wp14:anchorId="7CB26699" wp14:editId="7CB2669A">
                <wp:simplePos x="0" y="0"/>
                <wp:positionH relativeFrom="page">
                  <wp:posOffset>914704</wp:posOffset>
                </wp:positionH>
                <wp:positionV relativeFrom="paragraph">
                  <wp:posOffset>297743</wp:posOffset>
                </wp:positionV>
                <wp:extent cx="1829435" cy="762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44AB36" id="Graphic 144" o:spid="_x0000_s1026" style="position:absolute;margin-left:1in;margin-top:23.45pt;width:144.05pt;height:.6pt;z-index:-156794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" path="m1829054,l,,,7619r1829054,l1829054,xe" fillcolor="black" stroked="f">
                <v:path arrowok="t"/>
                <w10:wrap type="topAndBottom" anchorx="page"/>
              </v:shape>
            </w:pict>
          </mc:Fallback>
        </mc:AlternateContent>
      </w:r>
    </w:p>
    <w:p w14:paraId="7CB262BB" w14:textId="77777777" w:rsidR="008A4099" w:rsidRDefault="006A6EE2">
      <w:pPr>
        <w:spacing w:before="112"/>
        <w:ind w:left="160"/>
        <w:rPr>
          <w:sz w:val="18"/>
        </w:rPr>
      </w:pPr>
      <w:r>
        <w:rPr>
          <w:sz w:val="18"/>
          <w:vertAlign w:val="superscript"/>
        </w:rPr>
        <w:t>501</w:t>
      </w:r>
      <w:r>
        <w:rPr>
          <w:sz w:val="18"/>
        </w:rPr>
        <w:t xml:space="preserve"> Brett</w:t>
      </w:r>
      <w:r>
        <w:rPr>
          <w:spacing w:val="1"/>
          <w:sz w:val="18"/>
        </w:rPr>
        <w:t xml:space="preserve"> </w:t>
      </w:r>
      <w:r>
        <w:rPr>
          <w:sz w:val="18"/>
        </w:rPr>
        <w:t>Young,</w:t>
      </w:r>
      <w:r>
        <w:rPr>
          <w:spacing w:val="1"/>
          <w:sz w:val="18"/>
        </w:rPr>
        <w:t xml:space="preserve"> </w:t>
      </w:r>
      <w:r>
        <w:rPr>
          <w:i/>
          <w:sz w:val="18"/>
        </w:rPr>
        <w:t>From</w:t>
      </w:r>
      <w:r>
        <w:rPr>
          <w:i/>
          <w:spacing w:val="1"/>
          <w:sz w:val="18"/>
        </w:rPr>
        <w:t xml:space="preserve"> </w:t>
      </w:r>
      <w:r>
        <w:rPr>
          <w:i/>
          <w:sz w:val="18"/>
        </w:rPr>
        <w:t>Commitment</w:t>
      </w:r>
      <w:r>
        <w:rPr>
          <w:i/>
          <w:spacing w:val="-1"/>
          <w:sz w:val="18"/>
        </w:rPr>
        <w:t xml:space="preserve"> </w:t>
      </w:r>
      <w:r>
        <w:rPr>
          <w:i/>
          <w:sz w:val="18"/>
        </w:rPr>
        <w:t>to</w:t>
      </w:r>
      <w:r>
        <w:rPr>
          <w:i/>
          <w:spacing w:val="1"/>
          <w:sz w:val="18"/>
        </w:rPr>
        <w:t xml:space="preserve"> </w:t>
      </w:r>
      <w:r>
        <w:rPr>
          <w:i/>
          <w:sz w:val="18"/>
        </w:rPr>
        <w:t>Culture</w:t>
      </w:r>
      <w:r>
        <w:rPr>
          <w:i/>
          <w:spacing w:val="2"/>
          <w:sz w:val="18"/>
        </w:rPr>
        <w:t xml:space="preserve"> </w:t>
      </w:r>
      <w:r>
        <w:rPr>
          <w:spacing w:val="-4"/>
          <w:sz w:val="18"/>
        </w:rPr>
        <w:t>128.</w:t>
      </w:r>
    </w:p>
    <w:p w14:paraId="7CB262BC" w14:textId="77777777" w:rsidR="008A4099" w:rsidRDefault="006A6EE2">
      <w:pPr>
        <w:spacing w:before="24"/>
        <w:ind w:left="160"/>
        <w:rPr>
          <w:sz w:val="18"/>
        </w:rPr>
      </w:pPr>
      <w:r>
        <w:rPr>
          <w:sz w:val="18"/>
          <w:vertAlign w:val="superscript"/>
        </w:rPr>
        <w:t>502</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19.</w:t>
      </w:r>
    </w:p>
    <w:p w14:paraId="7CB262BD" w14:textId="77777777" w:rsidR="008A4099" w:rsidRDefault="006A6EE2">
      <w:pPr>
        <w:spacing w:before="23"/>
        <w:ind w:left="160"/>
        <w:rPr>
          <w:sz w:val="18"/>
        </w:rPr>
      </w:pPr>
      <w:r>
        <w:rPr>
          <w:sz w:val="18"/>
          <w:vertAlign w:val="superscript"/>
        </w:rPr>
        <w:t>503</w:t>
      </w:r>
      <w:r>
        <w:rPr>
          <w:sz w:val="18"/>
        </w:rPr>
        <w:t xml:space="preserve"> Department</w:t>
      </w:r>
      <w:r>
        <w:rPr>
          <w:spacing w:val="1"/>
          <w:sz w:val="18"/>
        </w:rPr>
        <w:t xml:space="preserve"> </w:t>
      </w:r>
      <w:r>
        <w:rPr>
          <w:sz w:val="18"/>
        </w:rPr>
        <w:t>of</w:t>
      </w:r>
      <w:r>
        <w:rPr>
          <w:spacing w:val="1"/>
          <w:sz w:val="18"/>
        </w:rPr>
        <w:t xml:space="preserve"> </w:t>
      </w:r>
      <w:r>
        <w:rPr>
          <w:sz w:val="18"/>
        </w:rPr>
        <w:t>Justice (Tasmania),</w:t>
      </w:r>
      <w:r>
        <w:rPr>
          <w:spacing w:val="1"/>
          <w:sz w:val="18"/>
        </w:rPr>
        <w:t xml:space="preserve"> </w:t>
      </w:r>
      <w:r>
        <w:rPr>
          <w:sz w:val="18"/>
        </w:rPr>
        <w:t>Directions</w:t>
      </w:r>
      <w:r>
        <w:rPr>
          <w:spacing w:val="-3"/>
          <w:sz w:val="18"/>
        </w:rPr>
        <w:t xml:space="preserve"> </w:t>
      </w:r>
      <w:r>
        <w:rPr>
          <w:sz w:val="18"/>
        </w:rPr>
        <w:t>Paper</w:t>
      </w:r>
      <w:r>
        <w:rPr>
          <w:spacing w:val="1"/>
          <w:sz w:val="18"/>
        </w:rPr>
        <w:t xml:space="preserve"> </w:t>
      </w:r>
      <w:r>
        <w:rPr>
          <w:spacing w:val="-5"/>
          <w:sz w:val="18"/>
        </w:rPr>
        <w:t>45.</w:t>
      </w:r>
    </w:p>
    <w:p w14:paraId="7CB262BE" w14:textId="77777777" w:rsidR="008A4099" w:rsidRDefault="006A6EE2">
      <w:pPr>
        <w:spacing w:before="24"/>
        <w:ind w:left="160"/>
        <w:rPr>
          <w:sz w:val="18"/>
        </w:rPr>
      </w:pPr>
      <w:r>
        <w:rPr>
          <w:sz w:val="18"/>
          <w:vertAlign w:val="superscript"/>
        </w:rPr>
        <w:t>504</w:t>
      </w:r>
      <w:r>
        <w:rPr>
          <w:spacing w:val="-1"/>
          <w:sz w:val="18"/>
        </w:rPr>
        <w:t xml:space="preserve"> </w:t>
      </w:r>
      <w:r>
        <w:rPr>
          <w:i/>
          <w:sz w:val="18"/>
        </w:rPr>
        <w:t>Human</w:t>
      </w:r>
      <w:r>
        <w:rPr>
          <w:i/>
          <w:spacing w:val="-1"/>
          <w:sz w:val="18"/>
        </w:rPr>
        <w:t xml:space="preserve"> </w:t>
      </w:r>
      <w:r>
        <w:rPr>
          <w:i/>
          <w:sz w:val="18"/>
        </w:rPr>
        <w:t>Rights Act</w:t>
      </w:r>
      <w:r>
        <w:rPr>
          <w:i/>
          <w:spacing w:val="-1"/>
          <w:sz w:val="18"/>
        </w:rPr>
        <w:t xml:space="preserve"> </w:t>
      </w:r>
      <w:r>
        <w:rPr>
          <w:i/>
          <w:sz w:val="18"/>
        </w:rPr>
        <w:t>2019</w:t>
      </w:r>
      <w:r>
        <w:rPr>
          <w:i/>
          <w:spacing w:val="2"/>
          <w:sz w:val="18"/>
        </w:rPr>
        <w:t xml:space="preserve"> </w:t>
      </w:r>
      <w:r>
        <w:rPr>
          <w:sz w:val="18"/>
        </w:rPr>
        <w:t>(Qld)</w:t>
      </w:r>
      <w:r>
        <w:rPr>
          <w:spacing w:val="-3"/>
          <w:sz w:val="18"/>
        </w:rPr>
        <w:t xml:space="preserve"> </w:t>
      </w:r>
      <w:r>
        <w:rPr>
          <w:sz w:val="18"/>
        </w:rPr>
        <w:t>s 59(3); Vic</w:t>
      </w:r>
      <w:r>
        <w:rPr>
          <w:spacing w:val="-1"/>
          <w:sz w:val="18"/>
        </w:rPr>
        <w:t xml:space="preserve"> </w:t>
      </w:r>
      <w:r>
        <w:rPr>
          <w:sz w:val="18"/>
        </w:rPr>
        <w:t>Human</w:t>
      </w:r>
      <w:r>
        <w:rPr>
          <w:spacing w:val="1"/>
          <w:sz w:val="18"/>
        </w:rPr>
        <w:t xml:space="preserve"> </w:t>
      </w:r>
      <w:r>
        <w:rPr>
          <w:sz w:val="18"/>
        </w:rPr>
        <w:t>Rights Charter</w:t>
      </w:r>
      <w:r>
        <w:rPr>
          <w:spacing w:val="-1"/>
          <w:sz w:val="18"/>
        </w:rPr>
        <w:t xml:space="preserve"> </w:t>
      </w:r>
      <w:r>
        <w:rPr>
          <w:sz w:val="18"/>
        </w:rPr>
        <w:t>s 39(3);</w:t>
      </w:r>
      <w:r>
        <w:rPr>
          <w:spacing w:val="4"/>
          <w:sz w:val="18"/>
        </w:rPr>
        <w:t xml:space="preserve"> </w:t>
      </w:r>
      <w:r>
        <w:rPr>
          <w:i/>
          <w:sz w:val="18"/>
        </w:rPr>
        <w:t>Human</w:t>
      </w:r>
      <w:r>
        <w:rPr>
          <w:i/>
          <w:spacing w:val="-1"/>
          <w:sz w:val="18"/>
        </w:rPr>
        <w:t xml:space="preserve"> </w:t>
      </w:r>
      <w:r>
        <w:rPr>
          <w:i/>
          <w:sz w:val="18"/>
        </w:rPr>
        <w:t>Rights Act</w:t>
      </w:r>
      <w:r>
        <w:rPr>
          <w:i/>
          <w:spacing w:val="-2"/>
          <w:sz w:val="18"/>
        </w:rPr>
        <w:t xml:space="preserve"> </w:t>
      </w:r>
      <w:r>
        <w:rPr>
          <w:i/>
          <w:sz w:val="18"/>
        </w:rPr>
        <w:t>200</w:t>
      </w:r>
      <w:r>
        <w:rPr>
          <w:sz w:val="18"/>
        </w:rPr>
        <w:t>4</w:t>
      </w:r>
      <w:r>
        <w:rPr>
          <w:spacing w:val="-2"/>
          <w:sz w:val="18"/>
        </w:rPr>
        <w:t xml:space="preserve"> </w:t>
      </w:r>
      <w:r>
        <w:rPr>
          <w:sz w:val="18"/>
        </w:rPr>
        <w:t>(ACT) s</w:t>
      </w:r>
      <w:r>
        <w:rPr>
          <w:spacing w:val="1"/>
          <w:sz w:val="18"/>
        </w:rPr>
        <w:t xml:space="preserve"> </w:t>
      </w:r>
      <w:r>
        <w:rPr>
          <w:spacing w:val="-2"/>
          <w:sz w:val="18"/>
        </w:rPr>
        <w:t>40C(4).</w:t>
      </w:r>
    </w:p>
    <w:p w14:paraId="7CB262BF" w14:textId="77777777" w:rsidR="008A4099" w:rsidRDefault="008A4099">
      <w:pPr>
        <w:rPr>
          <w:sz w:val="18"/>
        </w:rPr>
        <w:sectPr w:rsidR="008A4099" w:rsidSect="00D43B2D">
          <w:pgSz w:w="11910" w:h="16840"/>
          <w:pgMar w:top="980" w:right="760" w:bottom="940" w:left="1280" w:header="718" w:footer="753" w:gutter="0"/>
          <w:cols w:space="720"/>
        </w:sectPr>
      </w:pPr>
    </w:p>
    <w:p w14:paraId="7CB262C0" w14:textId="77777777" w:rsidR="008A4099" w:rsidRDefault="008A4099">
      <w:pPr>
        <w:pStyle w:val="BodyText"/>
        <w:spacing w:before="194"/>
      </w:pPr>
    </w:p>
    <w:p w14:paraId="7CB262C1" w14:textId="77777777" w:rsidR="008A4099" w:rsidRDefault="006A6EE2">
      <w:pPr>
        <w:pStyle w:val="BodyText"/>
        <w:ind w:left="160" w:right="677"/>
        <w:jc w:val="both"/>
        <w:rPr>
          <w:sz w:val="13"/>
        </w:rPr>
      </w:pPr>
      <w:r>
        <w:t>there</w:t>
      </w:r>
      <w:r>
        <w:rPr>
          <w:spacing w:val="-4"/>
        </w:rPr>
        <w:t xml:space="preserve"> </w:t>
      </w:r>
      <w:r>
        <w:t>is</w:t>
      </w:r>
      <w:r>
        <w:rPr>
          <w:spacing w:val="-4"/>
        </w:rPr>
        <w:t xml:space="preserve"> </w:t>
      </w:r>
      <w:r>
        <w:t>experience</w:t>
      </w:r>
      <w:r>
        <w:rPr>
          <w:spacing w:val="-4"/>
        </w:rPr>
        <w:t xml:space="preserve"> </w:t>
      </w:r>
      <w:r>
        <w:t>of</w:t>
      </w:r>
      <w:r>
        <w:rPr>
          <w:spacing w:val="-4"/>
        </w:rPr>
        <w:t xml:space="preserve"> </w:t>
      </w:r>
      <w:r>
        <w:t>its</w:t>
      </w:r>
      <w:r>
        <w:rPr>
          <w:spacing w:val="-4"/>
        </w:rPr>
        <w:t xml:space="preserve"> </w:t>
      </w:r>
      <w:r>
        <w:t>operation’.</w:t>
      </w:r>
      <w:r>
        <w:rPr>
          <w:position w:val="7"/>
          <w:sz w:val="13"/>
        </w:rPr>
        <w:t>505</w:t>
      </w:r>
      <w:r>
        <w:rPr>
          <w:spacing w:val="17"/>
          <w:position w:val="7"/>
          <w:sz w:val="13"/>
        </w:rPr>
        <w:t xml:space="preserve"> </w:t>
      </w:r>
      <w:r>
        <w:t>It</w:t>
      </w:r>
      <w:r>
        <w:rPr>
          <w:spacing w:val="-4"/>
        </w:rPr>
        <w:t xml:space="preserve"> </w:t>
      </w:r>
      <w:r>
        <w:t>was</w:t>
      </w:r>
      <w:r>
        <w:rPr>
          <w:spacing w:val="-4"/>
        </w:rPr>
        <w:t xml:space="preserve"> </w:t>
      </w:r>
      <w:r>
        <w:t>noted</w:t>
      </w:r>
      <w:r>
        <w:rPr>
          <w:spacing w:val="-4"/>
        </w:rPr>
        <w:t xml:space="preserve"> </w:t>
      </w:r>
      <w:r>
        <w:t>that</w:t>
      </w:r>
      <w:r>
        <w:rPr>
          <w:spacing w:val="-4"/>
        </w:rPr>
        <w:t xml:space="preserve"> </w:t>
      </w:r>
      <w:r>
        <w:t>the</w:t>
      </w:r>
      <w:r>
        <w:rPr>
          <w:spacing w:val="-4"/>
        </w:rPr>
        <w:t xml:space="preserve"> </w:t>
      </w:r>
      <w:r>
        <w:t>remedies</w:t>
      </w:r>
      <w:r>
        <w:rPr>
          <w:spacing w:val="-4"/>
        </w:rPr>
        <w:t xml:space="preserve"> </w:t>
      </w:r>
      <w:r>
        <w:t>available</w:t>
      </w:r>
      <w:r>
        <w:rPr>
          <w:spacing w:val="-4"/>
        </w:rPr>
        <w:t xml:space="preserve"> </w:t>
      </w:r>
      <w:r>
        <w:t>should</w:t>
      </w:r>
      <w:r>
        <w:rPr>
          <w:spacing w:val="-5"/>
        </w:rPr>
        <w:t xml:space="preserve"> </w:t>
      </w:r>
      <w:r>
        <w:t>include</w:t>
      </w:r>
      <w:r>
        <w:rPr>
          <w:spacing w:val="-4"/>
        </w:rPr>
        <w:t xml:space="preserve"> </w:t>
      </w:r>
      <w:r>
        <w:t>having</w:t>
      </w:r>
      <w:r>
        <w:rPr>
          <w:spacing w:val="-5"/>
        </w:rPr>
        <w:t xml:space="preserve"> </w:t>
      </w:r>
      <w:r>
        <w:t>a decision set aside and a new decision made, the granting of an injunction, having evidence excluded from</w:t>
      </w:r>
      <w:r>
        <w:rPr>
          <w:spacing w:val="-5"/>
        </w:rPr>
        <w:t xml:space="preserve"> </w:t>
      </w:r>
      <w:r>
        <w:t>a</w:t>
      </w:r>
      <w:r>
        <w:rPr>
          <w:spacing w:val="-6"/>
        </w:rPr>
        <w:t xml:space="preserve"> </w:t>
      </w:r>
      <w:r>
        <w:t>trial</w:t>
      </w:r>
      <w:r>
        <w:rPr>
          <w:spacing w:val="-7"/>
        </w:rPr>
        <w:t xml:space="preserve"> </w:t>
      </w:r>
      <w:r>
        <w:t>(for</w:t>
      </w:r>
      <w:r>
        <w:rPr>
          <w:spacing w:val="-5"/>
        </w:rPr>
        <w:t xml:space="preserve"> </w:t>
      </w:r>
      <w:r>
        <w:t>example,</w:t>
      </w:r>
      <w:r>
        <w:rPr>
          <w:spacing w:val="-8"/>
        </w:rPr>
        <w:t xml:space="preserve"> </w:t>
      </w:r>
      <w:r>
        <w:t>if</w:t>
      </w:r>
      <w:r>
        <w:rPr>
          <w:spacing w:val="-8"/>
        </w:rPr>
        <w:t xml:space="preserve"> </w:t>
      </w:r>
      <w:r>
        <w:t>it</w:t>
      </w:r>
      <w:r>
        <w:rPr>
          <w:spacing w:val="-5"/>
        </w:rPr>
        <w:t xml:space="preserve"> </w:t>
      </w:r>
      <w:r>
        <w:t>was</w:t>
      </w:r>
      <w:r>
        <w:rPr>
          <w:spacing w:val="-8"/>
        </w:rPr>
        <w:t xml:space="preserve"> </w:t>
      </w:r>
      <w:r>
        <w:t>obtained</w:t>
      </w:r>
      <w:r>
        <w:rPr>
          <w:spacing w:val="-6"/>
        </w:rPr>
        <w:t xml:space="preserve"> </w:t>
      </w:r>
      <w:r>
        <w:t>in</w:t>
      </w:r>
      <w:r>
        <w:rPr>
          <w:spacing w:val="-6"/>
        </w:rPr>
        <w:t xml:space="preserve"> </w:t>
      </w:r>
      <w:r>
        <w:t>breach</w:t>
      </w:r>
      <w:r>
        <w:rPr>
          <w:spacing w:val="-6"/>
        </w:rPr>
        <w:t xml:space="preserve"> </w:t>
      </w:r>
      <w:r>
        <w:t>of</w:t>
      </w:r>
      <w:r>
        <w:rPr>
          <w:spacing w:val="-8"/>
        </w:rPr>
        <w:t xml:space="preserve"> </w:t>
      </w:r>
      <w:r>
        <w:t>the</w:t>
      </w:r>
      <w:r>
        <w:rPr>
          <w:spacing w:val="-6"/>
        </w:rPr>
        <w:t xml:space="preserve"> </w:t>
      </w:r>
      <w:r>
        <w:t>right</w:t>
      </w:r>
      <w:r>
        <w:rPr>
          <w:spacing w:val="-5"/>
        </w:rPr>
        <w:t xml:space="preserve"> </w:t>
      </w:r>
      <w:r>
        <w:t>to</w:t>
      </w:r>
      <w:r>
        <w:rPr>
          <w:spacing w:val="-6"/>
        </w:rPr>
        <w:t xml:space="preserve"> </w:t>
      </w:r>
      <w:r>
        <w:t>privacy),</w:t>
      </w:r>
      <w:r>
        <w:rPr>
          <w:spacing w:val="-6"/>
        </w:rPr>
        <w:t xml:space="preserve"> </w:t>
      </w:r>
      <w:r>
        <w:t>and</w:t>
      </w:r>
      <w:r>
        <w:rPr>
          <w:spacing w:val="-8"/>
        </w:rPr>
        <w:t xml:space="preserve"> </w:t>
      </w:r>
      <w:r>
        <w:t>having</w:t>
      </w:r>
      <w:r>
        <w:rPr>
          <w:spacing w:val="-8"/>
        </w:rPr>
        <w:t xml:space="preserve"> </w:t>
      </w:r>
      <w:r>
        <w:t>an</w:t>
      </w:r>
      <w:r>
        <w:rPr>
          <w:spacing w:val="-6"/>
        </w:rPr>
        <w:t xml:space="preserve"> </w:t>
      </w:r>
      <w:r>
        <w:t>order</w:t>
      </w:r>
      <w:r>
        <w:rPr>
          <w:spacing w:val="-7"/>
        </w:rPr>
        <w:t xml:space="preserve"> </w:t>
      </w:r>
      <w:r>
        <w:t>made to require a public authority to take positive steps to remedy the breach.</w:t>
      </w:r>
      <w:r>
        <w:rPr>
          <w:position w:val="7"/>
          <w:sz w:val="13"/>
        </w:rPr>
        <w:t>506</w:t>
      </w:r>
    </w:p>
    <w:p w14:paraId="7CB262C2" w14:textId="77777777" w:rsidR="008A4099" w:rsidRDefault="006A6EE2">
      <w:pPr>
        <w:pStyle w:val="Heading3"/>
        <w:spacing w:before="239"/>
        <w:jc w:val="both"/>
      </w:pPr>
      <w:r>
        <w:t>TLRI’s</w:t>
      </w:r>
      <w:r>
        <w:rPr>
          <w:spacing w:val="-4"/>
        </w:rPr>
        <w:t xml:space="preserve"> </w:t>
      </w:r>
      <w:r>
        <w:t>views</w:t>
      </w:r>
      <w:r>
        <w:rPr>
          <w:spacing w:val="-4"/>
        </w:rPr>
        <w:t xml:space="preserve"> </w:t>
      </w:r>
      <w:r>
        <w:t>and</w:t>
      </w:r>
      <w:r>
        <w:rPr>
          <w:spacing w:val="-3"/>
        </w:rPr>
        <w:t xml:space="preserve"> </w:t>
      </w:r>
      <w:r>
        <w:rPr>
          <w:spacing w:val="-2"/>
        </w:rPr>
        <w:t>recommendations</w:t>
      </w:r>
    </w:p>
    <w:p w14:paraId="7CB262C3" w14:textId="77777777" w:rsidR="008A4099" w:rsidRDefault="006A6EE2">
      <w:pPr>
        <w:pStyle w:val="ListParagraph"/>
        <w:numPr>
          <w:ilvl w:val="2"/>
          <w:numId w:val="3"/>
        </w:numPr>
        <w:tabs>
          <w:tab w:val="left" w:pos="879"/>
        </w:tabs>
        <w:spacing w:before="262"/>
        <w:ind w:right="676" w:firstLine="0"/>
        <w:jc w:val="both"/>
        <w:rPr>
          <w:sz w:val="13"/>
        </w:rPr>
      </w:pPr>
      <w:r>
        <w:t>In many cases, the appropriate remedy for human rights contraventions will be practical directions to reverse a decision, cease the conduct that is causing harm, or apologise to the victim. However, the TLRI is satisfied that there will be situations where breaches of human rights are sufficiently serious that damages may be the only way to compensate a victim fairly; accordingly, it adheres to</w:t>
      </w:r>
      <w:r>
        <w:rPr>
          <w:spacing w:val="-2"/>
        </w:rPr>
        <w:t xml:space="preserve"> </w:t>
      </w:r>
      <w:r>
        <w:t>its original recommendation that damages</w:t>
      </w:r>
      <w:r>
        <w:rPr>
          <w:spacing w:val="-2"/>
        </w:rPr>
        <w:t xml:space="preserve"> </w:t>
      </w:r>
      <w:r>
        <w:t>not be excluded from available remedies under a Tasmanian Charter.</w:t>
      </w:r>
      <w:r>
        <w:rPr>
          <w:position w:val="7"/>
          <w:sz w:val="13"/>
        </w:rPr>
        <w:t>507</w:t>
      </w:r>
    </w:p>
    <w:p w14:paraId="7CB262C4" w14:textId="77777777" w:rsidR="008A4099" w:rsidRDefault="006A6EE2">
      <w:pPr>
        <w:pStyle w:val="ListParagraph"/>
        <w:numPr>
          <w:ilvl w:val="2"/>
          <w:numId w:val="3"/>
        </w:numPr>
        <w:tabs>
          <w:tab w:val="left" w:pos="879"/>
        </w:tabs>
        <w:spacing w:before="216"/>
        <w:ind w:right="677" w:firstLine="0"/>
        <w:jc w:val="both"/>
      </w:pPr>
      <w:r>
        <w:t>The</w:t>
      </w:r>
      <w:r>
        <w:rPr>
          <w:spacing w:val="-5"/>
        </w:rPr>
        <w:t xml:space="preserve"> </w:t>
      </w:r>
      <w:r>
        <w:t>TLRI</w:t>
      </w:r>
      <w:r>
        <w:rPr>
          <w:spacing w:val="-6"/>
        </w:rPr>
        <w:t xml:space="preserve"> </w:t>
      </w:r>
      <w:r>
        <w:t>remains</w:t>
      </w:r>
      <w:r>
        <w:rPr>
          <w:spacing w:val="-4"/>
        </w:rPr>
        <w:t xml:space="preserve"> </w:t>
      </w:r>
      <w:r>
        <w:t>of</w:t>
      </w:r>
      <w:r>
        <w:rPr>
          <w:spacing w:val="-6"/>
        </w:rPr>
        <w:t xml:space="preserve"> </w:t>
      </w:r>
      <w:r>
        <w:t>the</w:t>
      </w:r>
      <w:r>
        <w:rPr>
          <w:spacing w:val="-7"/>
        </w:rPr>
        <w:t xml:space="preserve"> </w:t>
      </w:r>
      <w:r>
        <w:t>view</w:t>
      </w:r>
      <w:r>
        <w:rPr>
          <w:spacing w:val="-5"/>
        </w:rPr>
        <w:t xml:space="preserve"> </w:t>
      </w:r>
      <w:r>
        <w:t>that</w:t>
      </w:r>
      <w:r>
        <w:rPr>
          <w:spacing w:val="-6"/>
        </w:rPr>
        <w:t xml:space="preserve"> </w:t>
      </w:r>
      <w:r>
        <w:t>the</w:t>
      </w:r>
      <w:r>
        <w:rPr>
          <w:spacing w:val="-4"/>
        </w:rPr>
        <w:t xml:space="preserve"> </w:t>
      </w:r>
      <w:r>
        <w:t>Supreme</w:t>
      </w:r>
      <w:r>
        <w:rPr>
          <w:spacing w:val="-7"/>
        </w:rPr>
        <w:t xml:space="preserve"> </w:t>
      </w:r>
      <w:r>
        <w:t>Court</w:t>
      </w:r>
      <w:r>
        <w:rPr>
          <w:spacing w:val="-6"/>
        </w:rPr>
        <w:t xml:space="preserve"> </w:t>
      </w:r>
      <w:r>
        <w:t>of</w:t>
      </w:r>
      <w:r>
        <w:rPr>
          <w:spacing w:val="-4"/>
        </w:rPr>
        <w:t xml:space="preserve"> </w:t>
      </w:r>
      <w:r>
        <w:t>Tasmania</w:t>
      </w:r>
      <w:r>
        <w:rPr>
          <w:spacing w:val="-7"/>
        </w:rPr>
        <w:t xml:space="preserve"> </w:t>
      </w:r>
      <w:r>
        <w:t>should</w:t>
      </w:r>
      <w:r>
        <w:rPr>
          <w:spacing w:val="-5"/>
        </w:rPr>
        <w:t xml:space="preserve"> </w:t>
      </w:r>
      <w:r>
        <w:t>be</w:t>
      </w:r>
      <w:r>
        <w:rPr>
          <w:spacing w:val="-7"/>
        </w:rPr>
        <w:t xml:space="preserve"> </w:t>
      </w:r>
      <w:r>
        <w:t>able</w:t>
      </w:r>
      <w:r>
        <w:rPr>
          <w:spacing w:val="-7"/>
        </w:rPr>
        <w:t xml:space="preserve"> </w:t>
      </w:r>
      <w:r>
        <w:t>to</w:t>
      </w:r>
      <w:r>
        <w:rPr>
          <w:spacing w:val="-7"/>
        </w:rPr>
        <w:t xml:space="preserve"> </w:t>
      </w:r>
      <w:r>
        <w:t>grant</w:t>
      </w:r>
      <w:r>
        <w:rPr>
          <w:spacing w:val="-6"/>
        </w:rPr>
        <w:t xml:space="preserve"> </w:t>
      </w:r>
      <w:r>
        <w:t>any remedy that is appropriate for breaches of human rights including damages. This should also be extended to TasCAT.</w:t>
      </w:r>
    </w:p>
    <w:p w14:paraId="7CB262C5" w14:textId="77777777" w:rsidR="008A4099" w:rsidRDefault="006A6EE2">
      <w:pPr>
        <w:pStyle w:val="BodyText"/>
        <w:spacing w:before="9"/>
        <w:rPr>
          <w:sz w:val="16"/>
        </w:rPr>
      </w:pPr>
      <w:r>
        <w:rPr>
          <w:noProof/>
        </w:rPr>
        <mc:AlternateContent>
          <mc:Choice Requires="wps">
            <w:drawing>
              <wp:anchor distT="0" distB="0" distL="0" distR="0" simplePos="0" relativeHeight="487637504" behindDoc="1" locked="0" layoutInCell="1" allowOverlap="1" wp14:anchorId="7CB2669B" wp14:editId="7CB2669C">
                <wp:simplePos x="0" y="0"/>
                <wp:positionH relativeFrom="page">
                  <wp:posOffset>917752</wp:posOffset>
                </wp:positionH>
                <wp:positionV relativeFrom="paragraph">
                  <wp:posOffset>138320</wp:posOffset>
                </wp:positionV>
                <wp:extent cx="5727065" cy="101854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18540"/>
                        </a:xfrm>
                        <a:prstGeom prst="rect">
                          <a:avLst/>
                        </a:prstGeom>
                        <a:solidFill>
                          <a:srgbClr val="E8E8E8"/>
                        </a:solidFill>
                      </wps:spPr>
                      <wps:txbx>
                        <w:txbxContent>
                          <w:p w14:paraId="7CB26796" w14:textId="77777777" w:rsidR="008A4099" w:rsidRDefault="006A6EE2">
                            <w:pPr>
                              <w:spacing w:before="219"/>
                              <w:ind w:left="108"/>
                              <w:jc w:val="both"/>
                              <w:rPr>
                                <w:b/>
                                <w:color w:val="000000"/>
                                <w:sz w:val="23"/>
                              </w:rPr>
                            </w:pPr>
                            <w:r>
                              <w:rPr>
                                <w:b/>
                                <w:color w:val="000000"/>
                                <w:sz w:val="23"/>
                              </w:rPr>
                              <w:t>Recommendation</w:t>
                            </w:r>
                            <w:r>
                              <w:rPr>
                                <w:b/>
                                <w:color w:val="000000"/>
                                <w:spacing w:val="-3"/>
                                <w:sz w:val="23"/>
                              </w:rPr>
                              <w:t xml:space="preserve"> </w:t>
                            </w:r>
                            <w:r>
                              <w:rPr>
                                <w:b/>
                                <w:color w:val="000000"/>
                                <w:sz w:val="23"/>
                              </w:rPr>
                              <w:t>16</w:t>
                            </w:r>
                            <w:r>
                              <w:rPr>
                                <w:b/>
                                <w:color w:val="000000"/>
                                <w:spacing w:val="-2"/>
                                <w:sz w:val="23"/>
                              </w:rPr>
                              <w:t xml:space="preserve"> </w:t>
                            </w:r>
                            <w:r>
                              <w:rPr>
                                <w:b/>
                                <w:color w:val="000000"/>
                                <w:sz w:val="23"/>
                              </w:rPr>
                              <w:t>–</w:t>
                            </w:r>
                            <w:r>
                              <w:rPr>
                                <w:b/>
                                <w:color w:val="000000"/>
                                <w:spacing w:val="-2"/>
                                <w:sz w:val="23"/>
                              </w:rPr>
                              <w:t xml:space="preserve"> Remedies</w:t>
                            </w:r>
                          </w:p>
                          <w:p w14:paraId="7CB26797" w14:textId="77777777" w:rsidR="008A4099" w:rsidRDefault="006A6EE2">
                            <w:pPr>
                              <w:pStyle w:val="BodyText"/>
                              <w:spacing w:before="237"/>
                              <w:ind w:left="108" w:right="223"/>
                              <w:jc w:val="both"/>
                              <w:rPr>
                                <w:color w:val="000000"/>
                              </w:rPr>
                            </w:pPr>
                            <w:r>
                              <w:rPr>
                                <w:color w:val="000000"/>
                              </w:rPr>
                              <w:t>That</w:t>
                            </w:r>
                            <w:r>
                              <w:rPr>
                                <w:color w:val="000000"/>
                                <w:spacing w:val="-16"/>
                              </w:rPr>
                              <w:t xml:space="preserve"> </w:t>
                            </w:r>
                            <w:r>
                              <w:rPr>
                                <w:color w:val="000000"/>
                              </w:rPr>
                              <w:t>the</w:t>
                            </w:r>
                            <w:r>
                              <w:rPr>
                                <w:color w:val="000000"/>
                                <w:spacing w:val="-14"/>
                              </w:rPr>
                              <w:t xml:space="preserve"> </w:t>
                            </w:r>
                            <w:r>
                              <w:rPr>
                                <w:color w:val="000000"/>
                              </w:rPr>
                              <w:t>Supreme</w:t>
                            </w:r>
                            <w:r>
                              <w:rPr>
                                <w:color w:val="000000"/>
                                <w:spacing w:val="-14"/>
                              </w:rPr>
                              <w:t xml:space="preserve"> </w:t>
                            </w:r>
                            <w:r>
                              <w:rPr>
                                <w:color w:val="000000"/>
                              </w:rPr>
                              <w:t>Court</w:t>
                            </w:r>
                            <w:r>
                              <w:rPr>
                                <w:color w:val="000000"/>
                                <w:spacing w:val="-13"/>
                              </w:rPr>
                              <w:t xml:space="preserve"> </w:t>
                            </w:r>
                            <w:r>
                              <w:rPr>
                                <w:color w:val="000000"/>
                              </w:rPr>
                              <w:t>of</w:t>
                            </w:r>
                            <w:r>
                              <w:rPr>
                                <w:color w:val="000000"/>
                                <w:spacing w:val="-14"/>
                              </w:rPr>
                              <w:t xml:space="preserve"> </w:t>
                            </w:r>
                            <w:r>
                              <w:rPr>
                                <w:color w:val="000000"/>
                              </w:rPr>
                              <w:t>Tasmania</w:t>
                            </w:r>
                            <w:r>
                              <w:rPr>
                                <w:color w:val="000000"/>
                                <w:spacing w:val="-14"/>
                              </w:rPr>
                              <w:t xml:space="preserve"> </w:t>
                            </w:r>
                            <w:r>
                              <w:rPr>
                                <w:color w:val="000000"/>
                              </w:rPr>
                              <w:t>and</w:t>
                            </w:r>
                            <w:r>
                              <w:rPr>
                                <w:color w:val="000000"/>
                                <w:spacing w:val="-14"/>
                              </w:rPr>
                              <w:t xml:space="preserve"> </w:t>
                            </w:r>
                            <w:r>
                              <w:rPr>
                                <w:color w:val="000000"/>
                              </w:rPr>
                              <w:t>Tasmanian</w:t>
                            </w:r>
                            <w:r>
                              <w:rPr>
                                <w:color w:val="000000"/>
                                <w:spacing w:val="-13"/>
                              </w:rPr>
                              <w:t xml:space="preserve"> </w:t>
                            </w:r>
                            <w:r>
                              <w:rPr>
                                <w:color w:val="000000"/>
                              </w:rPr>
                              <w:t>Civil</w:t>
                            </w:r>
                            <w:r>
                              <w:rPr>
                                <w:color w:val="000000"/>
                                <w:spacing w:val="-14"/>
                              </w:rPr>
                              <w:t xml:space="preserve"> </w:t>
                            </w:r>
                            <w:r>
                              <w:rPr>
                                <w:color w:val="000000"/>
                              </w:rPr>
                              <w:t>and</w:t>
                            </w:r>
                            <w:r>
                              <w:rPr>
                                <w:color w:val="000000"/>
                                <w:spacing w:val="-14"/>
                              </w:rPr>
                              <w:t xml:space="preserve"> </w:t>
                            </w:r>
                            <w:r>
                              <w:rPr>
                                <w:color w:val="000000"/>
                              </w:rPr>
                              <w:t>Administrative</w:t>
                            </w:r>
                            <w:r>
                              <w:rPr>
                                <w:color w:val="000000"/>
                                <w:spacing w:val="-14"/>
                              </w:rPr>
                              <w:t xml:space="preserve"> </w:t>
                            </w:r>
                            <w:r>
                              <w:rPr>
                                <w:color w:val="000000"/>
                              </w:rPr>
                              <w:t>Tribunal</w:t>
                            </w:r>
                            <w:r>
                              <w:rPr>
                                <w:color w:val="000000"/>
                                <w:spacing w:val="-13"/>
                              </w:rPr>
                              <w:t xml:space="preserve"> </w:t>
                            </w:r>
                            <w:r>
                              <w:rPr>
                                <w:color w:val="000000"/>
                              </w:rPr>
                              <w:t>(‘TasCAT’) be able</w:t>
                            </w:r>
                            <w:r>
                              <w:rPr>
                                <w:color w:val="000000"/>
                                <w:spacing w:val="-1"/>
                              </w:rPr>
                              <w:t xml:space="preserve"> </w:t>
                            </w:r>
                            <w:r>
                              <w:rPr>
                                <w:color w:val="000000"/>
                              </w:rPr>
                              <w:t>to grant any</w:t>
                            </w:r>
                            <w:r>
                              <w:rPr>
                                <w:color w:val="000000"/>
                                <w:spacing w:val="-1"/>
                              </w:rPr>
                              <w:t xml:space="preserve"> </w:t>
                            </w:r>
                            <w:r>
                              <w:rPr>
                                <w:color w:val="000000"/>
                              </w:rPr>
                              <w:t>remedy or relief or make such order that is appropriate for breaches of human rights, including damages.</w:t>
                            </w:r>
                          </w:p>
                        </w:txbxContent>
                      </wps:txbx>
                      <wps:bodyPr wrap="square" lIns="0" tIns="0" rIns="0" bIns="0" rtlCol="0">
                        <a:noAutofit/>
                      </wps:bodyPr>
                    </wps:wsp>
                  </a:graphicData>
                </a:graphic>
              </wp:anchor>
            </w:drawing>
          </mc:Choice>
          <mc:Fallback>
            <w:pict>
              <v:shape w14:anchorId="7CB2669B" id="Textbox 145" o:spid="_x0000_s1042" type="#_x0000_t202" style="position:absolute;margin-left:72.25pt;margin-top:10.9pt;width:450.95pt;height:80.2pt;z-index:-1567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" fillcolor="#e8e8e8" stroked="f">
                <v:textbox inset="0,0,0,0">
                  <w:txbxContent>
                    <w:p w14:paraId="7CB26796" w14:textId="77777777" w:rsidR="008A4099" w:rsidRDefault="006A6EE2">
                      <w:pPr>
                        <w:spacing w:before="219"/>
                        <w:ind w:left="108"/>
                        <w:jc w:val="both"/>
                        <w:rPr>
                          <w:b/>
                          <w:color w:val="000000"/>
                          <w:sz w:val="23"/>
                        </w:rPr>
                      </w:pPr>
                      <w:r>
                        <w:rPr>
                          <w:b/>
                          <w:color w:val="000000"/>
                          <w:sz w:val="23"/>
                        </w:rPr>
                        <w:t>Recommendation</w:t>
                      </w:r>
                      <w:r>
                        <w:rPr>
                          <w:b/>
                          <w:color w:val="000000"/>
                          <w:spacing w:val="-3"/>
                          <w:sz w:val="23"/>
                        </w:rPr>
                        <w:t xml:space="preserve"> </w:t>
                      </w:r>
                      <w:r>
                        <w:rPr>
                          <w:b/>
                          <w:color w:val="000000"/>
                          <w:sz w:val="23"/>
                        </w:rPr>
                        <w:t>16</w:t>
                      </w:r>
                      <w:r>
                        <w:rPr>
                          <w:b/>
                          <w:color w:val="000000"/>
                          <w:spacing w:val="-2"/>
                          <w:sz w:val="23"/>
                        </w:rPr>
                        <w:t xml:space="preserve"> </w:t>
                      </w:r>
                      <w:r>
                        <w:rPr>
                          <w:b/>
                          <w:color w:val="000000"/>
                          <w:sz w:val="23"/>
                        </w:rPr>
                        <w:t>–</w:t>
                      </w:r>
                      <w:r>
                        <w:rPr>
                          <w:b/>
                          <w:color w:val="000000"/>
                          <w:spacing w:val="-2"/>
                          <w:sz w:val="23"/>
                        </w:rPr>
                        <w:t xml:space="preserve"> Remedies</w:t>
                      </w:r>
                    </w:p>
                    <w:p w14:paraId="7CB26797" w14:textId="77777777" w:rsidR="008A4099" w:rsidRDefault="006A6EE2">
                      <w:pPr>
                        <w:pStyle w:val="BodyText"/>
                        <w:spacing w:before="237"/>
                        <w:ind w:left="108" w:right="223"/>
                        <w:jc w:val="both"/>
                        <w:rPr>
                          <w:color w:val="000000"/>
                        </w:rPr>
                      </w:pPr>
                      <w:r>
                        <w:rPr>
                          <w:color w:val="000000"/>
                        </w:rPr>
                        <w:t>That</w:t>
                      </w:r>
                      <w:r>
                        <w:rPr>
                          <w:color w:val="000000"/>
                          <w:spacing w:val="-16"/>
                        </w:rPr>
                        <w:t xml:space="preserve"> </w:t>
                      </w:r>
                      <w:r>
                        <w:rPr>
                          <w:color w:val="000000"/>
                        </w:rPr>
                        <w:t>the</w:t>
                      </w:r>
                      <w:r>
                        <w:rPr>
                          <w:color w:val="000000"/>
                          <w:spacing w:val="-14"/>
                        </w:rPr>
                        <w:t xml:space="preserve"> </w:t>
                      </w:r>
                      <w:r>
                        <w:rPr>
                          <w:color w:val="000000"/>
                        </w:rPr>
                        <w:t>Supreme</w:t>
                      </w:r>
                      <w:r>
                        <w:rPr>
                          <w:color w:val="000000"/>
                          <w:spacing w:val="-14"/>
                        </w:rPr>
                        <w:t xml:space="preserve"> </w:t>
                      </w:r>
                      <w:r>
                        <w:rPr>
                          <w:color w:val="000000"/>
                        </w:rPr>
                        <w:t>Court</w:t>
                      </w:r>
                      <w:r>
                        <w:rPr>
                          <w:color w:val="000000"/>
                          <w:spacing w:val="-13"/>
                        </w:rPr>
                        <w:t xml:space="preserve"> </w:t>
                      </w:r>
                      <w:r>
                        <w:rPr>
                          <w:color w:val="000000"/>
                        </w:rPr>
                        <w:t>of</w:t>
                      </w:r>
                      <w:r>
                        <w:rPr>
                          <w:color w:val="000000"/>
                          <w:spacing w:val="-14"/>
                        </w:rPr>
                        <w:t xml:space="preserve"> </w:t>
                      </w:r>
                      <w:r>
                        <w:rPr>
                          <w:color w:val="000000"/>
                        </w:rPr>
                        <w:t>Tasmania</w:t>
                      </w:r>
                      <w:r>
                        <w:rPr>
                          <w:color w:val="000000"/>
                          <w:spacing w:val="-14"/>
                        </w:rPr>
                        <w:t xml:space="preserve"> </w:t>
                      </w:r>
                      <w:r>
                        <w:rPr>
                          <w:color w:val="000000"/>
                        </w:rPr>
                        <w:t>and</w:t>
                      </w:r>
                      <w:r>
                        <w:rPr>
                          <w:color w:val="000000"/>
                          <w:spacing w:val="-14"/>
                        </w:rPr>
                        <w:t xml:space="preserve"> </w:t>
                      </w:r>
                      <w:r>
                        <w:rPr>
                          <w:color w:val="000000"/>
                        </w:rPr>
                        <w:t>Tasmanian</w:t>
                      </w:r>
                      <w:r>
                        <w:rPr>
                          <w:color w:val="000000"/>
                          <w:spacing w:val="-13"/>
                        </w:rPr>
                        <w:t xml:space="preserve"> </w:t>
                      </w:r>
                      <w:r>
                        <w:rPr>
                          <w:color w:val="000000"/>
                        </w:rPr>
                        <w:t>Civil</w:t>
                      </w:r>
                      <w:r>
                        <w:rPr>
                          <w:color w:val="000000"/>
                          <w:spacing w:val="-14"/>
                        </w:rPr>
                        <w:t xml:space="preserve"> </w:t>
                      </w:r>
                      <w:r>
                        <w:rPr>
                          <w:color w:val="000000"/>
                        </w:rPr>
                        <w:t>and</w:t>
                      </w:r>
                      <w:r>
                        <w:rPr>
                          <w:color w:val="000000"/>
                          <w:spacing w:val="-14"/>
                        </w:rPr>
                        <w:t xml:space="preserve"> </w:t>
                      </w:r>
                      <w:r>
                        <w:rPr>
                          <w:color w:val="000000"/>
                        </w:rPr>
                        <w:t>Administrative</w:t>
                      </w:r>
                      <w:r>
                        <w:rPr>
                          <w:color w:val="000000"/>
                          <w:spacing w:val="-14"/>
                        </w:rPr>
                        <w:t xml:space="preserve"> </w:t>
                      </w:r>
                      <w:r>
                        <w:rPr>
                          <w:color w:val="000000"/>
                        </w:rPr>
                        <w:t>Tribunal</w:t>
                      </w:r>
                      <w:r>
                        <w:rPr>
                          <w:color w:val="000000"/>
                          <w:spacing w:val="-13"/>
                        </w:rPr>
                        <w:t xml:space="preserve"> </w:t>
                      </w:r>
                      <w:r>
                        <w:rPr>
                          <w:color w:val="000000"/>
                        </w:rPr>
                        <w:t>(‘TasCAT’) be able</w:t>
                      </w:r>
                      <w:r>
                        <w:rPr>
                          <w:color w:val="000000"/>
                          <w:spacing w:val="-1"/>
                        </w:rPr>
                        <w:t xml:space="preserve"> </w:t>
                      </w:r>
                      <w:r>
                        <w:rPr>
                          <w:color w:val="000000"/>
                        </w:rPr>
                        <w:t>to grant any</w:t>
                      </w:r>
                      <w:r>
                        <w:rPr>
                          <w:color w:val="000000"/>
                          <w:spacing w:val="-1"/>
                        </w:rPr>
                        <w:t xml:space="preserve"> </w:t>
                      </w:r>
                      <w:r>
                        <w:rPr>
                          <w:color w:val="000000"/>
                        </w:rPr>
                        <w:t>remedy or relief or make such order that is appropriate for breaches of human rights, including damages.</w:t>
                      </w:r>
                    </w:p>
                  </w:txbxContent>
                </v:textbox>
                <w10:wrap type="topAndBottom" anchorx="page"/>
              </v:shape>
            </w:pict>
          </mc:Fallback>
        </mc:AlternateContent>
      </w:r>
    </w:p>
    <w:p w14:paraId="7CB262C6" w14:textId="77777777" w:rsidR="008A4099" w:rsidRDefault="008A4099">
      <w:pPr>
        <w:pStyle w:val="BodyText"/>
        <w:spacing w:before="271"/>
        <w:rPr>
          <w:sz w:val="32"/>
        </w:rPr>
      </w:pPr>
    </w:p>
    <w:p w14:paraId="7CB262C7" w14:textId="77777777" w:rsidR="008A4099" w:rsidRDefault="006A6EE2">
      <w:pPr>
        <w:pStyle w:val="Heading2"/>
        <w:numPr>
          <w:ilvl w:val="1"/>
          <w:numId w:val="3"/>
        </w:numPr>
        <w:tabs>
          <w:tab w:val="left" w:pos="878"/>
        </w:tabs>
        <w:ind w:left="878" w:hanging="718"/>
        <w:jc w:val="both"/>
      </w:pPr>
      <w:bookmarkStart w:id="53" w:name="_TOC_250007"/>
      <w:r>
        <w:t>Establishment</w:t>
      </w:r>
      <w:r>
        <w:rPr>
          <w:spacing w:val="-9"/>
        </w:rPr>
        <w:t xml:space="preserve"> </w:t>
      </w:r>
      <w:r>
        <w:t>and</w:t>
      </w:r>
      <w:r>
        <w:rPr>
          <w:spacing w:val="-8"/>
        </w:rPr>
        <w:t xml:space="preserve"> </w:t>
      </w:r>
      <w:r>
        <w:t>Role</w:t>
      </w:r>
      <w:r>
        <w:rPr>
          <w:spacing w:val="-8"/>
        </w:rPr>
        <w:t xml:space="preserve"> </w:t>
      </w:r>
      <w:r>
        <w:t>of</w:t>
      </w:r>
      <w:r>
        <w:rPr>
          <w:spacing w:val="-7"/>
        </w:rPr>
        <w:t xml:space="preserve"> </w:t>
      </w:r>
      <w:r>
        <w:t>the</w:t>
      </w:r>
      <w:r>
        <w:rPr>
          <w:spacing w:val="-6"/>
        </w:rPr>
        <w:t xml:space="preserve"> </w:t>
      </w:r>
      <w:bookmarkEnd w:id="53"/>
      <w:r>
        <w:rPr>
          <w:spacing w:val="-2"/>
        </w:rPr>
        <w:t>Commission</w:t>
      </w:r>
    </w:p>
    <w:p w14:paraId="7CB262C8" w14:textId="77777777" w:rsidR="008A4099" w:rsidRDefault="006A6EE2">
      <w:pPr>
        <w:pStyle w:val="Heading4"/>
        <w:spacing w:before="238"/>
      </w:pPr>
      <w:bookmarkStart w:id="54" w:name="_TOC_250006"/>
      <w:bookmarkEnd w:id="54"/>
      <w:r>
        <w:rPr>
          <w:spacing w:val="-2"/>
        </w:rPr>
        <w:t>Establishment</w:t>
      </w:r>
    </w:p>
    <w:p w14:paraId="7CB262C9" w14:textId="77777777" w:rsidR="008A4099" w:rsidRDefault="008A4099">
      <w:pPr>
        <w:pStyle w:val="BodyText"/>
        <w:spacing w:before="15"/>
        <w:rPr>
          <w:b/>
          <w:i/>
          <w:sz w:val="23"/>
        </w:rPr>
      </w:pPr>
    </w:p>
    <w:p w14:paraId="7CB262CA" w14:textId="77777777" w:rsidR="008A4099" w:rsidRDefault="006A6EE2">
      <w:pPr>
        <w:pStyle w:val="Heading3"/>
      </w:pPr>
      <w:r>
        <w:t>2007</w:t>
      </w:r>
      <w:r>
        <w:rPr>
          <w:spacing w:val="-3"/>
        </w:rPr>
        <w:t xml:space="preserve"> </w:t>
      </w:r>
      <w:r>
        <w:t>Final</w:t>
      </w:r>
      <w:r>
        <w:rPr>
          <w:spacing w:val="-5"/>
        </w:rPr>
        <w:t xml:space="preserve"> </w:t>
      </w:r>
      <w:r>
        <w:t>report</w:t>
      </w:r>
      <w:r>
        <w:rPr>
          <w:spacing w:val="-2"/>
        </w:rPr>
        <w:t xml:space="preserve"> </w:t>
      </w:r>
      <w:r>
        <w:t>and</w:t>
      </w:r>
      <w:r>
        <w:rPr>
          <w:spacing w:val="-4"/>
        </w:rPr>
        <w:t xml:space="preserve"> </w:t>
      </w:r>
      <w:r>
        <w:t>subsequent</w:t>
      </w:r>
      <w:r>
        <w:rPr>
          <w:spacing w:val="-2"/>
        </w:rPr>
        <w:t xml:space="preserve"> developments</w:t>
      </w:r>
    </w:p>
    <w:p w14:paraId="7CB262CB" w14:textId="77777777" w:rsidR="008A4099" w:rsidRDefault="006A6EE2">
      <w:pPr>
        <w:pStyle w:val="ListParagraph"/>
        <w:numPr>
          <w:ilvl w:val="2"/>
          <w:numId w:val="3"/>
        </w:numPr>
        <w:tabs>
          <w:tab w:val="left" w:pos="879"/>
        </w:tabs>
        <w:spacing w:before="262"/>
        <w:ind w:right="676" w:firstLine="0"/>
        <w:jc w:val="both"/>
      </w:pPr>
      <w:r>
        <w:t>In</w:t>
      </w:r>
      <w:r>
        <w:rPr>
          <w:spacing w:val="-7"/>
        </w:rPr>
        <w:t xml:space="preserve"> </w:t>
      </w:r>
      <w:r>
        <w:t>the</w:t>
      </w:r>
      <w:r>
        <w:rPr>
          <w:spacing w:val="-7"/>
        </w:rPr>
        <w:t xml:space="preserve"> </w:t>
      </w:r>
      <w:r>
        <w:t>2007</w:t>
      </w:r>
      <w:r>
        <w:rPr>
          <w:spacing w:val="-7"/>
        </w:rPr>
        <w:t xml:space="preserve"> </w:t>
      </w:r>
      <w:r>
        <w:t>Final</w:t>
      </w:r>
      <w:r>
        <w:rPr>
          <w:spacing w:val="-8"/>
        </w:rPr>
        <w:t xml:space="preserve"> </w:t>
      </w:r>
      <w:r>
        <w:t>Report,</w:t>
      </w:r>
      <w:r>
        <w:rPr>
          <w:spacing w:val="-10"/>
        </w:rPr>
        <w:t xml:space="preserve"> </w:t>
      </w:r>
      <w:r>
        <w:t>the</w:t>
      </w:r>
      <w:r>
        <w:rPr>
          <w:spacing w:val="-7"/>
        </w:rPr>
        <w:t xml:space="preserve"> </w:t>
      </w:r>
      <w:r>
        <w:t>TLRI</w:t>
      </w:r>
      <w:r>
        <w:rPr>
          <w:spacing w:val="-9"/>
        </w:rPr>
        <w:t xml:space="preserve"> </w:t>
      </w:r>
      <w:r>
        <w:t>gave</w:t>
      </w:r>
      <w:r>
        <w:rPr>
          <w:spacing w:val="-7"/>
        </w:rPr>
        <w:t xml:space="preserve"> </w:t>
      </w:r>
      <w:r>
        <w:t>consideration</w:t>
      </w:r>
      <w:r>
        <w:rPr>
          <w:spacing w:val="-10"/>
        </w:rPr>
        <w:t xml:space="preserve"> </w:t>
      </w:r>
      <w:r>
        <w:t>to</w:t>
      </w:r>
      <w:r>
        <w:rPr>
          <w:spacing w:val="-7"/>
        </w:rPr>
        <w:t xml:space="preserve"> </w:t>
      </w:r>
      <w:r>
        <w:t>establishing</w:t>
      </w:r>
      <w:r>
        <w:rPr>
          <w:spacing w:val="-9"/>
        </w:rPr>
        <w:t xml:space="preserve"> </w:t>
      </w:r>
      <w:r>
        <w:t>an</w:t>
      </w:r>
      <w:r>
        <w:rPr>
          <w:spacing w:val="-9"/>
        </w:rPr>
        <w:t xml:space="preserve"> </w:t>
      </w:r>
      <w:r>
        <w:t>independent</w:t>
      </w:r>
      <w:r>
        <w:rPr>
          <w:spacing w:val="-6"/>
        </w:rPr>
        <w:t xml:space="preserve"> </w:t>
      </w:r>
      <w:r>
        <w:t>Office</w:t>
      </w:r>
      <w:r>
        <w:rPr>
          <w:spacing w:val="-7"/>
        </w:rPr>
        <w:t xml:space="preserve"> </w:t>
      </w:r>
      <w:r>
        <w:t>of a Human Rights Commissioner.</w:t>
      </w:r>
      <w:r>
        <w:rPr>
          <w:position w:val="7"/>
          <w:sz w:val="13"/>
        </w:rPr>
        <w:t>508</w:t>
      </w:r>
      <w:r>
        <w:rPr>
          <w:spacing w:val="40"/>
          <w:position w:val="7"/>
          <w:sz w:val="13"/>
        </w:rPr>
        <w:t xml:space="preserve"> </w:t>
      </w:r>
      <w:r>
        <w:t>The TLRI’s view was that the role of the Human Rights Commissioner should be separate from the role of the Anti-Discrimination Commissioner and so a separate office should be created.</w:t>
      </w:r>
    </w:p>
    <w:p w14:paraId="7CB262CC" w14:textId="77777777" w:rsidR="008A4099" w:rsidRDefault="006A6EE2">
      <w:pPr>
        <w:pStyle w:val="ListParagraph"/>
        <w:numPr>
          <w:ilvl w:val="2"/>
          <w:numId w:val="3"/>
        </w:numPr>
        <w:tabs>
          <w:tab w:val="left" w:pos="879"/>
        </w:tabs>
        <w:spacing w:before="215"/>
        <w:ind w:right="675" w:firstLine="0"/>
        <w:jc w:val="both"/>
        <w:rPr>
          <w:sz w:val="13"/>
        </w:rPr>
      </w:pPr>
      <w:r>
        <w:t>In other jurisdictions with human rights enactment, similar independent human rights bodies have been created with responsibility for reviewing legislation and statements of compatibility, inquiring into alleged breaches of human rights, conducting educational programs, reviewing the operation of human rights instruments, and advising on policy relating to human rights. As noted, a human rights commissioner has been valuable in shaping policy and legislation from pre-enactment human</w:t>
      </w:r>
      <w:r>
        <w:rPr>
          <w:spacing w:val="-13"/>
        </w:rPr>
        <w:t xml:space="preserve"> </w:t>
      </w:r>
      <w:r>
        <w:t>rights</w:t>
      </w:r>
      <w:r>
        <w:rPr>
          <w:spacing w:val="-10"/>
        </w:rPr>
        <w:t xml:space="preserve"> </w:t>
      </w:r>
      <w:r>
        <w:t>scrutiny</w:t>
      </w:r>
      <w:r>
        <w:rPr>
          <w:spacing w:val="-13"/>
        </w:rPr>
        <w:t xml:space="preserve"> </w:t>
      </w:r>
      <w:r>
        <w:t>of</w:t>
      </w:r>
      <w:r>
        <w:rPr>
          <w:spacing w:val="-13"/>
        </w:rPr>
        <w:t xml:space="preserve"> </w:t>
      </w:r>
      <w:r>
        <w:t>legislation,</w:t>
      </w:r>
      <w:r>
        <w:rPr>
          <w:spacing w:val="-13"/>
        </w:rPr>
        <w:t xml:space="preserve"> </w:t>
      </w:r>
      <w:r>
        <w:t>the</w:t>
      </w:r>
      <w:r>
        <w:rPr>
          <w:spacing w:val="-13"/>
        </w:rPr>
        <w:t xml:space="preserve"> </w:t>
      </w:r>
      <w:r>
        <w:t>informal</w:t>
      </w:r>
      <w:r>
        <w:rPr>
          <w:spacing w:val="-10"/>
        </w:rPr>
        <w:t xml:space="preserve"> </w:t>
      </w:r>
      <w:r>
        <w:t>role</w:t>
      </w:r>
      <w:r>
        <w:rPr>
          <w:spacing w:val="-13"/>
        </w:rPr>
        <w:t xml:space="preserve"> </w:t>
      </w:r>
      <w:r>
        <w:t>in</w:t>
      </w:r>
      <w:r>
        <w:rPr>
          <w:spacing w:val="-13"/>
        </w:rPr>
        <w:t xml:space="preserve"> </w:t>
      </w:r>
      <w:r>
        <w:t>pre-legislative</w:t>
      </w:r>
      <w:r>
        <w:rPr>
          <w:spacing w:val="-11"/>
        </w:rPr>
        <w:t xml:space="preserve"> </w:t>
      </w:r>
      <w:r>
        <w:t>human</w:t>
      </w:r>
      <w:r>
        <w:rPr>
          <w:spacing w:val="-13"/>
        </w:rPr>
        <w:t xml:space="preserve"> </w:t>
      </w:r>
      <w:r>
        <w:t>rights</w:t>
      </w:r>
      <w:r>
        <w:rPr>
          <w:spacing w:val="-10"/>
        </w:rPr>
        <w:t xml:space="preserve"> </w:t>
      </w:r>
      <w:r>
        <w:t>scrutiny</w:t>
      </w:r>
      <w:r>
        <w:rPr>
          <w:spacing w:val="-11"/>
        </w:rPr>
        <w:t xml:space="preserve"> </w:t>
      </w:r>
      <w:r>
        <w:t>of</w:t>
      </w:r>
      <w:r>
        <w:rPr>
          <w:spacing w:val="-10"/>
        </w:rPr>
        <w:t xml:space="preserve"> </w:t>
      </w:r>
      <w:r>
        <w:t>cabinet submissions and undertaking consultations, dialogue with the legislature by consulting on private members’ Bills, and engaging in dialogue with the courts by intervening in proceedings.</w:t>
      </w:r>
      <w:r>
        <w:rPr>
          <w:position w:val="7"/>
          <w:sz w:val="13"/>
        </w:rPr>
        <w:t>509</w:t>
      </w:r>
    </w:p>
    <w:p w14:paraId="7CB262CD" w14:textId="77777777" w:rsidR="008A4099" w:rsidRDefault="008A4099">
      <w:pPr>
        <w:pStyle w:val="BodyText"/>
        <w:rPr>
          <w:sz w:val="20"/>
        </w:rPr>
      </w:pPr>
    </w:p>
    <w:p w14:paraId="7CB262CE" w14:textId="77777777" w:rsidR="008A4099" w:rsidRDefault="008A4099">
      <w:pPr>
        <w:pStyle w:val="BodyText"/>
        <w:rPr>
          <w:sz w:val="20"/>
        </w:rPr>
      </w:pPr>
    </w:p>
    <w:p w14:paraId="7CB262CF" w14:textId="77777777" w:rsidR="008A4099" w:rsidRDefault="006A6EE2">
      <w:pPr>
        <w:pStyle w:val="BodyText"/>
        <w:spacing w:before="34"/>
        <w:rPr>
          <w:sz w:val="20"/>
        </w:rPr>
      </w:pPr>
      <w:r>
        <w:rPr>
          <w:noProof/>
        </w:rPr>
        <mc:AlternateContent>
          <mc:Choice Requires="wps">
            <w:drawing>
              <wp:anchor distT="0" distB="0" distL="0" distR="0" simplePos="0" relativeHeight="487638016" behindDoc="1" locked="0" layoutInCell="1" allowOverlap="1" wp14:anchorId="7CB2669D" wp14:editId="7CB2669E">
                <wp:simplePos x="0" y="0"/>
                <wp:positionH relativeFrom="page">
                  <wp:posOffset>914704</wp:posOffset>
                </wp:positionH>
                <wp:positionV relativeFrom="paragraph">
                  <wp:posOffset>183470</wp:posOffset>
                </wp:positionV>
                <wp:extent cx="1829435" cy="7620"/>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77BED0" id="Graphic 146" o:spid="_x0000_s1026" style="position:absolute;margin-left:1in;margin-top:14.45pt;width:144.05pt;height:.6pt;z-index:-156784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" path="m1829054,l,,,7620r1829054,l1829054,xe" fillcolor="black" stroked="f">
                <v:path arrowok="t"/>
                <w10:wrap type="topAndBottom" anchorx="page"/>
              </v:shape>
            </w:pict>
          </mc:Fallback>
        </mc:AlternateContent>
      </w:r>
    </w:p>
    <w:p w14:paraId="7CB262D0" w14:textId="77777777" w:rsidR="008A4099" w:rsidRDefault="006A6EE2">
      <w:pPr>
        <w:spacing w:before="112"/>
        <w:ind w:left="160"/>
        <w:rPr>
          <w:sz w:val="18"/>
        </w:rPr>
      </w:pPr>
      <w:r>
        <w:rPr>
          <w:sz w:val="18"/>
          <w:vertAlign w:val="superscript"/>
        </w:rPr>
        <w:t>505</w:t>
      </w:r>
      <w:r>
        <w:rPr>
          <w:sz w:val="18"/>
        </w:rPr>
        <w:t xml:space="preserve"> Brett</w:t>
      </w:r>
      <w:r>
        <w:rPr>
          <w:spacing w:val="1"/>
          <w:sz w:val="18"/>
        </w:rPr>
        <w:t xml:space="preserve"> </w:t>
      </w:r>
      <w:r>
        <w:rPr>
          <w:sz w:val="18"/>
        </w:rPr>
        <w:t>Young,</w:t>
      </w:r>
      <w:r>
        <w:rPr>
          <w:spacing w:val="1"/>
          <w:sz w:val="18"/>
        </w:rPr>
        <w:t xml:space="preserve"> </w:t>
      </w:r>
      <w:r>
        <w:rPr>
          <w:i/>
          <w:sz w:val="18"/>
        </w:rPr>
        <w:t>From</w:t>
      </w:r>
      <w:r>
        <w:rPr>
          <w:i/>
          <w:spacing w:val="1"/>
          <w:sz w:val="18"/>
        </w:rPr>
        <w:t xml:space="preserve"> </w:t>
      </w:r>
      <w:r>
        <w:rPr>
          <w:i/>
          <w:sz w:val="18"/>
        </w:rPr>
        <w:t>Commitment</w:t>
      </w:r>
      <w:r>
        <w:rPr>
          <w:i/>
          <w:spacing w:val="-1"/>
          <w:sz w:val="18"/>
        </w:rPr>
        <w:t xml:space="preserve"> </w:t>
      </w:r>
      <w:r>
        <w:rPr>
          <w:i/>
          <w:sz w:val="18"/>
        </w:rPr>
        <w:t>to</w:t>
      </w:r>
      <w:r>
        <w:rPr>
          <w:i/>
          <w:spacing w:val="1"/>
          <w:sz w:val="18"/>
        </w:rPr>
        <w:t xml:space="preserve"> </w:t>
      </w:r>
      <w:r>
        <w:rPr>
          <w:i/>
          <w:sz w:val="18"/>
        </w:rPr>
        <w:t>Culture</w:t>
      </w:r>
      <w:r>
        <w:rPr>
          <w:i/>
          <w:spacing w:val="2"/>
          <w:sz w:val="18"/>
        </w:rPr>
        <w:t xml:space="preserve"> </w:t>
      </w:r>
      <w:r>
        <w:rPr>
          <w:spacing w:val="-4"/>
          <w:sz w:val="18"/>
        </w:rPr>
        <w:t>131.</w:t>
      </w:r>
    </w:p>
    <w:p w14:paraId="7CB262D1" w14:textId="77777777" w:rsidR="008A4099" w:rsidRDefault="006A6EE2">
      <w:pPr>
        <w:spacing w:before="24"/>
        <w:ind w:left="160"/>
        <w:rPr>
          <w:sz w:val="18"/>
        </w:rPr>
      </w:pPr>
      <w:r>
        <w:rPr>
          <w:sz w:val="18"/>
          <w:vertAlign w:val="superscript"/>
        </w:rPr>
        <w:t>506</w:t>
      </w:r>
      <w:r>
        <w:rPr>
          <w:spacing w:val="6"/>
          <w:sz w:val="18"/>
        </w:rPr>
        <w:t xml:space="preserve"> </w:t>
      </w:r>
      <w:r>
        <w:rPr>
          <w:sz w:val="18"/>
        </w:rPr>
        <w:t>Ibid</w:t>
      </w:r>
      <w:r>
        <w:rPr>
          <w:spacing w:val="6"/>
          <w:sz w:val="18"/>
        </w:rPr>
        <w:t xml:space="preserve"> </w:t>
      </w:r>
      <w:r>
        <w:rPr>
          <w:spacing w:val="-4"/>
          <w:sz w:val="18"/>
        </w:rPr>
        <w:t>130.</w:t>
      </w:r>
    </w:p>
    <w:p w14:paraId="7CB262D2" w14:textId="77777777" w:rsidR="008A4099" w:rsidRDefault="006A6EE2">
      <w:pPr>
        <w:spacing w:before="23"/>
        <w:ind w:left="160"/>
        <w:rPr>
          <w:sz w:val="18"/>
        </w:rPr>
      </w:pPr>
      <w:r>
        <w:rPr>
          <w:sz w:val="18"/>
          <w:vertAlign w:val="superscript"/>
        </w:rPr>
        <w:t>507</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19.</w:t>
      </w:r>
    </w:p>
    <w:p w14:paraId="7CB262D3" w14:textId="77777777" w:rsidR="008A4099" w:rsidRDefault="006A6EE2">
      <w:pPr>
        <w:spacing w:before="24"/>
        <w:ind w:left="160"/>
        <w:rPr>
          <w:sz w:val="18"/>
        </w:rPr>
      </w:pPr>
      <w:r>
        <w:rPr>
          <w:sz w:val="18"/>
          <w:vertAlign w:val="superscript"/>
        </w:rPr>
        <w:t>508</w:t>
      </w:r>
      <w:r>
        <w:rPr>
          <w:spacing w:val="3"/>
          <w:sz w:val="18"/>
        </w:rPr>
        <w:t xml:space="preserve"> </w:t>
      </w:r>
      <w:r>
        <w:rPr>
          <w:sz w:val="18"/>
        </w:rPr>
        <w:t>See</w:t>
      </w:r>
      <w:r>
        <w:rPr>
          <w:spacing w:val="2"/>
          <w:sz w:val="18"/>
        </w:rPr>
        <w:t xml:space="preserve"> </w:t>
      </w:r>
      <w:r>
        <w:rPr>
          <w:sz w:val="18"/>
        </w:rPr>
        <w:t>ibid</w:t>
      </w:r>
      <w:r>
        <w:rPr>
          <w:spacing w:val="5"/>
          <w:sz w:val="18"/>
        </w:rPr>
        <w:t xml:space="preserve"> </w:t>
      </w:r>
      <w:r>
        <w:rPr>
          <w:spacing w:val="-2"/>
          <w:sz w:val="18"/>
        </w:rPr>
        <w:t>[4.20.12]–[4.20.20].</w:t>
      </w:r>
    </w:p>
    <w:p w14:paraId="7CB262D4" w14:textId="77777777" w:rsidR="008A4099" w:rsidRDefault="006A6EE2">
      <w:pPr>
        <w:spacing w:before="23" w:line="244" w:lineRule="auto"/>
        <w:ind w:left="160" w:right="680"/>
        <w:rPr>
          <w:sz w:val="18"/>
        </w:rPr>
      </w:pPr>
      <w:r>
        <w:rPr>
          <w:sz w:val="18"/>
          <w:vertAlign w:val="superscript"/>
        </w:rPr>
        <w:t>509</w:t>
      </w:r>
      <w:r>
        <w:rPr>
          <w:spacing w:val="-1"/>
          <w:sz w:val="18"/>
        </w:rPr>
        <w:t xml:space="preserve"> </w:t>
      </w:r>
      <w:r>
        <w:rPr>
          <w:sz w:val="18"/>
        </w:rPr>
        <w:t>See</w:t>
      </w:r>
      <w:r>
        <w:rPr>
          <w:spacing w:val="40"/>
          <w:sz w:val="18"/>
        </w:rPr>
        <w:t xml:space="preserve"> </w:t>
      </w:r>
      <w:r>
        <w:rPr>
          <w:sz w:val="18"/>
        </w:rPr>
        <w:t>Watchirs,</w:t>
      </w:r>
      <w:r>
        <w:rPr>
          <w:spacing w:val="40"/>
          <w:sz w:val="18"/>
        </w:rPr>
        <w:t xml:space="preserve"> </w:t>
      </w:r>
      <w:r>
        <w:rPr>
          <w:sz w:val="18"/>
        </w:rPr>
        <w:t>Costello</w:t>
      </w:r>
      <w:r>
        <w:rPr>
          <w:spacing w:val="40"/>
          <w:sz w:val="18"/>
        </w:rPr>
        <w:t xml:space="preserve"> </w:t>
      </w:r>
      <w:r>
        <w:rPr>
          <w:sz w:val="18"/>
        </w:rPr>
        <w:t>and</w:t>
      </w:r>
      <w:r>
        <w:rPr>
          <w:spacing w:val="40"/>
          <w:sz w:val="18"/>
        </w:rPr>
        <w:t xml:space="preserve"> </w:t>
      </w:r>
      <w:r>
        <w:rPr>
          <w:sz w:val="18"/>
        </w:rPr>
        <w:t>Thilagaratnam,</w:t>
      </w:r>
      <w:r>
        <w:rPr>
          <w:spacing w:val="40"/>
          <w:sz w:val="18"/>
        </w:rPr>
        <w:t xml:space="preserve"> </w:t>
      </w:r>
      <w:r>
        <w:rPr>
          <w:sz w:val="18"/>
        </w:rPr>
        <w:t>‘Human</w:t>
      </w:r>
      <w:r>
        <w:rPr>
          <w:spacing w:val="40"/>
          <w:sz w:val="18"/>
        </w:rPr>
        <w:t xml:space="preserve"> </w:t>
      </w:r>
      <w:r>
        <w:rPr>
          <w:sz w:val="18"/>
        </w:rPr>
        <w:t>Rights</w:t>
      </w:r>
      <w:r>
        <w:rPr>
          <w:spacing w:val="40"/>
          <w:sz w:val="18"/>
        </w:rPr>
        <w:t xml:space="preserve"> </w:t>
      </w:r>
      <w:r>
        <w:rPr>
          <w:sz w:val="18"/>
        </w:rPr>
        <w:t>Scrutiny</w:t>
      </w:r>
      <w:r>
        <w:rPr>
          <w:spacing w:val="40"/>
          <w:sz w:val="18"/>
        </w:rPr>
        <w:t xml:space="preserve"> </w:t>
      </w:r>
      <w:r>
        <w:rPr>
          <w:sz w:val="18"/>
        </w:rPr>
        <w:t>under</w:t>
      </w:r>
      <w:r>
        <w:rPr>
          <w:spacing w:val="40"/>
          <w:sz w:val="18"/>
        </w:rPr>
        <w:t xml:space="preserve"> </w:t>
      </w:r>
      <w:r>
        <w:rPr>
          <w:sz w:val="18"/>
        </w:rPr>
        <w:t>the</w:t>
      </w:r>
      <w:r>
        <w:rPr>
          <w:spacing w:val="40"/>
          <w:sz w:val="18"/>
        </w:rPr>
        <w:t xml:space="preserve"> </w:t>
      </w:r>
      <w:r>
        <w:rPr>
          <w:sz w:val="18"/>
        </w:rPr>
        <w:t>Human</w:t>
      </w:r>
      <w:r>
        <w:rPr>
          <w:spacing w:val="40"/>
          <w:sz w:val="18"/>
        </w:rPr>
        <w:t xml:space="preserve"> </w:t>
      </w:r>
      <w:r>
        <w:rPr>
          <w:sz w:val="18"/>
        </w:rPr>
        <w:t>Rights</w:t>
      </w:r>
      <w:r>
        <w:rPr>
          <w:spacing w:val="40"/>
          <w:sz w:val="18"/>
        </w:rPr>
        <w:t xml:space="preserve"> </w:t>
      </w:r>
      <w:r>
        <w:rPr>
          <w:sz w:val="18"/>
        </w:rPr>
        <w:t>Act</w:t>
      </w:r>
      <w:r>
        <w:rPr>
          <w:spacing w:val="40"/>
          <w:sz w:val="18"/>
        </w:rPr>
        <w:t xml:space="preserve"> </w:t>
      </w:r>
      <w:r>
        <w:rPr>
          <w:sz w:val="18"/>
        </w:rPr>
        <w:t>2004</w:t>
      </w:r>
      <w:r>
        <w:rPr>
          <w:spacing w:val="40"/>
          <w:sz w:val="18"/>
        </w:rPr>
        <w:t xml:space="preserve"> </w:t>
      </w:r>
      <w:r>
        <w:rPr>
          <w:sz w:val="18"/>
        </w:rPr>
        <w:t>(ACT)’; Humphreys,</w:t>
      </w:r>
      <w:r>
        <w:rPr>
          <w:spacing w:val="-6"/>
          <w:sz w:val="18"/>
        </w:rPr>
        <w:t xml:space="preserve"> </w:t>
      </w:r>
      <w:r>
        <w:rPr>
          <w:sz w:val="18"/>
        </w:rPr>
        <w:t>Cleaver</w:t>
      </w:r>
      <w:r>
        <w:rPr>
          <w:spacing w:val="-1"/>
          <w:sz w:val="18"/>
        </w:rPr>
        <w:t xml:space="preserve"> </w:t>
      </w:r>
      <w:r>
        <w:rPr>
          <w:sz w:val="18"/>
        </w:rPr>
        <w:t>and Roberts, ‘Considering Human Rights</w:t>
      </w:r>
      <w:r>
        <w:rPr>
          <w:spacing w:val="-2"/>
          <w:sz w:val="18"/>
        </w:rPr>
        <w:t xml:space="preserve"> </w:t>
      </w:r>
      <w:r>
        <w:rPr>
          <w:sz w:val="18"/>
        </w:rPr>
        <w:t>in</w:t>
      </w:r>
      <w:r>
        <w:rPr>
          <w:spacing w:val="-2"/>
          <w:sz w:val="18"/>
        </w:rPr>
        <w:t xml:space="preserve"> </w:t>
      </w:r>
      <w:r>
        <w:rPr>
          <w:sz w:val="18"/>
        </w:rPr>
        <w:t>the</w:t>
      </w:r>
      <w:r>
        <w:rPr>
          <w:spacing w:val="-3"/>
          <w:sz w:val="18"/>
        </w:rPr>
        <w:t xml:space="preserve"> </w:t>
      </w:r>
      <w:r>
        <w:rPr>
          <w:sz w:val="18"/>
        </w:rPr>
        <w:t>Development</w:t>
      </w:r>
      <w:r>
        <w:rPr>
          <w:spacing w:val="-3"/>
          <w:sz w:val="18"/>
        </w:rPr>
        <w:t xml:space="preserve"> </w:t>
      </w:r>
      <w:r>
        <w:rPr>
          <w:sz w:val="18"/>
        </w:rPr>
        <w:t>of</w:t>
      </w:r>
      <w:r>
        <w:rPr>
          <w:spacing w:val="-1"/>
          <w:sz w:val="18"/>
        </w:rPr>
        <w:t xml:space="preserve"> </w:t>
      </w:r>
      <w:r>
        <w:rPr>
          <w:sz w:val="18"/>
        </w:rPr>
        <w:t>Legislation</w:t>
      </w:r>
      <w:r>
        <w:rPr>
          <w:spacing w:val="-2"/>
          <w:sz w:val="18"/>
        </w:rPr>
        <w:t xml:space="preserve"> </w:t>
      </w:r>
      <w:r>
        <w:rPr>
          <w:sz w:val="18"/>
        </w:rPr>
        <w:t>in</w:t>
      </w:r>
      <w:r>
        <w:rPr>
          <w:spacing w:val="-4"/>
          <w:sz w:val="18"/>
        </w:rPr>
        <w:t xml:space="preserve"> </w:t>
      </w:r>
      <w:r>
        <w:rPr>
          <w:sz w:val="18"/>
        </w:rPr>
        <w:t>Victoria’</w:t>
      </w:r>
      <w:r>
        <w:rPr>
          <w:spacing w:val="4"/>
          <w:sz w:val="18"/>
        </w:rPr>
        <w:t xml:space="preserve"> </w:t>
      </w:r>
      <w:r>
        <w:rPr>
          <w:sz w:val="18"/>
        </w:rPr>
        <w:t>ch 7;</w:t>
      </w:r>
      <w:r>
        <w:rPr>
          <w:spacing w:val="-1"/>
          <w:sz w:val="18"/>
        </w:rPr>
        <w:t xml:space="preserve"> </w:t>
      </w:r>
      <w:r>
        <w:rPr>
          <w:sz w:val="18"/>
        </w:rPr>
        <w:t>see</w:t>
      </w:r>
      <w:r>
        <w:rPr>
          <w:spacing w:val="-2"/>
          <w:sz w:val="18"/>
        </w:rPr>
        <w:t xml:space="preserve"> [4.6].</w:t>
      </w:r>
    </w:p>
    <w:p w14:paraId="7CB262D5" w14:textId="77777777" w:rsidR="008A4099" w:rsidRDefault="008A4099">
      <w:pPr>
        <w:spacing w:line="244" w:lineRule="auto"/>
        <w:rPr>
          <w:sz w:val="18"/>
        </w:rPr>
        <w:sectPr w:rsidR="008A4099" w:rsidSect="00D43B2D">
          <w:pgSz w:w="11910" w:h="16840"/>
          <w:pgMar w:top="980" w:right="760" w:bottom="940" w:left="1280" w:header="718" w:footer="753" w:gutter="0"/>
          <w:cols w:space="720"/>
        </w:sectPr>
      </w:pPr>
    </w:p>
    <w:p w14:paraId="7CB262D6" w14:textId="77777777" w:rsidR="008A4099" w:rsidRDefault="008A4099">
      <w:pPr>
        <w:pStyle w:val="BodyText"/>
        <w:spacing w:before="196"/>
      </w:pPr>
    </w:p>
    <w:p w14:paraId="7CB262D7" w14:textId="77777777" w:rsidR="008A4099" w:rsidRDefault="006A6EE2">
      <w:pPr>
        <w:pStyle w:val="Heading5"/>
        <w:spacing w:before="1"/>
      </w:pPr>
      <w:r>
        <w:t>TLRI’s</w:t>
      </w:r>
      <w:r>
        <w:rPr>
          <w:spacing w:val="-4"/>
        </w:rPr>
        <w:t xml:space="preserve"> </w:t>
      </w:r>
      <w:r>
        <w:t>current</w:t>
      </w:r>
      <w:r>
        <w:rPr>
          <w:spacing w:val="-4"/>
        </w:rPr>
        <w:t xml:space="preserve"> views</w:t>
      </w:r>
    </w:p>
    <w:p w14:paraId="7CB262D8" w14:textId="77777777" w:rsidR="008A4099" w:rsidRDefault="008A4099">
      <w:pPr>
        <w:pStyle w:val="BodyText"/>
        <w:spacing w:before="94"/>
        <w:rPr>
          <w:b/>
        </w:rPr>
      </w:pPr>
    </w:p>
    <w:p w14:paraId="7CB262D9" w14:textId="77777777" w:rsidR="008A4099" w:rsidRDefault="006A6EE2">
      <w:pPr>
        <w:pStyle w:val="ListParagraph"/>
        <w:numPr>
          <w:ilvl w:val="2"/>
          <w:numId w:val="3"/>
        </w:numPr>
        <w:tabs>
          <w:tab w:val="left" w:pos="879"/>
        </w:tabs>
        <w:spacing w:before="0" w:line="237" w:lineRule="auto"/>
        <w:ind w:right="677" w:firstLine="0"/>
        <w:jc w:val="both"/>
      </w:pPr>
      <w:r>
        <w:t>The TLRI remains of the view that an independent office of Tasmanian Human Rights Commissioner should be established under a Tasmanian human rights enactment.</w:t>
      </w:r>
      <w:r>
        <w:rPr>
          <w:position w:val="7"/>
          <w:sz w:val="13"/>
        </w:rPr>
        <w:t>510</w:t>
      </w:r>
      <w:r>
        <w:rPr>
          <w:spacing w:val="36"/>
          <w:position w:val="7"/>
          <w:sz w:val="13"/>
        </w:rPr>
        <w:t xml:space="preserve"> </w:t>
      </w:r>
      <w:r>
        <w:t>Several benefits would accrue from the establishment of this office, including but not limited to:</w:t>
      </w:r>
    </w:p>
    <w:p w14:paraId="7CB262DA" w14:textId="77777777" w:rsidR="008A4099" w:rsidRDefault="006A6EE2">
      <w:pPr>
        <w:pStyle w:val="ListParagraph"/>
        <w:numPr>
          <w:ilvl w:val="3"/>
          <w:numId w:val="3"/>
        </w:numPr>
        <w:tabs>
          <w:tab w:val="left" w:pos="1228"/>
        </w:tabs>
        <w:spacing w:line="273" w:lineRule="auto"/>
        <w:ind w:right="691"/>
      </w:pPr>
      <w:r>
        <w:t>creating</w:t>
      </w:r>
      <w:r>
        <w:rPr>
          <w:spacing w:val="-2"/>
        </w:rPr>
        <w:t xml:space="preserve"> </w:t>
      </w:r>
      <w:r>
        <w:t>an</w:t>
      </w:r>
      <w:r>
        <w:rPr>
          <w:spacing w:val="-4"/>
        </w:rPr>
        <w:t xml:space="preserve"> </w:t>
      </w:r>
      <w:r>
        <w:t>easily</w:t>
      </w:r>
      <w:r>
        <w:rPr>
          <w:spacing w:val="-2"/>
        </w:rPr>
        <w:t xml:space="preserve"> </w:t>
      </w:r>
      <w:r>
        <w:t>identifiable</w:t>
      </w:r>
      <w:r>
        <w:rPr>
          <w:spacing w:val="-2"/>
        </w:rPr>
        <w:t xml:space="preserve"> </w:t>
      </w:r>
      <w:r>
        <w:t>entity</w:t>
      </w:r>
      <w:r>
        <w:rPr>
          <w:spacing w:val="-5"/>
        </w:rPr>
        <w:t xml:space="preserve"> </w:t>
      </w:r>
      <w:r>
        <w:t>to</w:t>
      </w:r>
      <w:r>
        <w:rPr>
          <w:spacing w:val="-2"/>
        </w:rPr>
        <w:t xml:space="preserve"> </w:t>
      </w:r>
      <w:r>
        <w:t>deal</w:t>
      </w:r>
      <w:r>
        <w:rPr>
          <w:spacing w:val="-1"/>
        </w:rPr>
        <w:t xml:space="preserve"> </w:t>
      </w:r>
      <w:r>
        <w:t>with</w:t>
      </w:r>
      <w:r>
        <w:rPr>
          <w:spacing w:val="-5"/>
        </w:rPr>
        <w:t xml:space="preserve"> </w:t>
      </w:r>
      <w:r>
        <w:t>human</w:t>
      </w:r>
      <w:r>
        <w:rPr>
          <w:spacing w:val="-2"/>
        </w:rPr>
        <w:t xml:space="preserve"> </w:t>
      </w:r>
      <w:r>
        <w:t>rights</w:t>
      </w:r>
      <w:r>
        <w:rPr>
          <w:spacing w:val="-4"/>
        </w:rPr>
        <w:t xml:space="preserve"> </w:t>
      </w:r>
      <w:r>
        <w:t>issues,</w:t>
      </w:r>
      <w:r>
        <w:rPr>
          <w:spacing w:val="-2"/>
        </w:rPr>
        <w:t xml:space="preserve"> </w:t>
      </w:r>
      <w:r>
        <w:t>both</w:t>
      </w:r>
      <w:r>
        <w:rPr>
          <w:spacing w:val="-2"/>
        </w:rPr>
        <w:t xml:space="preserve"> </w:t>
      </w:r>
      <w:r>
        <w:t>for</w:t>
      </w:r>
      <w:r>
        <w:rPr>
          <w:spacing w:val="-4"/>
        </w:rPr>
        <w:t xml:space="preserve"> </w:t>
      </w:r>
      <w:r>
        <w:t>members</w:t>
      </w:r>
      <w:r>
        <w:rPr>
          <w:spacing w:val="-2"/>
        </w:rPr>
        <w:t xml:space="preserve"> </w:t>
      </w:r>
      <w:r>
        <w:t>of the community and policy and law makers;</w:t>
      </w:r>
    </w:p>
    <w:p w14:paraId="7CB262DB" w14:textId="77777777" w:rsidR="008A4099" w:rsidRDefault="006A6EE2">
      <w:pPr>
        <w:pStyle w:val="ListParagraph"/>
        <w:numPr>
          <w:ilvl w:val="3"/>
          <w:numId w:val="3"/>
        </w:numPr>
        <w:tabs>
          <w:tab w:val="left" w:pos="1228"/>
        </w:tabs>
        <w:spacing w:before="122" w:line="276" w:lineRule="auto"/>
        <w:ind w:right="681"/>
      </w:pPr>
      <w:r>
        <w:t>recognising</w:t>
      </w:r>
      <w:r>
        <w:rPr>
          <w:spacing w:val="-7"/>
        </w:rPr>
        <w:t xml:space="preserve"> </w:t>
      </w:r>
      <w:r>
        <w:t>the</w:t>
      </w:r>
      <w:r>
        <w:rPr>
          <w:spacing w:val="-7"/>
        </w:rPr>
        <w:t xml:space="preserve"> </w:t>
      </w:r>
      <w:r>
        <w:t>complexity</w:t>
      </w:r>
      <w:r>
        <w:rPr>
          <w:spacing w:val="-7"/>
        </w:rPr>
        <w:t xml:space="preserve"> </w:t>
      </w:r>
      <w:r>
        <w:t>of</w:t>
      </w:r>
      <w:r>
        <w:rPr>
          <w:spacing w:val="-4"/>
        </w:rPr>
        <w:t xml:space="preserve"> </w:t>
      </w:r>
      <w:r>
        <w:t>human</w:t>
      </w:r>
      <w:r>
        <w:rPr>
          <w:spacing w:val="-7"/>
        </w:rPr>
        <w:t xml:space="preserve"> </w:t>
      </w:r>
      <w:r>
        <w:t>rights</w:t>
      </w:r>
      <w:r>
        <w:rPr>
          <w:spacing w:val="-7"/>
        </w:rPr>
        <w:t xml:space="preserve"> </w:t>
      </w:r>
      <w:r>
        <w:t>matters,</w:t>
      </w:r>
      <w:r>
        <w:rPr>
          <w:spacing w:val="-4"/>
        </w:rPr>
        <w:t xml:space="preserve"> </w:t>
      </w:r>
      <w:r>
        <w:t>that</w:t>
      </w:r>
      <w:r>
        <w:rPr>
          <w:spacing w:val="-4"/>
        </w:rPr>
        <w:t xml:space="preserve"> </w:t>
      </w:r>
      <w:r>
        <w:t>they</w:t>
      </w:r>
      <w:r>
        <w:rPr>
          <w:spacing w:val="-4"/>
        </w:rPr>
        <w:t xml:space="preserve"> </w:t>
      </w:r>
      <w:r>
        <w:t>often</w:t>
      </w:r>
      <w:r>
        <w:rPr>
          <w:spacing w:val="-4"/>
        </w:rPr>
        <w:t xml:space="preserve"> </w:t>
      </w:r>
      <w:r>
        <w:t>involve</w:t>
      </w:r>
      <w:r>
        <w:rPr>
          <w:spacing w:val="-7"/>
        </w:rPr>
        <w:t xml:space="preserve"> </w:t>
      </w:r>
      <w:r>
        <w:t>multiple</w:t>
      </w:r>
      <w:r>
        <w:rPr>
          <w:spacing w:val="-4"/>
        </w:rPr>
        <w:t xml:space="preserve"> </w:t>
      </w:r>
      <w:r>
        <w:t>rights problems, and that there are significant barriers facing people in activating and observing human rights;</w:t>
      </w:r>
    </w:p>
    <w:p w14:paraId="7CB262DC" w14:textId="77777777" w:rsidR="008A4099" w:rsidRDefault="006A6EE2">
      <w:pPr>
        <w:pStyle w:val="ListParagraph"/>
        <w:numPr>
          <w:ilvl w:val="3"/>
          <w:numId w:val="3"/>
        </w:numPr>
        <w:tabs>
          <w:tab w:val="left" w:pos="1228"/>
        </w:tabs>
        <w:spacing w:before="119" w:line="276" w:lineRule="auto"/>
        <w:ind w:right="675"/>
      </w:pPr>
      <w:r>
        <w:t>alleviating problems associated with not having an easily identifiable, accessible, and independent body to deal with human rights matters;</w:t>
      </w:r>
    </w:p>
    <w:p w14:paraId="7CB262DD" w14:textId="77777777" w:rsidR="008A4099" w:rsidRDefault="006A6EE2">
      <w:pPr>
        <w:pStyle w:val="ListParagraph"/>
        <w:numPr>
          <w:ilvl w:val="3"/>
          <w:numId w:val="3"/>
        </w:numPr>
        <w:tabs>
          <w:tab w:val="left" w:pos="1228"/>
        </w:tabs>
        <w:spacing w:before="117" w:line="273" w:lineRule="auto"/>
        <w:ind w:right="681"/>
      </w:pPr>
      <w:r>
        <w:t>creating a body with the necessary skills and expertise to promote the development of a human rights culture in Tasmania;</w:t>
      </w:r>
    </w:p>
    <w:p w14:paraId="7CB262DE" w14:textId="77777777" w:rsidR="008A4099" w:rsidRDefault="006A6EE2">
      <w:pPr>
        <w:pStyle w:val="ListParagraph"/>
        <w:numPr>
          <w:ilvl w:val="3"/>
          <w:numId w:val="3"/>
        </w:numPr>
        <w:tabs>
          <w:tab w:val="left" w:pos="1227"/>
        </w:tabs>
        <w:spacing w:before="122"/>
        <w:ind w:left="1227" w:hanging="359"/>
      </w:pPr>
      <w:r>
        <w:t>establishing</w:t>
      </w:r>
      <w:r>
        <w:rPr>
          <w:spacing w:val="-3"/>
        </w:rPr>
        <w:t xml:space="preserve"> </w:t>
      </w:r>
      <w:r>
        <w:t>a</w:t>
      </w:r>
      <w:r>
        <w:rPr>
          <w:spacing w:val="-5"/>
        </w:rPr>
        <w:t xml:space="preserve"> </w:t>
      </w:r>
      <w:r>
        <w:t>skilled</w:t>
      </w:r>
      <w:r>
        <w:rPr>
          <w:spacing w:val="-3"/>
        </w:rPr>
        <w:t xml:space="preserve"> </w:t>
      </w:r>
      <w:r>
        <w:t>educational</w:t>
      </w:r>
      <w:r>
        <w:rPr>
          <w:spacing w:val="-4"/>
        </w:rPr>
        <w:t xml:space="preserve"> </w:t>
      </w:r>
      <w:r>
        <w:t>and</w:t>
      </w:r>
      <w:r>
        <w:rPr>
          <w:spacing w:val="-3"/>
        </w:rPr>
        <w:t xml:space="preserve"> </w:t>
      </w:r>
      <w:r>
        <w:t>advisory</w:t>
      </w:r>
      <w:r>
        <w:rPr>
          <w:spacing w:val="-5"/>
        </w:rPr>
        <w:t xml:space="preserve"> </w:t>
      </w:r>
      <w:r>
        <w:t>body</w:t>
      </w:r>
      <w:r>
        <w:rPr>
          <w:spacing w:val="-3"/>
        </w:rPr>
        <w:t xml:space="preserve"> </w:t>
      </w:r>
      <w:r>
        <w:t>on</w:t>
      </w:r>
      <w:r>
        <w:rPr>
          <w:spacing w:val="-3"/>
        </w:rPr>
        <w:t xml:space="preserve"> </w:t>
      </w:r>
      <w:r>
        <w:t>human</w:t>
      </w:r>
      <w:r>
        <w:rPr>
          <w:spacing w:val="-2"/>
        </w:rPr>
        <w:t xml:space="preserve"> rights;</w:t>
      </w:r>
    </w:p>
    <w:p w14:paraId="7CB262DF" w14:textId="77777777" w:rsidR="008A4099" w:rsidRDefault="006A6EE2">
      <w:pPr>
        <w:pStyle w:val="ListParagraph"/>
        <w:numPr>
          <w:ilvl w:val="3"/>
          <w:numId w:val="3"/>
        </w:numPr>
        <w:tabs>
          <w:tab w:val="left" w:pos="1228"/>
        </w:tabs>
        <w:spacing w:before="158" w:line="273" w:lineRule="auto"/>
        <w:ind w:right="676"/>
        <w:rPr>
          <w:sz w:val="13"/>
        </w:rPr>
      </w:pPr>
      <w:r>
        <w:t>allowing</w:t>
      </w:r>
      <w:r>
        <w:rPr>
          <w:spacing w:val="-14"/>
        </w:rPr>
        <w:t xml:space="preserve"> </w:t>
      </w:r>
      <w:r>
        <w:t>the</w:t>
      </w:r>
      <w:r>
        <w:rPr>
          <w:spacing w:val="-12"/>
        </w:rPr>
        <w:t xml:space="preserve"> </w:t>
      </w:r>
      <w:r>
        <w:t>Human</w:t>
      </w:r>
      <w:r>
        <w:rPr>
          <w:spacing w:val="-12"/>
        </w:rPr>
        <w:t xml:space="preserve"> </w:t>
      </w:r>
      <w:r>
        <w:t>Rights</w:t>
      </w:r>
      <w:r>
        <w:rPr>
          <w:spacing w:val="-14"/>
        </w:rPr>
        <w:t xml:space="preserve"> </w:t>
      </w:r>
      <w:r>
        <w:t>Commissioner</w:t>
      </w:r>
      <w:r>
        <w:rPr>
          <w:spacing w:val="-11"/>
        </w:rPr>
        <w:t xml:space="preserve"> </w:t>
      </w:r>
      <w:r>
        <w:t>to</w:t>
      </w:r>
      <w:r>
        <w:rPr>
          <w:spacing w:val="-12"/>
        </w:rPr>
        <w:t xml:space="preserve"> </w:t>
      </w:r>
      <w:r>
        <w:t>act</w:t>
      </w:r>
      <w:r>
        <w:rPr>
          <w:spacing w:val="-11"/>
        </w:rPr>
        <w:t xml:space="preserve"> </w:t>
      </w:r>
      <w:r>
        <w:t>as</w:t>
      </w:r>
      <w:r>
        <w:rPr>
          <w:spacing w:val="-11"/>
        </w:rPr>
        <w:t xml:space="preserve"> </w:t>
      </w:r>
      <w:r>
        <w:t>a</w:t>
      </w:r>
      <w:r>
        <w:rPr>
          <w:spacing w:val="-12"/>
        </w:rPr>
        <w:t xml:space="preserve"> </w:t>
      </w:r>
      <w:r>
        <w:t>gatekeeper</w:t>
      </w:r>
      <w:r>
        <w:rPr>
          <w:spacing w:val="-11"/>
        </w:rPr>
        <w:t xml:space="preserve"> </w:t>
      </w:r>
      <w:r>
        <w:t>in</w:t>
      </w:r>
      <w:r>
        <w:rPr>
          <w:spacing w:val="-14"/>
        </w:rPr>
        <w:t xml:space="preserve"> </w:t>
      </w:r>
      <w:r>
        <w:t>relation</w:t>
      </w:r>
      <w:r>
        <w:rPr>
          <w:spacing w:val="-14"/>
        </w:rPr>
        <w:t xml:space="preserve"> </w:t>
      </w:r>
      <w:r>
        <w:t>to</w:t>
      </w:r>
      <w:r>
        <w:rPr>
          <w:spacing w:val="-11"/>
        </w:rPr>
        <w:t xml:space="preserve"> </w:t>
      </w:r>
      <w:r>
        <w:t>human</w:t>
      </w:r>
      <w:r>
        <w:rPr>
          <w:spacing w:val="-12"/>
        </w:rPr>
        <w:t xml:space="preserve"> </w:t>
      </w:r>
      <w:r>
        <w:t>rights complaints with power to filter out unmeritorious complaints.</w:t>
      </w:r>
      <w:r>
        <w:rPr>
          <w:position w:val="7"/>
          <w:sz w:val="13"/>
        </w:rPr>
        <w:t>511</w:t>
      </w:r>
    </w:p>
    <w:p w14:paraId="7CB262E0" w14:textId="77777777" w:rsidR="008A4099" w:rsidRDefault="006A6EE2">
      <w:pPr>
        <w:pStyle w:val="Heading4"/>
        <w:spacing w:before="241"/>
      </w:pPr>
      <w:bookmarkStart w:id="55" w:name="_TOC_250005"/>
      <w:r>
        <w:t>Consultation</w:t>
      </w:r>
      <w:r>
        <w:rPr>
          <w:spacing w:val="-2"/>
        </w:rPr>
        <w:t xml:space="preserve"> </w:t>
      </w:r>
      <w:r>
        <w:t>with</w:t>
      </w:r>
      <w:bookmarkEnd w:id="55"/>
      <w:r>
        <w:rPr>
          <w:spacing w:val="-2"/>
        </w:rPr>
        <w:t xml:space="preserve"> Cabinet</w:t>
      </w:r>
    </w:p>
    <w:p w14:paraId="7CB262E1" w14:textId="77777777" w:rsidR="008A4099" w:rsidRDefault="006A6EE2">
      <w:pPr>
        <w:pStyle w:val="Heading5"/>
        <w:spacing w:before="160"/>
      </w:pPr>
      <w:r>
        <w:t>TLRI</w:t>
      </w:r>
      <w:r>
        <w:rPr>
          <w:spacing w:val="-3"/>
        </w:rPr>
        <w:t xml:space="preserve"> </w:t>
      </w:r>
      <w:r>
        <w:t>2007</w:t>
      </w:r>
      <w:r>
        <w:rPr>
          <w:spacing w:val="-3"/>
        </w:rPr>
        <w:t xml:space="preserve"> </w:t>
      </w:r>
      <w:r>
        <w:t>Final</w:t>
      </w:r>
      <w:r>
        <w:rPr>
          <w:spacing w:val="-2"/>
        </w:rPr>
        <w:t xml:space="preserve"> </w:t>
      </w:r>
      <w:r>
        <w:t>report</w:t>
      </w:r>
      <w:r>
        <w:rPr>
          <w:spacing w:val="-3"/>
        </w:rPr>
        <w:t xml:space="preserve"> </w:t>
      </w:r>
      <w:r>
        <w:t>and</w:t>
      </w:r>
      <w:r>
        <w:rPr>
          <w:spacing w:val="-4"/>
        </w:rPr>
        <w:t xml:space="preserve"> </w:t>
      </w:r>
      <w:r>
        <w:t>subsequent</w:t>
      </w:r>
      <w:r>
        <w:rPr>
          <w:spacing w:val="-2"/>
        </w:rPr>
        <w:t xml:space="preserve"> developments</w:t>
      </w:r>
    </w:p>
    <w:p w14:paraId="7CB262E2" w14:textId="77777777" w:rsidR="008A4099" w:rsidRDefault="008A4099">
      <w:pPr>
        <w:pStyle w:val="BodyText"/>
        <w:spacing w:before="92"/>
        <w:rPr>
          <w:b/>
        </w:rPr>
      </w:pPr>
    </w:p>
    <w:p w14:paraId="7CB262E3" w14:textId="77777777" w:rsidR="008A4099" w:rsidRDefault="006A6EE2">
      <w:pPr>
        <w:pStyle w:val="ListParagraph"/>
        <w:numPr>
          <w:ilvl w:val="2"/>
          <w:numId w:val="3"/>
        </w:numPr>
        <w:tabs>
          <w:tab w:val="left" w:pos="879"/>
        </w:tabs>
        <w:spacing w:before="0"/>
        <w:ind w:right="676" w:firstLine="0"/>
        <w:jc w:val="both"/>
      </w:pPr>
      <w:r>
        <w:t>In</w:t>
      </w:r>
      <w:r>
        <w:rPr>
          <w:spacing w:val="-14"/>
        </w:rPr>
        <w:t xml:space="preserve"> </w:t>
      </w:r>
      <w:r>
        <w:t>the</w:t>
      </w:r>
      <w:r>
        <w:rPr>
          <w:spacing w:val="-14"/>
        </w:rPr>
        <w:t xml:space="preserve"> </w:t>
      </w:r>
      <w:r>
        <w:t>TLRI</w:t>
      </w:r>
      <w:r>
        <w:rPr>
          <w:spacing w:val="-14"/>
        </w:rPr>
        <w:t xml:space="preserve"> </w:t>
      </w:r>
      <w:r>
        <w:t>2007</w:t>
      </w:r>
      <w:r>
        <w:rPr>
          <w:spacing w:val="-13"/>
        </w:rPr>
        <w:t xml:space="preserve"> </w:t>
      </w:r>
      <w:r>
        <w:t>Final</w:t>
      </w:r>
      <w:r>
        <w:rPr>
          <w:spacing w:val="-14"/>
        </w:rPr>
        <w:t xml:space="preserve"> </w:t>
      </w:r>
      <w:r>
        <w:t>Report,</w:t>
      </w:r>
      <w:r>
        <w:rPr>
          <w:spacing w:val="-14"/>
        </w:rPr>
        <w:t xml:space="preserve"> </w:t>
      </w:r>
      <w:r>
        <w:t>Recommendation</w:t>
      </w:r>
      <w:r>
        <w:rPr>
          <w:spacing w:val="-14"/>
        </w:rPr>
        <w:t xml:space="preserve"> </w:t>
      </w:r>
      <w:r>
        <w:t>22</w:t>
      </w:r>
      <w:r>
        <w:rPr>
          <w:spacing w:val="-13"/>
        </w:rPr>
        <w:t xml:space="preserve"> </w:t>
      </w:r>
      <w:r>
        <w:t>proposed</w:t>
      </w:r>
      <w:r>
        <w:rPr>
          <w:spacing w:val="-14"/>
        </w:rPr>
        <w:t xml:space="preserve"> </w:t>
      </w:r>
      <w:r>
        <w:t>that</w:t>
      </w:r>
      <w:r>
        <w:rPr>
          <w:spacing w:val="-12"/>
        </w:rPr>
        <w:t xml:space="preserve"> </w:t>
      </w:r>
      <w:r>
        <w:t>the</w:t>
      </w:r>
      <w:r>
        <w:rPr>
          <w:spacing w:val="-14"/>
        </w:rPr>
        <w:t xml:space="preserve"> </w:t>
      </w:r>
      <w:r>
        <w:t>Human</w:t>
      </w:r>
      <w:r>
        <w:rPr>
          <w:spacing w:val="-13"/>
        </w:rPr>
        <w:t xml:space="preserve"> </w:t>
      </w:r>
      <w:r>
        <w:t>Rights</w:t>
      </w:r>
      <w:r>
        <w:rPr>
          <w:spacing w:val="-14"/>
        </w:rPr>
        <w:t xml:space="preserve"> </w:t>
      </w:r>
      <w:r>
        <w:t>Unit</w:t>
      </w:r>
      <w:r>
        <w:rPr>
          <w:spacing w:val="-12"/>
        </w:rPr>
        <w:t xml:space="preserve"> </w:t>
      </w:r>
      <w:r>
        <w:t>have responsibility</w:t>
      </w:r>
      <w:r>
        <w:rPr>
          <w:spacing w:val="-14"/>
        </w:rPr>
        <w:t xml:space="preserve"> </w:t>
      </w:r>
      <w:r>
        <w:t>for</w:t>
      </w:r>
      <w:r>
        <w:rPr>
          <w:spacing w:val="-14"/>
        </w:rPr>
        <w:t xml:space="preserve"> </w:t>
      </w:r>
      <w:r>
        <w:t>providing</w:t>
      </w:r>
      <w:r>
        <w:rPr>
          <w:spacing w:val="-14"/>
        </w:rPr>
        <w:t xml:space="preserve"> </w:t>
      </w:r>
      <w:r>
        <w:t>advice</w:t>
      </w:r>
      <w:r>
        <w:rPr>
          <w:spacing w:val="-13"/>
        </w:rPr>
        <w:t xml:space="preserve"> </w:t>
      </w:r>
      <w:r>
        <w:t>to</w:t>
      </w:r>
      <w:r>
        <w:rPr>
          <w:spacing w:val="-14"/>
        </w:rPr>
        <w:t xml:space="preserve"> </w:t>
      </w:r>
      <w:r>
        <w:t>Cabinet</w:t>
      </w:r>
      <w:r>
        <w:rPr>
          <w:spacing w:val="-14"/>
        </w:rPr>
        <w:t xml:space="preserve"> </w:t>
      </w:r>
      <w:r>
        <w:t>about</w:t>
      </w:r>
      <w:r>
        <w:rPr>
          <w:spacing w:val="-14"/>
        </w:rPr>
        <w:t xml:space="preserve"> </w:t>
      </w:r>
      <w:r>
        <w:t>human</w:t>
      </w:r>
      <w:r>
        <w:rPr>
          <w:spacing w:val="-13"/>
        </w:rPr>
        <w:t xml:space="preserve"> </w:t>
      </w:r>
      <w:r>
        <w:t>rights</w:t>
      </w:r>
      <w:r>
        <w:rPr>
          <w:spacing w:val="-14"/>
        </w:rPr>
        <w:t xml:space="preserve"> </w:t>
      </w:r>
      <w:r>
        <w:t>implications</w:t>
      </w:r>
      <w:r>
        <w:rPr>
          <w:spacing w:val="-13"/>
        </w:rPr>
        <w:t xml:space="preserve"> </w:t>
      </w:r>
      <w:r>
        <w:t>and</w:t>
      </w:r>
      <w:r>
        <w:rPr>
          <w:spacing w:val="-14"/>
        </w:rPr>
        <w:t xml:space="preserve"> </w:t>
      </w:r>
      <w:r>
        <w:t>compatibility</w:t>
      </w:r>
      <w:r>
        <w:rPr>
          <w:spacing w:val="-14"/>
        </w:rPr>
        <w:t xml:space="preserve"> </w:t>
      </w:r>
      <w:r>
        <w:t>of</w:t>
      </w:r>
      <w:r>
        <w:rPr>
          <w:spacing w:val="-13"/>
        </w:rPr>
        <w:t xml:space="preserve"> </w:t>
      </w:r>
      <w:r>
        <w:t>new legislation.</w:t>
      </w:r>
      <w:r>
        <w:rPr>
          <w:spacing w:val="-10"/>
        </w:rPr>
        <w:t xml:space="preserve"> </w:t>
      </w:r>
      <w:r>
        <w:t>Recommendation</w:t>
      </w:r>
      <w:r>
        <w:rPr>
          <w:spacing w:val="-7"/>
        </w:rPr>
        <w:t xml:space="preserve"> </w:t>
      </w:r>
      <w:r>
        <w:t>23</w:t>
      </w:r>
      <w:r>
        <w:rPr>
          <w:spacing w:val="-10"/>
        </w:rPr>
        <w:t xml:space="preserve"> </w:t>
      </w:r>
      <w:r>
        <w:t>set</w:t>
      </w:r>
      <w:r>
        <w:rPr>
          <w:spacing w:val="-8"/>
        </w:rPr>
        <w:t xml:space="preserve"> </w:t>
      </w:r>
      <w:r>
        <w:t>out</w:t>
      </w:r>
      <w:r>
        <w:rPr>
          <w:spacing w:val="-8"/>
        </w:rPr>
        <w:t xml:space="preserve"> </w:t>
      </w:r>
      <w:r>
        <w:t>the</w:t>
      </w:r>
      <w:r>
        <w:rPr>
          <w:spacing w:val="-9"/>
        </w:rPr>
        <w:t xml:space="preserve"> </w:t>
      </w:r>
      <w:r>
        <w:t>proposed</w:t>
      </w:r>
      <w:r>
        <w:rPr>
          <w:spacing w:val="-10"/>
        </w:rPr>
        <w:t xml:space="preserve"> </w:t>
      </w:r>
      <w:r>
        <w:t>powers</w:t>
      </w:r>
      <w:r>
        <w:rPr>
          <w:spacing w:val="-9"/>
        </w:rPr>
        <w:t xml:space="preserve"> </w:t>
      </w:r>
      <w:r>
        <w:t>and</w:t>
      </w:r>
      <w:r>
        <w:rPr>
          <w:spacing w:val="-6"/>
        </w:rPr>
        <w:t xml:space="preserve"> </w:t>
      </w:r>
      <w:r>
        <w:t>functions</w:t>
      </w:r>
      <w:r>
        <w:rPr>
          <w:spacing w:val="-6"/>
        </w:rPr>
        <w:t xml:space="preserve"> </w:t>
      </w:r>
      <w:r>
        <w:t>of</w:t>
      </w:r>
      <w:r>
        <w:rPr>
          <w:spacing w:val="-9"/>
        </w:rPr>
        <w:t xml:space="preserve"> </w:t>
      </w:r>
      <w:r>
        <w:t>the</w:t>
      </w:r>
      <w:r>
        <w:rPr>
          <w:spacing w:val="-12"/>
        </w:rPr>
        <w:t xml:space="preserve"> </w:t>
      </w:r>
      <w:r>
        <w:t>independent</w:t>
      </w:r>
      <w:r>
        <w:rPr>
          <w:spacing w:val="-8"/>
        </w:rPr>
        <w:t xml:space="preserve"> </w:t>
      </w:r>
      <w:r>
        <w:t>office</w:t>
      </w:r>
      <w:r>
        <w:rPr>
          <w:spacing w:val="-9"/>
        </w:rPr>
        <w:t xml:space="preserve"> </w:t>
      </w:r>
      <w:r>
        <w:t>of the Tasmanian Rights Commissioner but did not recommend an explicit role for the Human Rights Commissioner to provide advice directly to Cabinet.</w:t>
      </w:r>
    </w:p>
    <w:p w14:paraId="7CB262E4" w14:textId="77777777" w:rsidR="008A4099" w:rsidRDefault="006A6EE2">
      <w:pPr>
        <w:pStyle w:val="ListParagraph"/>
        <w:numPr>
          <w:ilvl w:val="2"/>
          <w:numId w:val="3"/>
        </w:numPr>
        <w:tabs>
          <w:tab w:val="left" w:pos="879"/>
        </w:tabs>
        <w:spacing w:before="218"/>
        <w:ind w:right="674" w:firstLine="0"/>
        <w:jc w:val="both"/>
        <w:rPr>
          <w:sz w:val="13"/>
        </w:rPr>
      </w:pPr>
      <w:r>
        <w:t>Review of the arrangements in the ACT, which allow the Human Rights Commission to comment on draft submissions prepared by government directorates for consideration by Cabinet, has identified</w:t>
      </w:r>
      <w:r>
        <w:rPr>
          <w:spacing w:val="-9"/>
        </w:rPr>
        <w:t xml:space="preserve"> </w:t>
      </w:r>
      <w:r>
        <w:t>this</w:t>
      </w:r>
      <w:r>
        <w:rPr>
          <w:spacing w:val="-11"/>
        </w:rPr>
        <w:t xml:space="preserve"> </w:t>
      </w:r>
      <w:r>
        <w:t>process</w:t>
      </w:r>
      <w:r>
        <w:rPr>
          <w:spacing w:val="-11"/>
        </w:rPr>
        <w:t xml:space="preserve"> </w:t>
      </w:r>
      <w:r>
        <w:t>as</w:t>
      </w:r>
      <w:r>
        <w:rPr>
          <w:spacing w:val="-7"/>
        </w:rPr>
        <w:t xml:space="preserve"> </w:t>
      </w:r>
      <w:r>
        <w:t>providing</w:t>
      </w:r>
      <w:r>
        <w:rPr>
          <w:spacing w:val="-9"/>
        </w:rPr>
        <w:t xml:space="preserve"> </w:t>
      </w:r>
      <w:r>
        <w:t>an</w:t>
      </w:r>
      <w:r>
        <w:rPr>
          <w:spacing w:val="-12"/>
        </w:rPr>
        <w:t xml:space="preserve"> </w:t>
      </w:r>
      <w:r>
        <w:t>important</w:t>
      </w:r>
      <w:r>
        <w:rPr>
          <w:spacing w:val="-9"/>
        </w:rPr>
        <w:t xml:space="preserve"> </w:t>
      </w:r>
      <w:r>
        <w:t>opportunity</w:t>
      </w:r>
      <w:r>
        <w:rPr>
          <w:spacing w:val="-10"/>
        </w:rPr>
        <w:t xml:space="preserve"> </w:t>
      </w:r>
      <w:r>
        <w:t>for</w:t>
      </w:r>
      <w:r>
        <w:rPr>
          <w:spacing w:val="-9"/>
        </w:rPr>
        <w:t xml:space="preserve"> </w:t>
      </w:r>
      <w:r>
        <w:t>human</w:t>
      </w:r>
      <w:r>
        <w:rPr>
          <w:spacing w:val="-12"/>
        </w:rPr>
        <w:t xml:space="preserve"> </w:t>
      </w:r>
      <w:r>
        <w:t>rights</w:t>
      </w:r>
      <w:r>
        <w:rPr>
          <w:spacing w:val="-9"/>
        </w:rPr>
        <w:t xml:space="preserve"> </w:t>
      </w:r>
      <w:r>
        <w:t>issues</w:t>
      </w:r>
      <w:r>
        <w:rPr>
          <w:spacing w:val="-9"/>
        </w:rPr>
        <w:t xml:space="preserve"> </w:t>
      </w:r>
      <w:r>
        <w:t>to</w:t>
      </w:r>
      <w:r>
        <w:rPr>
          <w:spacing w:val="-10"/>
        </w:rPr>
        <w:t xml:space="preserve"> </w:t>
      </w:r>
      <w:r>
        <w:t>be</w:t>
      </w:r>
      <w:r>
        <w:rPr>
          <w:spacing w:val="-9"/>
        </w:rPr>
        <w:t xml:space="preserve"> </w:t>
      </w:r>
      <w:r>
        <w:t>flagged</w:t>
      </w:r>
      <w:r>
        <w:rPr>
          <w:spacing w:val="-9"/>
        </w:rPr>
        <w:t xml:space="preserve"> </w:t>
      </w:r>
      <w:r>
        <w:t>early in the development of laws and policies.</w:t>
      </w:r>
      <w:r>
        <w:rPr>
          <w:position w:val="7"/>
          <w:sz w:val="13"/>
        </w:rPr>
        <w:t>512</w:t>
      </w:r>
      <w:r>
        <w:rPr>
          <w:spacing w:val="30"/>
          <w:position w:val="7"/>
          <w:sz w:val="13"/>
        </w:rPr>
        <w:t xml:space="preserve"> </w:t>
      </w:r>
      <w:r>
        <w:t>The statutory functions of the Human Rights Commission mean that it makes a valuable contribution to the development of human rights dialogue with the Executive through the Cabinet submission and by providing human rights advice on legislative and policy proposals.</w:t>
      </w:r>
      <w:r>
        <w:rPr>
          <w:position w:val="7"/>
          <w:sz w:val="13"/>
        </w:rPr>
        <w:t>513</w:t>
      </w:r>
    </w:p>
    <w:p w14:paraId="7CB262E5" w14:textId="77777777" w:rsidR="008A4099" w:rsidRDefault="006A6EE2">
      <w:pPr>
        <w:pStyle w:val="Heading3"/>
        <w:spacing w:before="234"/>
      </w:pPr>
      <w:r>
        <w:t>TLRI’s</w:t>
      </w:r>
      <w:r>
        <w:rPr>
          <w:spacing w:val="-4"/>
        </w:rPr>
        <w:t xml:space="preserve"> </w:t>
      </w:r>
      <w:r>
        <w:t>current</w:t>
      </w:r>
      <w:r>
        <w:rPr>
          <w:spacing w:val="-4"/>
        </w:rPr>
        <w:t xml:space="preserve"> </w:t>
      </w:r>
      <w:r>
        <w:t>views</w:t>
      </w:r>
      <w:r>
        <w:rPr>
          <w:spacing w:val="-4"/>
        </w:rPr>
        <w:t xml:space="preserve"> </w:t>
      </w:r>
      <w:r>
        <w:t>and</w:t>
      </w:r>
      <w:r>
        <w:rPr>
          <w:spacing w:val="-3"/>
        </w:rPr>
        <w:t xml:space="preserve"> </w:t>
      </w:r>
      <w:r>
        <w:rPr>
          <w:spacing w:val="-2"/>
        </w:rPr>
        <w:t>recommendations</w:t>
      </w:r>
    </w:p>
    <w:p w14:paraId="7CB262E6" w14:textId="77777777" w:rsidR="008A4099" w:rsidRDefault="006A6EE2">
      <w:pPr>
        <w:pStyle w:val="ListParagraph"/>
        <w:numPr>
          <w:ilvl w:val="2"/>
          <w:numId w:val="3"/>
        </w:numPr>
        <w:tabs>
          <w:tab w:val="left" w:pos="879"/>
        </w:tabs>
        <w:spacing w:before="264" w:line="237" w:lineRule="auto"/>
        <w:ind w:right="679" w:firstLine="0"/>
        <w:jc w:val="both"/>
      </w:pPr>
      <w:r>
        <w:t>Based</w:t>
      </w:r>
      <w:r>
        <w:rPr>
          <w:spacing w:val="-3"/>
        </w:rPr>
        <w:t xml:space="preserve"> </w:t>
      </w:r>
      <w:r>
        <w:t>on</w:t>
      </w:r>
      <w:r>
        <w:rPr>
          <w:spacing w:val="-4"/>
        </w:rPr>
        <w:t xml:space="preserve"> </w:t>
      </w:r>
      <w:r>
        <w:t>the</w:t>
      </w:r>
      <w:r>
        <w:rPr>
          <w:spacing w:val="-3"/>
        </w:rPr>
        <w:t xml:space="preserve"> </w:t>
      </w:r>
      <w:r>
        <w:t>experience</w:t>
      </w:r>
      <w:r>
        <w:rPr>
          <w:spacing w:val="-3"/>
        </w:rPr>
        <w:t xml:space="preserve"> </w:t>
      </w:r>
      <w:r>
        <w:t>in</w:t>
      </w:r>
      <w:r>
        <w:rPr>
          <w:spacing w:val="-4"/>
        </w:rPr>
        <w:t xml:space="preserve"> </w:t>
      </w:r>
      <w:r>
        <w:t>the</w:t>
      </w:r>
      <w:r>
        <w:rPr>
          <w:spacing w:val="-3"/>
        </w:rPr>
        <w:t xml:space="preserve"> </w:t>
      </w:r>
      <w:r>
        <w:t>ACT,</w:t>
      </w:r>
      <w:r>
        <w:rPr>
          <w:spacing w:val="-4"/>
        </w:rPr>
        <w:t xml:space="preserve"> </w:t>
      </w:r>
      <w:r>
        <w:t>the</w:t>
      </w:r>
      <w:r>
        <w:rPr>
          <w:spacing w:val="-3"/>
        </w:rPr>
        <w:t xml:space="preserve"> </w:t>
      </w:r>
      <w:r>
        <w:t>TLRI</w:t>
      </w:r>
      <w:r>
        <w:rPr>
          <w:spacing w:val="-5"/>
        </w:rPr>
        <w:t xml:space="preserve"> </w:t>
      </w:r>
      <w:r>
        <w:t>recommends</w:t>
      </w:r>
      <w:r>
        <w:rPr>
          <w:spacing w:val="-3"/>
        </w:rPr>
        <w:t xml:space="preserve"> </w:t>
      </w:r>
      <w:r>
        <w:t>that</w:t>
      </w:r>
      <w:r>
        <w:rPr>
          <w:spacing w:val="-3"/>
        </w:rPr>
        <w:t xml:space="preserve"> </w:t>
      </w:r>
      <w:r>
        <w:t>the</w:t>
      </w:r>
      <w:r>
        <w:rPr>
          <w:spacing w:val="-6"/>
        </w:rPr>
        <w:t xml:space="preserve"> </w:t>
      </w:r>
      <w:r>
        <w:t>functions</w:t>
      </w:r>
      <w:r>
        <w:rPr>
          <w:spacing w:val="-3"/>
        </w:rPr>
        <w:t xml:space="preserve"> </w:t>
      </w:r>
      <w:r>
        <w:t>and</w:t>
      </w:r>
      <w:r>
        <w:rPr>
          <w:spacing w:val="-4"/>
        </w:rPr>
        <w:t xml:space="preserve"> </w:t>
      </w:r>
      <w:r>
        <w:t>powers</w:t>
      </w:r>
      <w:r>
        <w:rPr>
          <w:spacing w:val="-3"/>
        </w:rPr>
        <w:t xml:space="preserve"> </w:t>
      </w:r>
      <w:r>
        <w:t>of</w:t>
      </w:r>
      <w:r>
        <w:rPr>
          <w:spacing w:val="-3"/>
        </w:rPr>
        <w:t xml:space="preserve"> </w:t>
      </w:r>
      <w:r>
        <w:t>a Tasmanian</w:t>
      </w:r>
      <w:r>
        <w:rPr>
          <w:spacing w:val="-3"/>
        </w:rPr>
        <w:t xml:space="preserve"> </w:t>
      </w:r>
      <w:r>
        <w:t>Human</w:t>
      </w:r>
      <w:r>
        <w:rPr>
          <w:spacing w:val="-3"/>
        </w:rPr>
        <w:t xml:space="preserve"> </w:t>
      </w:r>
      <w:r>
        <w:t>Rights</w:t>
      </w:r>
      <w:r>
        <w:rPr>
          <w:spacing w:val="-5"/>
        </w:rPr>
        <w:t xml:space="preserve"> </w:t>
      </w:r>
      <w:r>
        <w:t>Commission</w:t>
      </w:r>
      <w:r>
        <w:rPr>
          <w:spacing w:val="-6"/>
        </w:rPr>
        <w:t xml:space="preserve"> </w:t>
      </w:r>
      <w:r>
        <w:t>include</w:t>
      </w:r>
      <w:r>
        <w:rPr>
          <w:spacing w:val="-3"/>
        </w:rPr>
        <w:t xml:space="preserve"> </w:t>
      </w:r>
      <w:r>
        <w:t>advising</w:t>
      </w:r>
      <w:r>
        <w:rPr>
          <w:spacing w:val="-3"/>
        </w:rPr>
        <w:t xml:space="preserve"> </w:t>
      </w:r>
      <w:r>
        <w:t>government</w:t>
      </w:r>
      <w:r>
        <w:rPr>
          <w:spacing w:val="-2"/>
        </w:rPr>
        <w:t xml:space="preserve"> </w:t>
      </w:r>
      <w:r>
        <w:t>and</w:t>
      </w:r>
      <w:r>
        <w:rPr>
          <w:spacing w:val="-3"/>
        </w:rPr>
        <w:t xml:space="preserve"> </w:t>
      </w:r>
      <w:r>
        <w:t>Cabinet</w:t>
      </w:r>
      <w:r>
        <w:rPr>
          <w:spacing w:val="-5"/>
        </w:rPr>
        <w:t xml:space="preserve"> </w:t>
      </w:r>
      <w:r>
        <w:t>in</w:t>
      </w:r>
      <w:r>
        <w:rPr>
          <w:spacing w:val="-6"/>
        </w:rPr>
        <w:t xml:space="preserve"> </w:t>
      </w:r>
      <w:r>
        <w:t>the</w:t>
      </w:r>
      <w:r>
        <w:rPr>
          <w:spacing w:val="-5"/>
        </w:rPr>
        <w:t xml:space="preserve"> </w:t>
      </w:r>
      <w:r>
        <w:t>preparation</w:t>
      </w:r>
      <w:r>
        <w:rPr>
          <w:spacing w:val="-3"/>
        </w:rPr>
        <w:t xml:space="preserve"> </w:t>
      </w:r>
      <w:r>
        <w:t>of legislation, and that explicit arrangements be put in place to provide for early review of all laws identified as potentially affecting human rights. In developing the mechanism for the provision of this advice</w:t>
      </w:r>
      <w:r>
        <w:rPr>
          <w:spacing w:val="60"/>
        </w:rPr>
        <w:t xml:space="preserve"> </w:t>
      </w:r>
      <w:r>
        <w:t>and</w:t>
      </w:r>
      <w:r>
        <w:rPr>
          <w:spacing w:val="60"/>
        </w:rPr>
        <w:t xml:space="preserve"> </w:t>
      </w:r>
      <w:r>
        <w:t>comment,</w:t>
      </w:r>
      <w:r>
        <w:rPr>
          <w:spacing w:val="60"/>
        </w:rPr>
        <w:t xml:space="preserve"> </w:t>
      </w:r>
      <w:r>
        <w:t>the</w:t>
      </w:r>
      <w:r>
        <w:rPr>
          <w:spacing w:val="60"/>
        </w:rPr>
        <w:t xml:space="preserve"> </w:t>
      </w:r>
      <w:r>
        <w:t>experiences</w:t>
      </w:r>
      <w:r>
        <w:rPr>
          <w:spacing w:val="61"/>
        </w:rPr>
        <w:t xml:space="preserve"> </w:t>
      </w:r>
      <w:r>
        <w:t>in</w:t>
      </w:r>
      <w:r>
        <w:rPr>
          <w:spacing w:val="64"/>
        </w:rPr>
        <w:t xml:space="preserve"> </w:t>
      </w:r>
      <w:r>
        <w:t>the</w:t>
      </w:r>
      <w:r>
        <w:rPr>
          <w:spacing w:val="63"/>
        </w:rPr>
        <w:t xml:space="preserve"> </w:t>
      </w:r>
      <w:r>
        <w:t>ACT</w:t>
      </w:r>
      <w:r>
        <w:rPr>
          <w:spacing w:val="59"/>
        </w:rPr>
        <w:t xml:space="preserve"> </w:t>
      </w:r>
      <w:r>
        <w:t>can</w:t>
      </w:r>
      <w:r>
        <w:rPr>
          <w:spacing w:val="60"/>
        </w:rPr>
        <w:t xml:space="preserve"> </w:t>
      </w:r>
      <w:r>
        <w:t>be</w:t>
      </w:r>
      <w:r>
        <w:rPr>
          <w:spacing w:val="60"/>
        </w:rPr>
        <w:t xml:space="preserve"> </w:t>
      </w:r>
      <w:r>
        <w:t>used</w:t>
      </w:r>
      <w:r>
        <w:rPr>
          <w:spacing w:val="60"/>
        </w:rPr>
        <w:t xml:space="preserve"> </w:t>
      </w:r>
      <w:r>
        <w:t>to</w:t>
      </w:r>
      <w:r>
        <w:rPr>
          <w:spacing w:val="60"/>
        </w:rPr>
        <w:t xml:space="preserve"> </w:t>
      </w:r>
      <w:r>
        <w:t>develop</w:t>
      </w:r>
      <w:r>
        <w:rPr>
          <w:spacing w:val="60"/>
        </w:rPr>
        <w:t xml:space="preserve"> </w:t>
      </w:r>
      <w:r>
        <w:t>a</w:t>
      </w:r>
      <w:r>
        <w:rPr>
          <w:spacing w:val="60"/>
        </w:rPr>
        <w:t xml:space="preserve"> </w:t>
      </w:r>
      <w:r>
        <w:t>framework.</w:t>
      </w:r>
      <w:r>
        <w:rPr>
          <w:spacing w:val="60"/>
        </w:rPr>
        <w:t xml:space="preserve"> </w:t>
      </w:r>
      <w:r>
        <w:t>This</w:t>
      </w:r>
    </w:p>
    <w:p w14:paraId="7CB262E7" w14:textId="77777777" w:rsidR="008A4099" w:rsidRDefault="006A6EE2">
      <w:pPr>
        <w:pStyle w:val="BodyText"/>
        <w:spacing w:before="89"/>
        <w:rPr>
          <w:sz w:val="20"/>
        </w:rPr>
      </w:pPr>
      <w:r>
        <w:rPr>
          <w:noProof/>
        </w:rPr>
        <mc:AlternateContent>
          <mc:Choice Requires="wps">
            <w:drawing>
              <wp:anchor distT="0" distB="0" distL="0" distR="0" simplePos="0" relativeHeight="487638528" behindDoc="1" locked="0" layoutInCell="1" allowOverlap="1" wp14:anchorId="7CB2669F" wp14:editId="7CB266A0">
                <wp:simplePos x="0" y="0"/>
                <wp:positionH relativeFrom="page">
                  <wp:posOffset>914704</wp:posOffset>
                </wp:positionH>
                <wp:positionV relativeFrom="paragraph">
                  <wp:posOffset>218275</wp:posOffset>
                </wp:positionV>
                <wp:extent cx="1829435" cy="762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728E1" id="Graphic 147" o:spid="_x0000_s1026" style="position:absolute;margin-left:1in;margin-top:17.2pt;width:144.05pt;height:.6pt;z-index:-156779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" path="m1829054,l,,,7619r1829054,l1829054,xe" fillcolor="black" stroked="f">
                <v:path arrowok="t"/>
                <w10:wrap type="topAndBottom" anchorx="page"/>
              </v:shape>
            </w:pict>
          </mc:Fallback>
        </mc:AlternateContent>
      </w:r>
    </w:p>
    <w:p w14:paraId="7CB262E8" w14:textId="77777777" w:rsidR="008A4099" w:rsidRDefault="006A6EE2">
      <w:pPr>
        <w:spacing w:before="112"/>
        <w:ind w:left="160"/>
        <w:rPr>
          <w:sz w:val="18"/>
        </w:rPr>
      </w:pPr>
      <w:r>
        <w:rPr>
          <w:sz w:val="18"/>
          <w:vertAlign w:val="superscript"/>
        </w:rPr>
        <w:t>510</w:t>
      </w:r>
      <w:r>
        <w:rPr>
          <w:spacing w:val="-1"/>
          <w:sz w:val="18"/>
        </w:rPr>
        <w:t xml:space="preserve"> </w:t>
      </w:r>
      <w:r>
        <w:rPr>
          <w:sz w:val="18"/>
        </w:rPr>
        <w:t>See</w:t>
      </w:r>
      <w:r>
        <w:rPr>
          <w:spacing w:val="-1"/>
          <w:sz w:val="18"/>
        </w:rPr>
        <w:t xml:space="preserve"> </w:t>
      </w:r>
      <w:r>
        <w:rPr>
          <w:sz w:val="18"/>
        </w:rPr>
        <w:t>TLRI 2007</w:t>
      </w:r>
      <w:r>
        <w:rPr>
          <w:spacing w:val="1"/>
          <w:sz w:val="18"/>
        </w:rPr>
        <w:t xml:space="preserve"> </w:t>
      </w:r>
      <w:r>
        <w:rPr>
          <w:sz w:val="18"/>
        </w:rPr>
        <w:t>Final Report,</w:t>
      </w:r>
      <w:r>
        <w:rPr>
          <w:spacing w:val="1"/>
          <w:sz w:val="18"/>
        </w:rPr>
        <w:t xml:space="preserve"> </w:t>
      </w:r>
      <w:r>
        <w:rPr>
          <w:sz w:val="18"/>
        </w:rPr>
        <w:t>Recommendation</w:t>
      </w:r>
      <w:r>
        <w:rPr>
          <w:spacing w:val="-1"/>
          <w:sz w:val="18"/>
        </w:rPr>
        <w:t xml:space="preserve"> </w:t>
      </w:r>
      <w:r>
        <w:rPr>
          <w:spacing w:val="-5"/>
          <w:sz w:val="18"/>
        </w:rPr>
        <w:t>23.</w:t>
      </w:r>
    </w:p>
    <w:p w14:paraId="7CB262E9" w14:textId="77777777" w:rsidR="008A4099" w:rsidRDefault="006A6EE2">
      <w:pPr>
        <w:spacing w:before="24" w:line="244" w:lineRule="auto"/>
        <w:ind w:left="160"/>
        <w:rPr>
          <w:sz w:val="18"/>
        </w:rPr>
      </w:pPr>
      <w:r>
        <w:rPr>
          <w:sz w:val="18"/>
          <w:vertAlign w:val="superscript"/>
        </w:rPr>
        <w:t>511</w:t>
      </w:r>
      <w:r>
        <w:rPr>
          <w:sz w:val="18"/>
        </w:rPr>
        <w:t xml:space="preserve"> In relation to the powers and role of the Anti-discrimination Commissioner, see </w:t>
      </w:r>
      <w:r>
        <w:rPr>
          <w:i/>
          <w:sz w:val="18"/>
        </w:rPr>
        <w:t xml:space="preserve">State of Tasmania v Anti-Discrimination Commissioner </w:t>
      </w:r>
      <w:r>
        <w:rPr>
          <w:sz w:val="18"/>
        </w:rPr>
        <w:t>[2022] TASSC 20.</w:t>
      </w:r>
    </w:p>
    <w:p w14:paraId="7CB262EA" w14:textId="77777777" w:rsidR="008A4099" w:rsidRDefault="006A6EE2">
      <w:pPr>
        <w:spacing w:before="14"/>
        <w:ind w:left="160"/>
        <w:rPr>
          <w:sz w:val="18"/>
        </w:rPr>
      </w:pPr>
      <w:r>
        <w:rPr>
          <w:sz w:val="18"/>
          <w:vertAlign w:val="superscript"/>
        </w:rPr>
        <w:t>512</w:t>
      </w:r>
      <w:r>
        <w:rPr>
          <w:spacing w:val="-1"/>
          <w:sz w:val="18"/>
        </w:rPr>
        <w:t xml:space="preserve"> </w:t>
      </w:r>
      <w:r>
        <w:rPr>
          <w:sz w:val="18"/>
        </w:rPr>
        <w:t>Watchirs,</w:t>
      </w:r>
      <w:r>
        <w:rPr>
          <w:spacing w:val="-1"/>
          <w:sz w:val="18"/>
        </w:rPr>
        <w:t xml:space="preserve"> </w:t>
      </w:r>
      <w:r>
        <w:rPr>
          <w:sz w:val="18"/>
        </w:rPr>
        <w:t>Costello and</w:t>
      </w:r>
      <w:r>
        <w:rPr>
          <w:spacing w:val="1"/>
          <w:sz w:val="18"/>
        </w:rPr>
        <w:t xml:space="preserve"> </w:t>
      </w:r>
      <w:r>
        <w:rPr>
          <w:sz w:val="18"/>
        </w:rPr>
        <w:t>Thilagaratnam,</w:t>
      </w:r>
      <w:r>
        <w:rPr>
          <w:spacing w:val="-1"/>
          <w:sz w:val="18"/>
        </w:rPr>
        <w:t xml:space="preserve"> </w:t>
      </w:r>
      <w:r>
        <w:rPr>
          <w:sz w:val="18"/>
        </w:rPr>
        <w:t>‘Human Rights</w:t>
      </w:r>
      <w:r>
        <w:rPr>
          <w:spacing w:val="-2"/>
          <w:sz w:val="18"/>
        </w:rPr>
        <w:t xml:space="preserve"> </w:t>
      </w:r>
      <w:r>
        <w:rPr>
          <w:sz w:val="18"/>
        </w:rPr>
        <w:t>Scrutiny</w:t>
      </w:r>
      <w:r>
        <w:rPr>
          <w:spacing w:val="-2"/>
          <w:sz w:val="18"/>
        </w:rPr>
        <w:t xml:space="preserve"> </w:t>
      </w:r>
      <w:r>
        <w:rPr>
          <w:sz w:val="18"/>
        </w:rPr>
        <w:t>under</w:t>
      </w:r>
      <w:r>
        <w:rPr>
          <w:spacing w:val="-1"/>
          <w:sz w:val="18"/>
        </w:rPr>
        <w:t xml:space="preserve"> </w:t>
      </w:r>
      <w:r>
        <w:rPr>
          <w:sz w:val="18"/>
        </w:rPr>
        <w:t>the</w:t>
      </w:r>
      <w:r>
        <w:rPr>
          <w:spacing w:val="-1"/>
          <w:sz w:val="18"/>
        </w:rPr>
        <w:t xml:space="preserve"> </w:t>
      </w:r>
      <w:r>
        <w:rPr>
          <w:sz w:val="18"/>
        </w:rPr>
        <w:t>Human</w:t>
      </w:r>
      <w:r>
        <w:rPr>
          <w:spacing w:val="-2"/>
          <w:sz w:val="18"/>
        </w:rPr>
        <w:t xml:space="preserve"> </w:t>
      </w:r>
      <w:r>
        <w:rPr>
          <w:sz w:val="18"/>
        </w:rPr>
        <w:t>Rights</w:t>
      </w:r>
      <w:r>
        <w:rPr>
          <w:spacing w:val="-2"/>
          <w:sz w:val="18"/>
        </w:rPr>
        <w:t xml:space="preserve"> </w:t>
      </w:r>
      <w:r>
        <w:rPr>
          <w:sz w:val="18"/>
        </w:rPr>
        <w:t>Act (ACT)’</w:t>
      </w:r>
      <w:r>
        <w:rPr>
          <w:spacing w:val="-1"/>
          <w:sz w:val="18"/>
        </w:rPr>
        <w:t xml:space="preserve"> </w:t>
      </w:r>
      <w:r>
        <w:rPr>
          <w:spacing w:val="-2"/>
          <w:sz w:val="18"/>
        </w:rPr>
        <w:t>[6.200].</w:t>
      </w:r>
    </w:p>
    <w:p w14:paraId="7CB262EB" w14:textId="77777777" w:rsidR="008A4099" w:rsidRDefault="006A6EE2">
      <w:pPr>
        <w:spacing w:before="24"/>
        <w:ind w:left="160"/>
        <w:rPr>
          <w:sz w:val="18"/>
        </w:rPr>
      </w:pPr>
      <w:r>
        <w:rPr>
          <w:sz w:val="18"/>
          <w:vertAlign w:val="superscript"/>
        </w:rPr>
        <w:t>513</w:t>
      </w:r>
      <w:r>
        <w:rPr>
          <w:spacing w:val="6"/>
          <w:sz w:val="18"/>
        </w:rPr>
        <w:t xml:space="preserve"> </w:t>
      </w:r>
      <w:r>
        <w:rPr>
          <w:sz w:val="18"/>
        </w:rPr>
        <w:t>Ibid</w:t>
      </w:r>
      <w:r>
        <w:rPr>
          <w:spacing w:val="6"/>
          <w:sz w:val="18"/>
        </w:rPr>
        <w:t xml:space="preserve"> </w:t>
      </w:r>
      <w:r>
        <w:rPr>
          <w:spacing w:val="-2"/>
          <w:sz w:val="18"/>
        </w:rPr>
        <w:t>[6.190].</w:t>
      </w:r>
    </w:p>
    <w:p w14:paraId="7CB262EC" w14:textId="77777777" w:rsidR="008A4099" w:rsidRDefault="008A4099">
      <w:pPr>
        <w:rPr>
          <w:sz w:val="18"/>
        </w:rPr>
        <w:sectPr w:rsidR="008A4099" w:rsidSect="00D43B2D">
          <w:pgSz w:w="11910" w:h="16840"/>
          <w:pgMar w:top="980" w:right="760" w:bottom="940" w:left="1280" w:header="718" w:footer="753" w:gutter="0"/>
          <w:cols w:space="720"/>
        </w:sectPr>
      </w:pPr>
    </w:p>
    <w:p w14:paraId="7CB262ED" w14:textId="77777777" w:rsidR="008A4099" w:rsidRDefault="008A4099">
      <w:pPr>
        <w:pStyle w:val="BodyText"/>
        <w:spacing w:before="194"/>
      </w:pPr>
    </w:p>
    <w:p w14:paraId="7CB262EE" w14:textId="77777777" w:rsidR="008A4099" w:rsidRDefault="006A6EE2">
      <w:pPr>
        <w:pStyle w:val="BodyText"/>
        <w:spacing w:line="242" w:lineRule="auto"/>
        <w:ind w:left="160" w:right="681"/>
        <w:jc w:val="both"/>
      </w:pPr>
      <w:r>
        <w:t>recommendation is an expansion of the function of the Human Rights Commissioner to reflect the experience</w:t>
      </w:r>
      <w:r>
        <w:rPr>
          <w:spacing w:val="-2"/>
        </w:rPr>
        <w:t xml:space="preserve"> </w:t>
      </w:r>
      <w:r>
        <w:t>in</w:t>
      </w:r>
      <w:r>
        <w:rPr>
          <w:spacing w:val="-3"/>
        </w:rPr>
        <w:t xml:space="preserve"> </w:t>
      </w:r>
      <w:r>
        <w:t>the ACT</w:t>
      </w:r>
      <w:r>
        <w:rPr>
          <w:spacing w:val="-3"/>
        </w:rPr>
        <w:t xml:space="preserve"> </w:t>
      </w:r>
      <w:r>
        <w:t>and</w:t>
      </w:r>
      <w:r>
        <w:rPr>
          <w:spacing w:val="-4"/>
        </w:rPr>
        <w:t xml:space="preserve"> </w:t>
      </w:r>
      <w:r>
        <w:t>is</w:t>
      </w:r>
      <w:r>
        <w:rPr>
          <w:spacing w:val="-2"/>
        </w:rPr>
        <w:t xml:space="preserve"> </w:t>
      </w:r>
      <w:r>
        <w:t>consistent with</w:t>
      </w:r>
      <w:r>
        <w:rPr>
          <w:spacing w:val="-3"/>
        </w:rPr>
        <w:t xml:space="preserve"> </w:t>
      </w:r>
      <w:r>
        <w:t>Recommendation</w:t>
      </w:r>
      <w:r>
        <w:rPr>
          <w:spacing w:val="-3"/>
        </w:rPr>
        <w:t xml:space="preserve"> </w:t>
      </w:r>
      <w:r>
        <w:t>19</w:t>
      </w:r>
      <w:r>
        <w:rPr>
          <w:spacing w:val="-3"/>
        </w:rPr>
        <w:t xml:space="preserve"> </w:t>
      </w:r>
      <w:r>
        <w:t>of</w:t>
      </w:r>
      <w:r>
        <w:rPr>
          <w:spacing w:val="-2"/>
        </w:rPr>
        <w:t xml:space="preserve"> </w:t>
      </w:r>
      <w:r>
        <w:t>the</w:t>
      </w:r>
      <w:r>
        <w:rPr>
          <w:spacing w:val="-2"/>
        </w:rPr>
        <w:t xml:space="preserve"> </w:t>
      </w:r>
      <w:r>
        <w:t>TLRI</w:t>
      </w:r>
      <w:r>
        <w:rPr>
          <w:spacing w:val="-2"/>
        </w:rPr>
        <w:t xml:space="preserve"> </w:t>
      </w:r>
      <w:r>
        <w:t>2007 Final</w:t>
      </w:r>
      <w:r>
        <w:rPr>
          <w:spacing w:val="-1"/>
        </w:rPr>
        <w:t xml:space="preserve"> </w:t>
      </w:r>
      <w:r>
        <w:t>Report</w:t>
      </w:r>
      <w:r>
        <w:rPr>
          <w:spacing w:val="-1"/>
        </w:rPr>
        <w:t xml:space="preserve"> </w:t>
      </w:r>
      <w:r>
        <w:t>(see Appendix A).</w:t>
      </w:r>
    </w:p>
    <w:p w14:paraId="7CB262EF" w14:textId="77777777" w:rsidR="008A4099" w:rsidRDefault="006A6EE2">
      <w:pPr>
        <w:pStyle w:val="BodyText"/>
        <w:spacing w:before="6"/>
        <w:rPr>
          <w:sz w:val="16"/>
        </w:rPr>
      </w:pPr>
      <w:r>
        <w:rPr>
          <w:noProof/>
        </w:rPr>
        <mc:AlternateContent>
          <mc:Choice Requires="wps">
            <w:drawing>
              <wp:anchor distT="0" distB="0" distL="0" distR="0" simplePos="0" relativeHeight="487639040" behindDoc="1" locked="0" layoutInCell="1" allowOverlap="1" wp14:anchorId="7CB266A1" wp14:editId="7CB266A2">
                <wp:simplePos x="0" y="0"/>
                <wp:positionH relativeFrom="page">
                  <wp:posOffset>914704</wp:posOffset>
                </wp:positionH>
                <wp:positionV relativeFrom="paragraph">
                  <wp:posOffset>136459</wp:posOffset>
                </wp:positionV>
                <wp:extent cx="5727065" cy="1652270"/>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652270"/>
                        </a:xfrm>
                        <a:prstGeom prst="rect">
                          <a:avLst/>
                        </a:prstGeom>
                        <a:solidFill>
                          <a:srgbClr val="E8E8E8"/>
                        </a:solidFill>
                      </wps:spPr>
                      <wps:txbx>
                        <w:txbxContent>
                          <w:p w14:paraId="7CB26798" w14:textId="77777777" w:rsidR="008A4099" w:rsidRDefault="006A6EE2">
                            <w:pPr>
                              <w:spacing w:before="219"/>
                              <w:ind w:left="108"/>
                              <w:rPr>
                                <w:b/>
                                <w:color w:val="000000"/>
                                <w:sz w:val="23"/>
                              </w:rPr>
                            </w:pPr>
                            <w:r>
                              <w:rPr>
                                <w:b/>
                                <w:color w:val="000000"/>
                                <w:sz w:val="23"/>
                              </w:rPr>
                              <w:t>Recommendation</w:t>
                            </w:r>
                            <w:r>
                              <w:rPr>
                                <w:b/>
                                <w:color w:val="000000"/>
                                <w:spacing w:val="-6"/>
                                <w:sz w:val="23"/>
                              </w:rPr>
                              <w:t xml:space="preserve"> </w:t>
                            </w:r>
                            <w:r>
                              <w:rPr>
                                <w:b/>
                                <w:color w:val="000000"/>
                                <w:sz w:val="23"/>
                              </w:rPr>
                              <w:t>17</w:t>
                            </w:r>
                            <w:r>
                              <w:rPr>
                                <w:b/>
                                <w:color w:val="000000"/>
                                <w:spacing w:val="-2"/>
                                <w:sz w:val="23"/>
                              </w:rPr>
                              <w:t xml:space="preserve"> </w:t>
                            </w:r>
                            <w:r>
                              <w:rPr>
                                <w:b/>
                                <w:color w:val="000000"/>
                                <w:sz w:val="23"/>
                              </w:rPr>
                              <w:t>–</w:t>
                            </w:r>
                            <w:r>
                              <w:rPr>
                                <w:b/>
                                <w:color w:val="000000"/>
                                <w:spacing w:val="-2"/>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2"/>
                                <w:sz w:val="23"/>
                              </w:rPr>
                              <w:t>Commissioner</w:t>
                            </w:r>
                          </w:p>
                          <w:p w14:paraId="7CB26799" w14:textId="77777777" w:rsidR="008A4099" w:rsidRDefault="006A6EE2">
                            <w:pPr>
                              <w:pStyle w:val="BodyText"/>
                              <w:spacing w:before="240"/>
                              <w:ind w:left="108"/>
                              <w:rPr>
                                <w:color w:val="000000"/>
                              </w:rPr>
                            </w:pPr>
                            <w:r>
                              <w:rPr>
                                <w:color w:val="000000"/>
                              </w:rPr>
                              <w:t>That</w:t>
                            </w:r>
                            <w:r>
                              <w:rPr>
                                <w:color w:val="000000"/>
                                <w:spacing w:val="28"/>
                              </w:rPr>
                              <w:t xml:space="preserve"> </w:t>
                            </w:r>
                            <w:r>
                              <w:rPr>
                                <w:color w:val="000000"/>
                              </w:rPr>
                              <w:t>an</w:t>
                            </w:r>
                            <w:r>
                              <w:rPr>
                                <w:color w:val="000000"/>
                                <w:spacing w:val="27"/>
                              </w:rPr>
                              <w:t xml:space="preserve"> </w:t>
                            </w:r>
                            <w:r>
                              <w:rPr>
                                <w:color w:val="000000"/>
                              </w:rPr>
                              <w:t>independent</w:t>
                            </w:r>
                            <w:r>
                              <w:rPr>
                                <w:color w:val="000000"/>
                                <w:spacing w:val="30"/>
                              </w:rPr>
                              <w:t xml:space="preserve"> </w:t>
                            </w:r>
                            <w:r>
                              <w:rPr>
                                <w:color w:val="000000"/>
                              </w:rPr>
                              <w:t>office</w:t>
                            </w:r>
                            <w:r>
                              <w:rPr>
                                <w:color w:val="000000"/>
                                <w:spacing w:val="29"/>
                              </w:rPr>
                              <w:t xml:space="preserve"> </w:t>
                            </w:r>
                            <w:r>
                              <w:rPr>
                                <w:color w:val="000000"/>
                              </w:rPr>
                              <w:t>of</w:t>
                            </w:r>
                            <w:r>
                              <w:rPr>
                                <w:color w:val="000000"/>
                                <w:spacing w:val="30"/>
                              </w:rPr>
                              <w:t xml:space="preserve"> </w:t>
                            </w:r>
                            <w:r>
                              <w:rPr>
                                <w:color w:val="000000"/>
                              </w:rPr>
                              <w:t>Tasmanian</w:t>
                            </w:r>
                            <w:r>
                              <w:rPr>
                                <w:color w:val="000000"/>
                                <w:spacing w:val="29"/>
                              </w:rPr>
                              <w:t xml:space="preserve"> </w:t>
                            </w:r>
                            <w:r>
                              <w:rPr>
                                <w:color w:val="000000"/>
                              </w:rPr>
                              <w:t>Human</w:t>
                            </w:r>
                            <w:r>
                              <w:rPr>
                                <w:color w:val="000000"/>
                                <w:spacing w:val="29"/>
                              </w:rPr>
                              <w:t xml:space="preserve"> </w:t>
                            </w:r>
                            <w:r>
                              <w:rPr>
                                <w:color w:val="000000"/>
                              </w:rPr>
                              <w:t>Rights</w:t>
                            </w:r>
                            <w:r>
                              <w:rPr>
                                <w:color w:val="000000"/>
                                <w:spacing w:val="32"/>
                              </w:rPr>
                              <w:t xml:space="preserve"> </w:t>
                            </w:r>
                            <w:r>
                              <w:rPr>
                                <w:color w:val="000000"/>
                              </w:rPr>
                              <w:t>Commissioner</w:t>
                            </w:r>
                            <w:r>
                              <w:rPr>
                                <w:color w:val="000000"/>
                                <w:spacing w:val="28"/>
                              </w:rPr>
                              <w:t xml:space="preserve"> </w:t>
                            </w:r>
                            <w:r>
                              <w:rPr>
                                <w:color w:val="000000"/>
                              </w:rPr>
                              <w:t>be</w:t>
                            </w:r>
                            <w:r>
                              <w:rPr>
                                <w:color w:val="000000"/>
                                <w:spacing w:val="27"/>
                              </w:rPr>
                              <w:t xml:space="preserve"> </w:t>
                            </w:r>
                            <w:r>
                              <w:rPr>
                                <w:color w:val="000000"/>
                              </w:rPr>
                              <w:t>established</w:t>
                            </w:r>
                            <w:r>
                              <w:rPr>
                                <w:color w:val="000000"/>
                                <w:spacing w:val="27"/>
                              </w:rPr>
                              <w:t xml:space="preserve"> </w:t>
                            </w:r>
                            <w:r>
                              <w:rPr>
                                <w:color w:val="000000"/>
                              </w:rPr>
                              <w:t>under</w:t>
                            </w:r>
                            <w:r>
                              <w:rPr>
                                <w:color w:val="000000"/>
                                <w:spacing w:val="28"/>
                              </w:rPr>
                              <w:t xml:space="preserve"> </w:t>
                            </w:r>
                            <w:r>
                              <w:rPr>
                                <w:color w:val="000000"/>
                              </w:rPr>
                              <w:t>a Tasmanian human rights enactment.</w:t>
                            </w:r>
                          </w:p>
                          <w:p w14:paraId="7CB2679A" w14:textId="77777777" w:rsidR="008A4099" w:rsidRDefault="006A6EE2">
                            <w:pPr>
                              <w:pStyle w:val="BodyText"/>
                              <w:spacing w:before="120"/>
                              <w:ind w:left="108"/>
                              <w:rPr>
                                <w:color w:val="000000"/>
                              </w:rPr>
                            </w:pPr>
                            <w:r>
                              <w:rPr>
                                <w:color w:val="000000"/>
                              </w:rPr>
                              <w:t>The functions and powers of a Tasmanian Human Rights Commissioner should include advising government and Cabinet on the preparation of legislation.</w:t>
                            </w:r>
                          </w:p>
                          <w:p w14:paraId="7CB2679B" w14:textId="77777777" w:rsidR="008A4099" w:rsidRDefault="006A6EE2">
                            <w:pPr>
                              <w:pStyle w:val="BodyText"/>
                              <w:spacing w:before="118" w:line="244" w:lineRule="auto"/>
                              <w:ind w:left="108"/>
                              <w:rPr>
                                <w:color w:val="000000"/>
                              </w:rPr>
                            </w:pPr>
                            <w:r>
                              <w:rPr>
                                <w:color w:val="000000"/>
                              </w:rPr>
                              <w:t>Further,</w:t>
                            </w:r>
                            <w:r>
                              <w:rPr>
                                <w:color w:val="000000"/>
                                <w:spacing w:val="40"/>
                              </w:rPr>
                              <w:t xml:space="preserve"> </w:t>
                            </w:r>
                            <w:r>
                              <w:rPr>
                                <w:color w:val="000000"/>
                              </w:rPr>
                              <w:t>explicit</w:t>
                            </w:r>
                            <w:r>
                              <w:rPr>
                                <w:color w:val="000000"/>
                                <w:spacing w:val="40"/>
                              </w:rPr>
                              <w:t xml:space="preserve"> </w:t>
                            </w:r>
                            <w:r>
                              <w:rPr>
                                <w:color w:val="000000"/>
                              </w:rPr>
                              <w:t>arrangements</w:t>
                            </w:r>
                            <w:r>
                              <w:rPr>
                                <w:color w:val="000000"/>
                                <w:spacing w:val="40"/>
                              </w:rPr>
                              <w:t xml:space="preserve"> </w:t>
                            </w:r>
                            <w:r>
                              <w:rPr>
                                <w:color w:val="000000"/>
                              </w:rPr>
                              <w:t>should</w:t>
                            </w:r>
                            <w:r>
                              <w:rPr>
                                <w:color w:val="000000"/>
                                <w:spacing w:val="40"/>
                              </w:rPr>
                              <w:t xml:space="preserve"> </w:t>
                            </w:r>
                            <w:r>
                              <w:rPr>
                                <w:color w:val="000000"/>
                              </w:rPr>
                              <w:t>be</w:t>
                            </w:r>
                            <w:r>
                              <w:rPr>
                                <w:color w:val="000000"/>
                                <w:spacing w:val="40"/>
                              </w:rPr>
                              <w:t xml:space="preserve"> </w:t>
                            </w:r>
                            <w:r>
                              <w:rPr>
                                <w:color w:val="000000"/>
                              </w:rPr>
                              <w:t>put</w:t>
                            </w:r>
                            <w:r>
                              <w:rPr>
                                <w:color w:val="000000"/>
                                <w:spacing w:val="40"/>
                              </w:rPr>
                              <w:t xml:space="preserve"> </w:t>
                            </w:r>
                            <w:r>
                              <w:rPr>
                                <w:color w:val="000000"/>
                              </w:rPr>
                              <w:t>in</w:t>
                            </w:r>
                            <w:r>
                              <w:rPr>
                                <w:color w:val="000000"/>
                                <w:spacing w:val="40"/>
                              </w:rPr>
                              <w:t xml:space="preserve"> </w:t>
                            </w:r>
                            <w:r>
                              <w:rPr>
                                <w:color w:val="000000"/>
                              </w:rPr>
                              <w:t>place</w:t>
                            </w:r>
                            <w:r>
                              <w:rPr>
                                <w:color w:val="000000"/>
                                <w:spacing w:val="40"/>
                              </w:rPr>
                              <w:t xml:space="preserve"> </w:t>
                            </w:r>
                            <w:r>
                              <w:rPr>
                                <w:color w:val="000000"/>
                              </w:rPr>
                              <w:t>to</w:t>
                            </w:r>
                            <w:r>
                              <w:rPr>
                                <w:color w:val="000000"/>
                                <w:spacing w:val="40"/>
                              </w:rPr>
                              <w:t xml:space="preserve"> </w:t>
                            </w:r>
                            <w:r>
                              <w:rPr>
                                <w:color w:val="000000"/>
                              </w:rPr>
                              <w:t>provide</w:t>
                            </w:r>
                            <w:r>
                              <w:rPr>
                                <w:color w:val="000000"/>
                                <w:spacing w:val="40"/>
                              </w:rPr>
                              <w:t xml:space="preserve"> </w:t>
                            </w:r>
                            <w:r>
                              <w:rPr>
                                <w:color w:val="000000"/>
                              </w:rPr>
                              <w:t>for</w:t>
                            </w:r>
                            <w:r>
                              <w:rPr>
                                <w:color w:val="000000"/>
                                <w:spacing w:val="40"/>
                              </w:rPr>
                              <w:t xml:space="preserve"> </w:t>
                            </w:r>
                            <w:r>
                              <w:rPr>
                                <w:color w:val="000000"/>
                              </w:rPr>
                              <w:t>early</w:t>
                            </w:r>
                            <w:r>
                              <w:rPr>
                                <w:color w:val="000000"/>
                                <w:spacing w:val="38"/>
                              </w:rPr>
                              <w:t xml:space="preserve"> </w:t>
                            </w:r>
                            <w:r>
                              <w:rPr>
                                <w:color w:val="000000"/>
                              </w:rPr>
                              <w:t>review</w:t>
                            </w:r>
                            <w:r>
                              <w:rPr>
                                <w:color w:val="000000"/>
                                <w:spacing w:val="40"/>
                              </w:rPr>
                              <w:t xml:space="preserve"> </w:t>
                            </w:r>
                            <w:r>
                              <w:rPr>
                                <w:color w:val="000000"/>
                              </w:rPr>
                              <w:t>of</w:t>
                            </w:r>
                            <w:r>
                              <w:rPr>
                                <w:color w:val="000000"/>
                                <w:spacing w:val="40"/>
                              </w:rPr>
                              <w:t xml:space="preserve"> </w:t>
                            </w:r>
                            <w:r>
                              <w:rPr>
                                <w:color w:val="000000"/>
                              </w:rPr>
                              <w:t>all</w:t>
                            </w:r>
                            <w:r>
                              <w:rPr>
                                <w:color w:val="000000"/>
                                <w:spacing w:val="39"/>
                              </w:rPr>
                              <w:t xml:space="preserve"> </w:t>
                            </w:r>
                            <w:r>
                              <w:rPr>
                                <w:color w:val="000000"/>
                              </w:rPr>
                              <w:t>laws identified as potentially affecting human rights.</w:t>
                            </w:r>
                          </w:p>
                        </w:txbxContent>
                      </wps:txbx>
                      <wps:bodyPr wrap="square" lIns="0" tIns="0" rIns="0" bIns="0" rtlCol="0">
                        <a:noAutofit/>
                      </wps:bodyPr>
                    </wps:wsp>
                  </a:graphicData>
                </a:graphic>
              </wp:anchor>
            </w:drawing>
          </mc:Choice>
          <mc:Fallback>
            <w:pict>
              <v:shape w14:anchorId="7CB266A1" id="Textbox 148" o:spid="_x0000_s1043" type="#_x0000_t202" style="position:absolute;margin-left:1in;margin-top:10.75pt;width:450.95pt;height:130.1pt;z-index:-1567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" fillcolor="#e8e8e8" stroked="f">
                <v:textbox inset="0,0,0,0">
                  <w:txbxContent>
                    <w:p w14:paraId="7CB26798" w14:textId="77777777" w:rsidR="008A4099" w:rsidRDefault="006A6EE2">
                      <w:pPr>
                        <w:spacing w:before="219"/>
                        <w:ind w:left="108"/>
                        <w:rPr>
                          <w:b/>
                          <w:color w:val="000000"/>
                          <w:sz w:val="23"/>
                        </w:rPr>
                      </w:pPr>
                      <w:r>
                        <w:rPr>
                          <w:b/>
                          <w:color w:val="000000"/>
                          <w:sz w:val="23"/>
                        </w:rPr>
                        <w:t>Recommendation</w:t>
                      </w:r>
                      <w:r>
                        <w:rPr>
                          <w:b/>
                          <w:color w:val="000000"/>
                          <w:spacing w:val="-6"/>
                          <w:sz w:val="23"/>
                        </w:rPr>
                        <w:t xml:space="preserve"> </w:t>
                      </w:r>
                      <w:r>
                        <w:rPr>
                          <w:b/>
                          <w:color w:val="000000"/>
                          <w:sz w:val="23"/>
                        </w:rPr>
                        <w:t>17</w:t>
                      </w:r>
                      <w:r>
                        <w:rPr>
                          <w:b/>
                          <w:color w:val="000000"/>
                          <w:spacing w:val="-2"/>
                          <w:sz w:val="23"/>
                        </w:rPr>
                        <w:t xml:space="preserve"> </w:t>
                      </w:r>
                      <w:r>
                        <w:rPr>
                          <w:b/>
                          <w:color w:val="000000"/>
                          <w:sz w:val="23"/>
                        </w:rPr>
                        <w:t>–</w:t>
                      </w:r>
                      <w:r>
                        <w:rPr>
                          <w:b/>
                          <w:color w:val="000000"/>
                          <w:spacing w:val="-2"/>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2"/>
                          <w:sz w:val="23"/>
                        </w:rPr>
                        <w:t>Commissioner</w:t>
                      </w:r>
                    </w:p>
                    <w:p w14:paraId="7CB26799" w14:textId="77777777" w:rsidR="008A4099" w:rsidRDefault="006A6EE2">
                      <w:pPr>
                        <w:pStyle w:val="BodyText"/>
                        <w:spacing w:before="240"/>
                        <w:ind w:left="108"/>
                        <w:rPr>
                          <w:color w:val="000000"/>
                        </w:rPr>
                      </w:pPr>
                      <w:r>
                        <w:rPr>
                          <w:color w:val="000000"/>
                        </w:rPr>
                        <w:t>That</w:t>
                      </w:r>
                      <w:r>
                        <w:rPr>
                          <w:color w:val="000000"/>
                          <w:spacing w:val="28"/>
                        </w:rPr>
                        <w:t xml:space="preserve"> </w:t>
                      </w:r>
                      <w:r>
                        <w:rPr>
                          <w:color w:val="000000"/>
                        </w:rPr>
                        <w:t>an</w:t>
                      </w:r>
                      <w:r>
                        <w:rPr>
                          <w:color w:val="000000"/>
                          <w:spacing w:val="27"/>
                        </w:rPr>
                        <w:t xml:space="preserve"> </w:t>
                      </w:r>
                      <w:r>
                        <w:rPr>
                          <w:color w:val="000000"/>
                        </w:rPr>
                        <w:t>independent</w:t>
                      </w:r>
                      <w:r>
                        <w:rPr>
                          <w:color w:val="000000"/>
                          <w:spacing w:val="30"/>
                        </w:rPr>
                        <w:t xml:space="preserve"> </w:t>
                      </w:r>
                      <w:r>
                        <w:rPr>
                          <w:color w:val="000000"/>
                        </w:rPr>
                        <w:t>office</w:t>
                      </w:r>
                      <w:r>
                        <w:rPr>
                          <w:color w:val="000000"/>
                          <w:spacing w:val="29"/>
                        </w:rPr>
                        <w:t xml:space="preserve"> </w:t>
                      </w:r>
                      <w:r>
                        <w:rPr>
                          <w:color w:val="000000"/>
                        </w:rPr>
                        <w:t>of</w:t>
                      </w:r>
                      <w:r>
                        <w:rPr>
                          <w:color w:val="000000"/>
                          <w:spacing w:val="30"/>
                        </w:rPr>
                        <w:t xml:space="preserve"> </w:t>
                      </w:r>
                      <w:r>
                        <w:rPr>
                          <w:color w:val="000000"/>
                        </w:rPr>
                        <w:t>Tasmanian</w:t>
                      </w:r>
                      <w:r>
                        <w:rPr>
                          <w:color w:val="000000"/>
                          <w:spacing w:val="29"/>
                        </w:rPr>
                        <w:t xml:space="preserve"> </w:t>
                      </w:r>
                      <w:r>
                        <w:rPr>
                          <w:color w:val="000000"/>
                        </w:rPr>
                        <w:t>Human</w:t>
                      </w:r>
                      <w:r>
                        <w:rPr>
                          <w:color w:val="000000"/>
                          <w:spacing w:val="29"/>
                        </w:rPr>
                        <w:t xml:space="preserve"> </w:t>
                      </w:r>
                      <w:r>
                        <w:rPr>
                          <w:color w:val="000000"/>
                        </w:rPr>
                        <w:t>Rights</w:t>
                      </w:r>
                      <w:r>
                        <w:rPr>
                          <w:color w:val="000000"/>
                          <w:spacing w:val="32"/>
                        </w:rPr>
                        <w:t xml:space="preserve"> </w:t>
                      </w:r>
                      <w:r>
                        <w:rPr>
                          <w:color w:val="000000"/>
                        </w:rPr>
                        <w:t>Commissioner</w:t>
                      </w:r>
                      <w:r>
                        <w:rPr>
                          <w:color w:val="000000"/>
                          <w:spacing w:val="28"/>
                        </w:rPr>
                        <w:t xml:space="preserve"> </w:t>
                      </w:r>
                      <w:r>
                        <w:rPr>
                          <w:color w:val="000000"/>
                        </w:rPr>
                        <w:t>be</w:t>
                      </w:r>
                      <w:r>
                        <w:rPr>
                          <w:color w:val="000000"/>
                          <w:spacing w:val="27"/>
                        </w:rPr>
                        <w:t xml:space="preserve"> </w:t>
                      </w:r>
                      <w:r>
                        <w:rPr>
                          <w:color w:val="000000"/>
                        </w:rPr>
                        <w:t>established</w:t>
                      </w:r>
                      <w:r>
                        <w:rPr>
                          <w:color w:val="000000"/>
                          <w:spacing w:val="27"/>
                        </w:rPr>
                        <w:t xml:space="preserve"> </w:t>
                      </w:r>
                      <w:r>
                        <w:rPr>
                          <w:color w:val="000000"/>
                        </w:rPr>
                        <w:t>under</w:t>
                      </w:r>
                      <w:r>
                        <w:rPr>
                          <w:color w:val="000000"/>
                          <w:spacing w:val="28"/>
                        </w:rPr>
                        <w:t xml:space="preserve"> </w:t>
                      </w:r>
                      <w:r>
                        <w:rPr>
                          <w:color w:val="000000"/>
                        </w:rPr>
                        <w:t>a Tasmanian human rights enactment.</w:t>
                      </w:r>
                    </w:p>
                    <w:p w14:paraId="7CB2679A" w14:textId="77777777" w:rsidR="008A4099" w:rsidRDefault="006A6EE2">
                      <w:pPr>
                        <w:pStyle w:val="BodyText"/>
                        <w:spacing w:before="120"/>
                        <w:ind w:left="108"/>
                        <w:rPr>
                          <w:color w:val="000000"/>
                        </w:rPr>
                      </w:pPr>
                      <w:r>
                        <w:rPr>
                          <w:color w:val="000000"/>
                        </w:rPr>
                        <w:t>The functions and powers of a Tasmanian Human Rights Commissioner should include advising government and Cabinet on the preparation of legislation.</w:t>
                      </w:r>
                    </w:p>
                    <w:p w14:paraId="7CB2679B" w14:textId="77777777" w:rsidR="008A4099" w:rsidRDefault="006A6EE2">
                      <w:pPr>
                        <w:pStyle w:val="BodyText"/>
                        <w:spacing w:before="118" w:line="244" w:lineRule="auto"/>
                        <w:ind w:left="108"/>
                        <w:rPr>
                          <w:color w:val="000000"/>
                        </w:rPr>
                      </w:pPr>
                      <w:r>
                        <w:rPr>
                          <w:color w:val="000000"/>
                        </w:rPr>
                        <w:t>Further,</w:t>
                      </w:r>
                      <w:r>
                        <w:rPr>
                          <w:color w:val="000000"/>
                          <w:spacing w:val="40"/>
                        </w:rPr>
                        <w:t xml:space="preserve"> </w:t>
                      </w:r>
                      <w:r>
                        <w:rPr>
                          <w:color w:val="000000"/>
                        </w:rPr>
                        <w:t>explicit</w:t>
                      </w:r>
                      <w:r>
                        <w:rPr>
                          <w:color w:val="000000"/>
                          <w:spacing w:val="40"/>
                        </w:rPr>
                        <w:t xml:space="preserve"> </w:t>
                      </w:r>
                      <w:r>
                        <w:rPr>
                          <w:color w:val="000000"/>
                        </w:rPr>
                        <w:t>arrangements</w:t>
                      </w:r>
                      <w:r>
                        <w:rPr>
                          <w:color w:val="000000"/>
                          <w:spacing w:val="40"/>
                        </w:rPr>
                        <w:t xml:space="preserve"> </w:t>
                      </w:r>
                      <w:r>
                        <w:rPr>
                          <w:color w:val="000000"/>
                        </w:rPr>
                        <w:t>should</w:t>
                      </w:r>
                      <w:r>
                        <w:rPr>
                          <w:color w:val="000000"/>
                          <w:spacing w:val="40"/>
                        </w:rPr>
                        <w:t xml:space="preserve"> </w:t>
                      </w:r>
                      <w:r>
                        <w:rPr>
                          <w:color w:val="000000"/>
                        </w:rPr>
                        <w:t>be</w:t>
                      </w:r>
                      <w:r>
                        <w:rPr>
                          <w:color w:val="000000"/>
                          <w:spacing w:val="40"/>
                        </w:rPr>
                        <w:t xml:space="preserve"> </w:t>
                      </w:r>
                      <w:r>
                        <w:rPr>
                          <w:color w:val="000000"/>
                        </w:rPr>
                        <w:t>put</w:t>
                      </w:r>
                      <w:r>
                        <w:rPr>
                          <w:color w:val="000000"/>
                          <w:spacing w:val="40"/>
                        </w:rPr>
                        <w:t xml:space="preserve"> </w:t>
                      </w:r>
                      <w:r>
                        <w:rPr>
                          <w:color w:val="000000"/>
                        </w:rPr>
                        <w:t>in</w:t>
                      </w:r>
                      <w:r>
                        <w:rPr>
                          <w:color w:val="000000"/>
                          <w:spacing w:val="40"/>
                        </w:rPr>
                        <w:t xml:space="preserve"> </w:t>
                      </w:r>
                      <w:r>
                        <w:rPr>
                          <w:color w:val="000000"/>
                        </w:rPr>
                        <w:t>place</w:t>
                      </w:r>
                      <w:r>
                        <w:rPr>
                          <w:color w:val="000000"/>
                          <w:spacing w:val="40"/>
                        </w:rPr>
                        <w:t xml:space="preserve"> </w:t>
                      </w:r>
                      <w:r>
                        <w:rPr>
                          <w:color w:val="000000"/>
                        </w:rPr>
                        <w:t>to</w:t>
                      </w:r>
                      <w:r>
                        <w:rPr>
                          <w:color w:val="000000"/>
                          <w:spacing w:val="40"/>
                        </w:rPr>
                        <w:t xml:space="preserve"> </w:t>
                      </w:r>
                      <w:r>
                        <w:rPr>
                          <w:color w:val="000000"/>
                        </w:rPr>
                        <w:t>provide</w:t>
                      </w:r>
                      <w:r>
                        <w:rPr>
                          <w:color w:val="000000"/>
                          <w:spacing w:val="40"/>
                        </w:rPr>
                        <w:t xml:space="preserve"> </w:t>
                      </w:r>
                      <w:r>
                        <w:rPr>
                          <w:color w:val="000000"/>
                        </w:rPr>
                        <w:t>for</w:t>
                      </w:r>
                      <w:r>
                        <w:rPr>
                          <w:color w:val="000000"/>
                          <w:spacing w:val="40"/>
                        </w:rPr>
                        <w:t xml:space="preserve"> </w:t>
                      </w:r>
                      <w:r>
                        <w:rPr>
                          <w:color w:val="000000"/>
                        </w:rPr>
                        <w:t>early</w:t>
                      </w:r>
                      <w:r>
                        <w:rPr>
                          <w:color w:val="000000"/>
                          <w:spacing w:val="38"/>
                        </w:rPr>
                        <w:t xml:space="preserve"> </w:t>
                      </w:r>
                      <w:r>
                        <w:rPr>
                          <w:color w:val="000000"/>
                        </w:rPr>
                        <w:t>review</w:t>
                      </w:r>
                      <w:r>
                        <w:rPr>
                          <w:color w:val="000000"/>
                          <w:spacing w:val="40"/>
                        </w:rPr>
                        <w:t xml:space="preserve"> </w:t>
                      </w:r>
                      <w:r>
                        <w:rPr>
                          <w:color w:val="000000"/>
                        </w:rPr>
                        <w:t>of</w:t>
                      </w:r>
                      <w:r>
                        <w:rPr>
                          <w:color w:val="000000"/>
                          <w:spacing w:val="40"/>
                        </w:rPr>
                        <w:t xml:space="preserve"> </w:t>
                      </w:r>
                      <w:r>
                        <w:rPr>
                          <w:color w:val="000000"/>
                        </w:rPr>
                        <w:t>all</w:t>
                      </w:r>
                      <w:r>
                        <w:rPr>
                          <w:color w:val="000000"/>
                          <w:spacing w:val="39"/>
                        </w:rPr>
                        <w:t xml:space="preserve"> </w:t>
                      </w:r>
                      <w:r>
                        <w:rPr>
                          <w:color w:val="000000"/>
                        </w:rPr>
                        <w:t>laws identified as potentially affecting human rights.</w:t>
                      </w:r>
                    </w:p>
                  </w:txbxContent>
                </v:textbox>
                <w10:wrap type="topAndBottom" anchorx="page"/>
              </v:shape>
            </w:pict>
          </mc:Fallback>
        </mc:AlternateContent>
      </w:r>
    </w:p>
    <w:p w14:paraId="7CB262F0" w14:textId="77777777" w:rsidR="008A4099" w:rsidRDefault="006A6EE2">
      <w:pPr>
        <w:pStyle w:val="Heading4"/>
      </w:pPr>
      <w:bookmarkStart w:id="56" w:name="_TOC_250004"/>
      <w:bookmarkEnd w:id="56"/>
      <w:r>
        <w:rPr>
          <w:spacing w:val="-2"/>
        </w:rPr>
        <w:t>Intervention</w:t>
      </w:r>
    </w:p>
    <w:p w14:paraId="7CB262F1" w14:textId="77777777" w:rsidR="008A4099" w:rsidRDefault="008A4099">
      <w:pPr>
        <w:pStyle w:val="BodyText"/>
        <w:spacing w:before="16"/>
        <w:rPr>
          <w:b/>
          <w:i/>
          <w:sz w:val="23"/>
        </w:rPr>
      </w:pPr>
    </w:p>
    <w:p w14:paraId="7CB262F2" w14:textId="77777777" w:rsidR="008A4099" w:rsidRDefault="006A6EE2">
      <w:pPr>
        <w:pStyle w:val="Heading3"/>
      </w:pPr>
      <w:r>
        <w:t>TLRI</w:t>
      </w:r>
      <w:r>
        <w:rPr>
          <w:spacing w:val="-3"/>
        </w:rPr>
        <w:t xml:space="preserve"> </w:t>
      </w:r>
      <w:r>
        <w:t>2007</w:t>
      </w:r>
      <w:r>
        <w:rPr>
          <w:spacing w:val="-2"/>
        </w:rPr>
        <w:t xml:space="preserve"> </w:t>
      </w:r>
      <w:r>
        <w:t>Final</w:t>
      </w:r>
      <w:r>
        <w:rPr>
          <w:spacing w:val="-3"/>
        </w:rPr>
        <w:t xml:space="preserve"> </w:t>
      </w:r>
      <w:r>
        <w:t>report</w:t>
      </w:r>
      <w:r>
        <w:rPr>
          <w:spacing w:val="-4"/>
        </w:rPr>
        <w:t xml:space="preserve"> </w:t>
      </w:r>
      <w:r>
        <w:t>and</w:t>
      </w:r>
      <w:r>
        <w:rPr>
          <w:spacing w:val="-3"/>
        </w:rPr>
        <w:t xml:space="preserve"> </w:t>
      </w:r>
      <w:r>
        <w:t>subsequent</w:t>
      </w:r>
      <w:r>
        <w:rPr>
          <w:spacing w:val="-1"/>
        </w:rPr>
        <w:t xml:space="preserve"> </w:t>
      </w:r>
      <w:r>
        <w:rPr>
          <w:spacing w:val="-2"/>
        </w:rPr>
        <w:t>developments</w:t>
      </w:r>
    </w:p>
    <w:p w14:paraId="7CB262F3" w14:textId="77777777" w:rsidR="008A4099" w:rsidRDefault="006A6EE2">
      <w:pPr>
        <w:pStyle w:val="ListParagraph"/>
        <w:numPr>
          <w:ilvl w:val="2"/>
          <w:numId w:val="3"/>
        </w:numPr>
        <w:tabs>
          <w:tab w:val="left" w:pos="879"/>
        </w:tabs>
        <w:spacing w:before="264" w:line="237" w:lineRule="auto"/>
        <w:ind w:right="676" w:firstLine="0"/>
        <w:jc w:val="both"/>
        <w:rPr>
          <w:sz w:val="13"/>
        </w:rPr>
      </w:pPr>
      <w:r>
        <w:t>In the 2007 Final Report, the TLRI recommended that the powers and functions of the office of the Tasmanian Human Rights Commissioner include the power to intervene as amicus curiae or be joined as a party in any proceedings (court or tribunal) involving interpretation of the Charter.</w:t>
      </w:r>
      <w:r>
        <w:rPr>
          <w:position w:val="7"/>
          <w:sz w:val="13"/>
        </w:rPr>
        <w:t>514</w:t>
      </w:r>
    </w:p>
    <w:p w14:paraId="7CB262F4" w14:textId="77777777" w:rsidR="008A4099" w:rsidRDefault="006A6EE2">
      <w:pPr>
        <w:pStyle w:val="ListParagraph"/>
        <w:numPr>
          <w:ilvl w:val="2"/>
          <w:numId w:val="3"/>
        </w:numPr>
        <w:tabs>
          <w:tab w:val="left" w:pos="879"/>
        </w:tabs>
        <w:spacing w:before="219"/>
        <w:ind w:right="674" w:firstLine="0"/>
        <w:jc w:val="both"/>
        <w:rPr>
          <w:sz w:val="13"/>
        </w:rPr>
      </w:pPr>
      <w:r>
        <w:t>All three Australian jurisdictions with human rights enactments explicitly allow the Attorney- General and the Commission to intervene as of right in any court or tribunal proceeding that raises a question of law relating to their respective human rights legislation.</w:t>
      </w:r>
      <w:r>
        <w:rPr>
          <w:position w:val="7"/>
          <w:sz w:val="13"/>
        </w:rPr>
        <w:t>515</w:t>
      </w:r>
      <w:r>
        <w:rPr>
          <w:spacing w:val="30"/>
          <w:position w:val="7"/>
          <w:sz w:val="13"/>
        </w:rPr>
        <w:t xml:space="preserve"> </w:t>
      </w:r>
      <w:r>
        <w:t>Parties to relevant proceedings in the Supreme Court are required to notify the Commission.</w:t>
      </w:r>
      <w:r>
        <w:rPr>
          <w:position w:val="7"/>
          <w:sz w:val="13"/>
        </w:rPr>
        <w:t>516</w:t>
      </w:r>
    </w:p>
    <w:p w14:paraId="7CB262F5" w14:textId="77777777" w:rsidR="008A4099" w:rsidRDefault="006A6EE2">
      <w:pPr>
        <w:pStyle w:val="ListParagraph"/>
        <w:numPr>
          <w:ilvl w:val="2"/>
          <w:numId w:val="3"/>
        </w:numPr>
        <w:tabs>
          <w:tab w:val="left" w:pos="879"/>
        </w:tabs>
        <w:spacing w:before="218"/>
        <w:ind w:right="677" w:firstLine="0"/>
        <w:jc w:val="both"/>
      </w:pPr>
      <w:r>
        <w:t>The</w:t>
      </w:r>
      <w:r>
        <w:rPr>
          <w:spacing w:val="-2"/>
        </w:rPr>
        <w:t xml:space="preserve"> </w:t>
      </w:r>
      <w:r>
        <w:t>2015</w:t>
      </w:r>
      <w:r>
        <w:rPr>
          <w:spacing w:val="-2"/>
        </w:rPr>
        <w:t xml:space="preserve"> </w:t>
      </w:r>
      <w:r>
        <w:t>Review</w:t>
      </w:r>
      <w:r>
        <w:rPr>
          <w:spacing w:val="-2"/>
        </w:rPr>
        <w:t xml:space="preserve"> </w:t>
      </w:r>
      <w:r>
        <w:t>of</w:t>
      </w:r>
      <w:r>
        <w:rPr>
          <w:spacing w:val="-2"/>
        </w:rPr>
        <w:t xml:space="preserve"> </w:t>
      </w:r>
      <w:r>
        <w:t>the</w:t>
      </w:r>
      <w:r>
        <w:rPr>
          <w:spacing w:val="-2"/>
        </w:rPr>
        <w:t xml:space="preserve"> </w:t>
      </w:r>
      <w:r>
        <w:t>Vic</w:t>
      </w:r>
      <w:r>
        <w:rPr>
          <w:spacing w:val="-2"/>
        </w:rPr>
        <w:t xml:space="preserve"> </w:t>
      </w:r>
      <w:r>
        <w:t>Human</w:t>
      </w:r>
      <w:r>
        <w:rPr>
          <w:spacing w:val="-2"/>
        </w:rPr>
        <w:t xml:space="preserve"> </w:t>
      </w:r>
      <w:r>
        <w:t>Rights</w:t>
      </w:r>
      <w:r>
        <w:rPr>
          <w:spacing w:val="-2"/>
        </w:rPr>
        <w:t xml:space="preserve"> </w:t>
      </w:r>
      <w:r>
        <w:t>Charter</w:t>
      </w:r>
      <w:r>
        <w:rPr>
          <w:spacing w:val="-2"/>
        </w:rPr>
        <w:t xml:space="preserve"> </w:t>
      </w:r>
      <w:r>
        <w:t>recognised</w:t>
      </w:r>
      <w:r>
        <w:rPr>
          <w:spacing w:val="-2"/>
        </w:rPr>
        <w:t xml:space="preserve"> </w:t>
      </w:r>
      <w:r>
        <w:t>the</w:t>
      </w:r>
      <w:r>
        <w:rPr>
          <w:spacing w:val="-2"/>
        </w:rPr>
        <w:t xml:space="preserve"> </w:t>
      </w:r>
      <w:r>
        <w:t>usefulness</w:t>
      </w:r>
      <w:r>
        <w:rPr>
          <w:spacing w:val="-2"/>
        </w:rPr>
        <w:t xml:space="preserve"> </w:t>
      </w:r>
      <w:r>
        <w:t>of</w:t>
      </w:r>
      <w:r>
        <w:rPr>
          <w:spacing w:val="-2"/>
        </w:rPr>
        <w:t xml:space="preserve"> </w:t>
      </w:r>
      <w:r>
        <w:t>interventions by the Attorney-General and Commission in superior court matters but noted that the requirement for lower courts to give notice was an administrative burden and a perceived barrier to parties raising Charter issues. The 2015 Review</w:t>
      </w:r>
      <w:r>
        <w:rPr>
          <w:spacing w:val="-1"/>
        </w:rPr>
        <w:t xml:space="preserve"> </w:t>
      </w:r>
      <w:r>
        <w:t>recommended that</w:t>
      </w:r>
      <w:r>
        <w:rPr>
          <w:spacing w:val="-1"/>
        </w:rPr>
        <w:t xml:space="preserve"> </w:t>
      </w:r>
      <w:r>
        <w:t>the requirement be removed for courts other than the Supreme Court.</w:t>
      </w:r>
      <w:r>
        <w:rPr>
          <w:position w:val="7"/>
          <w:sz w:val="13"/>
        </w:rPr>
        <w:t>517</w:t>
      </w:r>
      <w:r>
        <w:rPr>
          <w:spacing w:val="40"/>
          <w:position w:val="7"/>
          <w:sz w:val="13"/>
        </w:rPr>
        <w:t xml:space="preserve"> </w:t>
      </w:r>
      <w:r>
        <w:t>Intervention by the Commissions in other jurisdictions has been useful in developing</w:t>
      </w:r>
      <w:r>
        <w:rPr>
          <w:spacing w:val="-7"/>
        </w:rPr>
        <w:t xml:space="preserve"> </w:t>
      </w:r>
      <w:r>
        <w:t>jurisprudence</w:t>
      </w:r>
      <w:r>
        <w:rPr>
          <w:spacing w:val="-7"/>
        </w:rPr>
        <w:t xml:space="preserve"> </w:t>
      </w:r>
      <w:r>
        <w:t>in</w:t>
      </w:r>
      <w:r>
        <w:rPr>
          <w:spacing w:val="-10"/>
        </w:rPr>
        <w:t xml:space="preserve"> </w:t>
      </w:r>
      <w:r>
        <w:t>relation</w:t>
      </w:r>
      <w:r>
        <w:rPr>
          <w:spacing w:val="-10"/>
        </w:rPr>
        <w:t xml:space="preserve"> </w:t>
      </w:r>
      <w:r>
        <w:t>to</w:t>
      </w:r>
      <w:r>
        <w:rPr>
          <w:spacing w:val="-7"/>
        </w:rPr>
        <w:t xml:space="preserve"> </w:t>
      </w:r>
      <w:r>
        <w:t>the</w:t>
      </w:r>
      <w:r>
        <w:rPr>
          <w:spacing w:val="-7"/>
        </w:rPr>
        <w:t xml:space="preserve"> </w:t>
      </w:r>
      <w:r>
        <w:t>Human</w:t>
      </w:r>
      <w:r>
        <w:rPr>
          <w:spacing w:val="-7"/>
        </w:rPr>
        <w:t xml:space="preserve"> </w:t>
      </w:r>
      <w:r>
        <w:t>Rights</w:t>
      </w:r>
      <w:r>
        <w:rPr>
          <w:spacing w:val="-6"/>
        </w:rPr>
        <w:t xml:space="preserve"> </w:t>
      </w:r>
      <w:r>
        <w:t>Act</w:t>
      </w:r>
      <w:r>
        <w:rPr>
          <w:spacing w:val="-6"/>
        </w:rPr>
        <w:t xml:space="preserve"> </w:t>
      </w:r>
      <w:r>
        <w:t>and</w:t>
      </w:r>
      <w:r>
        <w:rPr>
          <w:spacing w:val="-9"/>
        </w:rPr>
        <w:t xml:space="preserve"> </w:t>
      </w:r>
      <w:r>
        <w:t>in</w:t>
      </w:r>
      <w:r>
        <w:rPr>
          <w:spacing w:val="-7"/>
        </w:rPr>
        <w:t xml:space="preserve"> </w:t>
      </w:r>
      <w:r>
        <w:t>embedding</w:t>
      </w:r>
      <w:r>
        <w:rPr>
          <w:spacing w:val="-7"/>
        </w:rPr>
        <w:t xml:space="preserve"> </w:t>
      </w:r>
      <w:r>
        <w:t>a</w:t>
      </w:r>
      <w:r>
        <w:rPr>
          <w:spacing w:val="-7"/>
        </w:rPr>
        <w:t xml:space="preserve"> </w:t>
      </w:r>
      <w:r>
        <w:t>human</w:t>
      </w:r>
      <w:r>
        <w:rPr>
          <w:spacing w:val="-9"/>
        </w:rPr>
        <w:t xml:space="preserve"> </w:t>
      </w:r>
      <w:r>
        <w:t>rights</w:t>
      </w:r>
      <w:r>
        <w:rPr>
          <w:spacing w:val="-6"/>
        </w:rPr>
        <w:t xml:space="preserve"> </w:t>
      </w:r>
      <w:r>
        <w:t>culture across the government and judiciary. Intervention should be encouraged and facilitated in Tasmania.</w:t>
      </w:r>
    </w:p>
    <w:p w14:paraId="7CB262F6" w14:textId="77777777" w:rsidR="008A4099" w:rsidRDefault="006A6EE2">
      <w:pPr>
        <w:pStyle w:val="Heading3"/>
        <w:spacing w:before="231"/>
      </w:pPr>
      <w:r>
        <w:t>TLRI’s</w:t>
      </w:r>
      <w:r>
        <w:rPr>
          <w:spacing w:val="-2"/>
        </w:rPr>
        <w:t xml:space="preserve"> </w:t>
      </w:r>
      <w:r>
        <w:t>current</w:t>
      </w:r>
      <w:r>
        <w:rPr>
          <w:spacing w:val="-1"/>
        </w:rPr>
        <w:t xml:space="preserve"> </w:t>
      </w:r>
      <w:r>
        <w:t>views and</w:t>
      </w:r>
      <w:r>
        <w:rPr>
          <w:spacing w:val="-1"/>
        </w:rPr>
        <w:t xml:space="preserve"> </w:t>
      </w:r>
      <w:r>
        <w:rPr>
          <w:spacing w:val="-2"/>
        </w:rPr>
        <w:t>recommendations</w:t>
      </w:r>
    </w:p>
    <w:p w14:paraId="7CB262F7" w14:textId="77777777" w:rsidR="008A4099" w:rsidRDefault="006A6EE2">
      <w:pPr>
        <w:pStyle w:val="ListParagraph"/>
        <w:numPr>
          <w:ilvl w:val="2"/>
          <w:numId w:val="3"/>
        </w:numPr>
        <w:tabs>
          <w:tab w:val="left" w:pos="880"/>
        </w:tabs>
        <w:spacing w:before="261"/>
        <w:ind w:right="675" w:firstLine="0"/>
        <w:jc w:val="both"/>
      </w:pPr>
      <w:r>
        <w:t>Balancing</w:t>
      </w:r>
      <w:r>
        <w:rPr>
          <w:spacing w:val="-3"/>
        </w:rPr>
        <w:t xml:space="preserve"> </w:t>
      </w:r>
      <w:r>
        <w:t>concerns</w:t>
      </w:r>
      <w:r>
        <w:rPr>
          <w:spacing w:val="-2"/>
        </w:rPr>
        <w:t xml:space="preserve"> </w:t>
      </w:r>
      <w:r>
        <w:t>raised</w:t>
      </w:r>
      <w:r>
        <w:rPr>
          <w:spacing w:val="-2"/>
        </w:rPr>
        <w:t xml:space="preserve"> </w:t>
      </w:r>
      <w:r>
        <w:t>in Victoria</w:t>
      </w:r>
      <w:r>
        <w:rPr>
          <w:spacing w:val="-2"/>
        </w:rPr>
        <w:t xml:space="preserve"> </w:t>
      </w:r>
      <w:r>
        <w:t>that</w:t>
      </w:r>
      <w:r>
        <w:rPr>
          <w:spacing w:val="-1"/>
        </w:rPr>
        <w:t xml:space="preserve"> </w:t>
      </w:r>
      <w:r>
        <w:t>notification</w:t>
      </w:r>
      <w:r>
        <w:rPr>
          <w:spacing w:val="-5"/>
        </w:rPr>
        <w:t xml:space="preserve"> </w:t>
      </w:r>
      <w:r>
        <w:t>obligations are</w:t>
      </w:r>
      <w:r>
        <w:rPr>
          <w:spacing w:val="-2"/>
        </w:rPr>
        <w:t xml:space="preserve"> </w:t>
      </w:r>
      <w:r>
        <w:t>perceived as</w:t>
      </w:r>
      <w:r>
        <w:rPr>
          <w:spacing w:val="-2"/>
        </w:rPr>
        <w:t xml:space="preserve"> </w:t>
      </w:r>
      <w:r>
        <w:t>a</w:t>
      </w:r>
      <w:r>
        <w:rPr>
          <w:spacing w:val="-2"/>
        </w:rPr>
        <w:t xml:space="preserve"> </w:t>
      </w:r>
      <w:r>
        <w:t>barrier</w:t>
      </w:r>
      <w:r>
        <w:rPr>
          <w:spacing w:val="-1"/>
        </w:rPr>
        <w:t xml:space="preserve"> </w:t>
      </w:r>
      <w:r>
        <w:t>to raising</w:t>
      </w:r>
      <w:r>
        <w:rPr>
          <w:spacing w:val="-4"/>
        </w:rPr>
        <w:t xml:space="preserve"> </w:t>
      </w:r>
      <w:r>
        <w:t>human</w:t>
      </w:r>
      <w:r>
        <w:rPr>
          <w:spacing w:val="-4"/>
        </w:rPr>
        <w:t xml:space="preserve"> </w:t>
      </w:r>
      <w:r>
        <w:t>rights</w:t>
      </w:r>
      <w:r>
        <w:rPr>
          <w:spacing w:val="-5"/>
        </w:rPr>
        <w:t xml:space="preserve"> </w:t>
      </w:r>
      <w:r>
        <w:t>issues</w:t>
      </w:r>
      <w:r>
        <w:rPr>
          <w:spacing w:val="-5"/>
        </w:rPr>
        <w:t xml:space="preserve"> </w:t>
      </w:r>
      <w:r>
        <w:t>in</w:t>
      </w:r>
      <w:r>
        <w:rPr>
          <w:spacing w:val="-4"/>
        </w:rPr>
        <w:t xml:space="preserve"> </w:t>
      </w:r>
      <w:r>
        <w:t>lower</w:t>
      </w:r>
      <w:r>
        <w:rPr>
          <w:spacing w:val="-3"/>
        </w:rPr>
        <w:t xml:space="preserve"> </w:t>
      </w:r>
      <w:r>
        <w:t>courts,</w:t>
      </w:r>
      <w:r>
        <w:rPr>
          <w:spacing w:val="-3"/>
        </w:rPr>
        <w:t xml:space="preserve"> </w:t>
      </w:r>
      <w:r>
        <w:t>the</w:t>
      </w:r>
      <w:r>
        <w:rPr>
          <w:spacing w:val="-3"/>
        </w:rPr>
        <w:t xml:space="preserve"> </w:t>
      </w:r>
      <w:r>
        <w:t>risk</w:t>
      </w:r>
      <w:r>
        <w:rPr>
          <w:spacing w:val="-3"/>
        </w:rPr>
        <w:t xml:space="preserve"> </w:t>
      </w:r>
      <w:r>
        <w:t>that</w:t>
      </w:r>
      <w:r>
        <w:rPr>
          <w:spacing w:val="-3"/>
        </w:rPr>
        <w:t xml:space="preserve"> </w:t>
      </w:r>
      <w:r>
        <w:t>opportunities</w:t>
      </w:r>
      <w:r>
        <w:rPr>
          <w:spacing w:val="-5"/>
        </w:rPr>
        <w:t xml:space="preserve"> </w:t>
      </w:r>
      <w:r>
        <w:t>to</w:t>
      </w:r>
      <w:r>
        <w:rPr>
          <w:spacing w:val="-4"/>
        </w:rPr>
        <w:t xml:space="preserve"> </w:t>
      </w:r>
      <w:r>
        <w:t>intervene</w:t>
      </w:r>
      <w:r>
        <w:rPr>
          <w:spacing w:val="-6"/>
        </w:rPr>
        <w:t xml:space="preserve"> </w:t>
      </w:r>
      <w:r>
        <w:t>may</w:t>
      </w:r>
      <w:r>
        <w:rPr>
          <w:spacing w:val="-3"/>
        </w:rPr>
        <w:t xml:space="preserve"> </w:t>
      </w:r>
      <w:r>
        <w:t>be</w:t>
      </w:r>
      <w:r>
        <w:rPr>
          <w:spacing w:val="-3"/>
        </w:rPr>
        <w:t xml:space="preserve"> </w:t>
      </w:r>
      <w:r>
        <w:t>lost,</w:t>
      </w:r>
      <w:r>
        <w:rPr>
          <w:spacing w:val="-4"/>
        </w:rPr>
        <w:t xml:space="preserve"> </w:t>
      </w:r>
      <w:r>
        <w:t>and</w:t>
      </w:r>
      <w:r>
        <w:rPr>
          <w:spacing w:val="-3"/>
        </w:rPr>
        <w:t xml:space="preserve"> </w:t>
      </w:r>
      <w:r>
        <w:t>the size</w:t>
      </w:r>
      <w:r>
        <w:rPr>
          <w:spacing w:val="-2"/>
        </w:rPr>
        <w:t xml:space="preserve"> </w:t>
      </w:r>
      <w:r>
        <w:t>of</w:t>
      </w:r>
      <w:r>
        <w:rPr>
          <w:spacing w:val="-2"/>
        </w:rPr>
        <w:t xml:space="preserve"> </w:t>
      </w:r>
      <w:r>
        <w:t>Tasmania’s</w:t>
      </w:r>
      <w:r>
        <w:rPr>
          <w:spacing w:val="-2"/>
        </w:rPr>
        <w:t xml:space="preserve"> </w:t>
      </w:r>
      <w:r>
        <w:t>legal</w:t>
      </w:r>
      <w:r>
        <w:rPr>
          <w:spacing w:val="-1"/>
        </w:rPr>
        <w:t xml:space="preserve"> </w:t>
      </w:r>
      <w:r>
        <w:t>framework,</w:t>
      </w:r>
      <w:r>
        <w:rPr>
          <w:spacing w:val="-2"/>
        </w:rPr>
        <w:t xml:space="preserve"> </w:t>
      </w:r>
      <w:r>
        <w:t>the</w:t>
      </w:r>
      <w:r>
        <w:rPr>
          <w:spacing w:val="-2"/>
        </w:rPr>
        <w:t xml:space="preserve"> </w:t>
      </w:r>
      <w:r>
        <w:t>TLRI</w:t>
      </w:r>
      <w:r>
        <w:rPr>
          <w:spacing w:val="-4"/>
        </w:rPr>
        <w:t xml:space="preserve"> </w:t>
      </w:r>
      <w:r>
        <w:t>recommends</w:t>
      </w:r>
      <w:r>
        <w:rPr>
          <w:spacing w:val="-2"/>
        </w:rPr>
        <w:t xml:space="preserve"> </w:t>
      </w:r>
      <w:r>
        <w:t>that</w:t>
      </w:r>
      <w:r>
        <w:rPr>
          <w:spacing w:val="-1"/>
        </w:rPr>
        <w:t xml:space="preserve"> </w:t>
      </w:r>
      <w:r>
        <w:t>parties</w:t>
      </w:r>
      <w:r>
        <w:rPr>
          <w:spacing w:val="-2"/>
        </w:rPr>
        <w:t xml:space="preserve"> </w:t>
      </w:r>
      <w:r>
        <w:t>to</w:t>
      </w:r>
      <w:r>
        <w:rPr>
          <w:spacing w:val="-2"/>
        </w:rPr>
        <w:t xml:space="preserve"> </w:t>
      </w:r>
      <w:r>
        <w:t>Supreme</w:t>
      </w:r>
      <w:r>
        <w:rPr>
          <w:spacing w:val="-2"/>
        </w:rPr>
        <w:t xml:space="preserve"> </w:t>
      </w:r>
      <w:r>
        <w:t>Court</w:t>
      </w:r>
      <w:r>
        <w:rPr>
          <w:spacing w:val="-1"/>
        </w:rPr>
        <w:t xml:space="preserve"> </w:t>
      </w:r>
      <w:r>
        <w:t>proceedings be required to notify the Attorney-General and the Tasmanian Human Rights Commission, where the proceeding raises human rights issues. In proceedings held in the Magistrates Court or TasCAT, the magistrates</w:t>
      </w:r>
      <w:r>
        <w:rPr>
          <w:spacing w:val="-6"/>
        </w:rPr>
        <w:t xml:space="preserve"> </w:t>
      </w:r>
      <w:r>
        <w:t>or</w:t>
      </w:r>
      <w:r>
        <w:rPr>
          <w:spacing w:val="-3"/>
        </w:rPr>
        <w:t xml:space="preserve"> </w:t>
      </w:r>
      <w:r>
        <w:t>Tribunal</w:t>
      </w:r>
      <w:r>
        <w:rPr>
          <w:spacing w:val="-6"/>
        </w:rPr>
        <w:t xml:space="preserve"> </w:t>
      </w:r>
      <w:r>
        <w:t>members</w:t>
      </w:r>
      <w:r>
        <w:rPr>
          <w:spacing w:val="-4"/>
        </w:rPr>
        <w:t xml:space="preserve"> </w:t>
      </w:r>
      <w:r>
        <w:t>(as</w:t>
      </w:r>
      <w:r>
        <w:rPr>
          <w:spacing w:val="-4"/>
        </w:rPr>
        <w:t xml:space="preserve"> </w:t>
      </w:r>
      <w:r>
        <w:t>applicable)</w:t>
      </w:r>
      <w:r>
        <w:rPr>
          <w:spacing w:val="-4"/>
        </w:rPr>
        <w:t xml:space="preserve"> </w:t>
      </w:r>
      <w:r>
        <w:t>should</w:t>
      </w:r>
      <w:r>
        <w:rPr>
          <w:spacing w:val="-5"/>
        </w:rPr>
        <w:t xml:space="preserve"> </w:t>
      </w:r>
      <w:r>
        <w:t>also</w:t>
      </w:r>
      <w:r>
        <w:rPr>
          <w:spacing w:val="-4"/>
        </w:rPr>
        <w:t xml:space="preserve"> </w:t>
      </w:r>
      <w:r>
        <w:t>have</w:t>
      </w:r>
      <w:r>
        <w:rPr>
          <w:spacing w:val="-4"/>
        </w:rPr>
        <w:t xml:space="preserve"> </w:t>
      </w:r>
      <w:r>
        <w:t>discretion</w:t>
      </w:r>
      <w:r>
        <w:rPr>
          <w:spacing w:val="-5"/>
        </w:rPr>
        <w:t xml:space="preserve"> </w:t>
      </w:r>
      <w:r>
        <w:t>to</w:t>
      </w:r>
      <w:r>
        <w:rPr>
          <w:spacing w:val="-7"/>
        </w:rPr>
        <w:t xml:space="preserve"> </w:t>
      </w:r>
      <w:r>
        <w:t>require</w:t>
      </w:r>
      <w:r>
        <w:rPr>
          <w:spacing w:val="-4"/>
        </w:rPr>
        <w:t xml:space="preserve"> </w:t>
      </w:r>
      <w:r>
        <w:t>parties</w:t>
      </w:r>
      <w:r>
        <w:rPr>
          <w:spacing w:val="-6"/>
        </w:rPr>
        <w:t xml:space="preserve"> </w:t>
      </w:r>
      <w:r>
        <w:t>to</w:t>
      </w:r>
      <w:r>
        <w:rPr>
          <w:spacing w:val="-5"/>
        </w:rPr>
        <w:t xml:space="preserve"> </w:t>
      </w:r>
      <w:r>
        <w:t>notify the Attorney-General</w:t>
      </w:r>
      <w:r>
        <w:rPr>
          <w:spacing w:val="-1"/>
        </w:rPr>
        <w:t xml:space="preserve"> </w:t>
      </w:r>
      <w:r>
        <w:t>and</w:t>
      </w:r>
      <w:r>
        <w:rPr>
          <w:spacing w:val="-2"/>
        </w:rPr>
        <w:t xml:space="preserve"> </w:t>
      </w:r>
      <w:r>
        <w:t>the Tasmanian Human</w:t>
      </w:r>
      <w:r>
        <w:rPr>
          <w:spacing w:val="-2"/>
        </w:rPr>
        <w:t xml:space="preserve"> </w:t>
      </w:r>
      <w:r>
        <w:t>Rights Commission when</w:t>
      </w:r>
      <w:r>
        <w:rPr>
          <w:spacing w:val="-4"/>
        </w:rPr>
        <w:t xml:space="preserve"> </w:t>
      </w:r>
      <w:r>
        <w:t>matters</w:t>
      </w:r>
      <w:r>
        <w:rPr>
          <w:spacing w:val="-2"/>
        </w:rPr>
        <w:t xml:space="preserve"> </w:t>
      </w:r>
      <w:r>
        <w:t>raise</w:t>
      </w:r>
      <w:r>
        <w:rPr>
          <w:spacing w:val="-2"/>
        </w:rPr>
        <w:t xml:space="preserve"> </w:t>
      </w:r>
      <w:r>
        <w:t>human</w:t>
      </w:r>
      <w:r>
        <w:rPr>
          <w:spacing w:val="-2"/>
        </w:rPr>
        <w:t xml:space="preserve"> </w:t>
      </w:r>
      <w:r>
        <w:t>rights issues where intervention would be in the interests of justice.</w:t>
      </w:r>
    </w:p>
    <w:p w14:paraId="7CB262F8" w14:textId="77777777" w:rsidR="008A4099" w:rsidRDefault="008A4099">
      <w:pPr>
        <w:pStyle w:val="BodyText"/>
        <w:rPr>
          <w:sz w:val="20"/>
        </w:rPr>
      </w:pPr>
    </w:p>
    <w:p w14:paraId="7CB262F9" w14:textId="77777777" w:rsidR="008A4099" w:rsidRDefault="008A4099">
      <w:pPr>
        <w:pStyle w:val="BodyText"/>
        <w:rPr>
          <w:sz w:val="20"/>
        </w:rPr>
      </w:pPr>
    </w:p>
    <w:p w14:paraId="7CB262FA" w14:textId="77777777" w:rsidR="008A4099" w:rsidRDefault="006A6EE2">
      <w:pPr>
        <w:pStyle w:val="BodyText"/>
        <w:spacing w:before="69"/>
        <w:rPr>
          <w:sz w:val="20"/>
        </w:rPr>
      </w:pPr>
      <w:r>
        <w:rPr>
          <w:noProof/>
        </w:rPr>
        <mc:AlternateContent>
          <mc:Choice Requires="wps">
            <w:drawing>
              <wp:anchor distT="0" distB="0" distL="0" distR="0" simplePos="0" relativeHeight="487639552" behindDoc="1" locked="0" layoutInCell="1" allowOverlap="1" wp14:anchorId="7CB266A3" wp14:editId="7CB266A4">
                <wp:simplePos x="0" y="0"/>
                <wp:positionH relativeFrom="page">
                  <wp:posOffset>914704</wp:posOffset>
                </wp:positionH>
                <wp:positionV relativeFrom="paragraph">
                  <wp:posOffset>205504</wp:posOffset>
                </wp:positionV>
                <wp:extent cx="1829435" cy="762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139C72" id="Graphic 149" o:spid="_x0000_s1026" style="position:absolute;margin-left:1in;margin-top:16.2pt;width:144.05pt;height:.6pt;z-index:-15676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" path="m1829054,l,,,7619r1829054,l1829054,xe" fillcolor="black" stroked="f">
                <v:path arrowok="t"/>
                <w10:wrap type="topAndBottom" anchorx="page"/>
              </v:shape>
            </w:pict>
          </mc:Fallback>
        </mc:AlternateContent>
      </w:r>
    </w:p>
    <w:p w14:paraId="7CB262FB" w14:textId="77777777" w:rsidR="008A4099" w:rsidRDefault="006A6EE2">
      <w:pPr>
        <w:spacing w:before="112"/>
        <w:ind w:left="160"/>
        <w:rPr>
          <w:sz w:val="18"/>
        </w:rPr>
      </w:pPr>
      <w:r>
        <w:rPr>
          <w:sz w:val="18"/>
          <w:vertAlign w:val="superscript"/>
        </w:rPr>
        <w:t>514</w:t>
      </w:r>
      <w:r>
        <w:rPr>
          <w:sz w:val="18"/>
        </w:rPr>
        <w:t xml:space="preserve"> TLRI</w:t>
      </w:r>
      <w:r>
        <w:rPr>
          <w:spacing w:val="1"/>
          <w:sz w:val="18"/>
        </w:rPr>
        <w:t xml:space="preserve"> </w:t>
      </w:r>
      <w:r>
        <w:rPr>
          <w:sz w:val="18"/>
        </w:rPr>
        <w:t>2007</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Recommendation</w:t>
      </w:r>
      <w:r>
        <w:rPr>
          <w:spacing w:val="-1"/>
          <w:sz w:val="18"/>
        </w:rPr>
        <w:t xml:space="preserve"> </w:t>
      </w:r>
      <w:r>
        <w:rPr>
          <w:spacing w:val="-5"/>
          <w:sz w:val="18"/>
        </w:rPr>
        <w:t>23.</w:t>
      </w:r>
    </w:p>
    <w:p w14:paraId="7CB262FC" w14:textId="77777777" w:rsidR="008A4099" w:rsidRDefault="006A6EE2">
      <w:pPr>
        <w:spacing w:before="24"/>
        <w:ind w:left="160"/>
        <w:rPr>
          <w:sz w:val="18"/>
        </w:rPr>
      </w:pPr>
      <w:r>
        <w:rPr>
          <w:sz w:val="18"/>
          <w:vertAlign w:val="superscript"/>
        </w:rPr>
        <w:t>515</w:t>
      </w:r>
      <w:r>
        <w:rPr>
          <w:spacing w:val="5"/>
          <w:sz w:val="18"/>
        </w:rPr>
        <w:t xml:space="preserve"> </w:t>
      </w:r>
      <w:r>
        <w:rPr>
          <w:sz w:val="18"/>
        </w:rPr>
        <w:t>Vic</w:t>
      </w:r>
      <w:r>
        <w:rPr>
          <w:spacing w:val="4"/>
          <w:sz w:val="18"/>
        </w:rPr>
        <w:t xml:space="preserve"> </w:t>
      </w:r>
      <w:r>
        <w:rPr>
          <w:sz w:val="18"/>
        </w:rPr>
        <w:t>Human</w:t>
      </w:r>
      <w:r>
        <w:rPr>
          <w:spacing w:val="7"/>
          <w:sz w:val="18"/>
        </w:rPr>
        <w:t xml:space="preserve"> </w:t>
      </w:r>
      <w:r>
        <w:rPr>
          <w:sz w:val="18"/>
        </w:rPr>
        <w:t>Rights</w:t>
      </w:r>
      <w:r>
        <w:rPr>
          <w:spacing w:val="5"/>
          <w:sz w:val="18"/>
        </w:rPr>
        <w:t xml:space="preserve"> </w:t>
      </w:r>
      <w:r>
        <w:rPr>
          <w:sz w:val="18"/>
        </w:rPr>
        <w:t>Charter</w:t>
      </w:r>
      <w:r>
        <w:rPr>
          <w:spacing w:val="6"/>
          <w:sz w:val="18"/>
        </w:rPr>
        <w:t xml:space="preserve"> </w:t>
      </w:r>
      <w:r>
        <w:rPr>
          <w:sz w:val="18"/>
        </w:rPr>
        <w:t>ss</w:t>
      </w:r>
      <w:r>
        <w:rPr>
          <w:spacing w:val="4"/>
          <w:sz w:val="18"/>
        </w:rPr>
        <w:t xml:space="preserve"> </w:t>
      </w:r>
      <w:r>
        <w:rPr>
          <w:sz w:val="18"/>
        </w:rPr>
        <w:t>34</w:t>
      </w:r>
      <w:r>
        <w:rPr>
          <w:spacing w:val="7"/>
          <w:sz w:val="18"/>
        </w:rPr>
        <w:t xml:space="preserve"> </w:t>
      </w:r>
      <w:r>
        <w:rPr>
          <w:sz w:val="18"/>
        </w:rPr>
        <w:t>and</w:t>
      </w:r>
      <w:r>
        <w:rPr>
          <w:spacing w:val="6"/>
          <w:sz w:val="18"/>
        </w:rPr>
        <w:t xml:space="preserve"> </w:t>
      </w:r>
      <w:r>
        <w:rPr>
          <w:sz w:val="18"/>
        </w:rPr>
        <w:t>40;</w:t>
      </w:r>
      <w:r>
        <w:rPr>
          <w:spacing w:val="9"/>
          <w:sz w:val="18"/>
        </w:rPr>
        <w:t xml:space="preserve"> </w:t>
      </w:r>
      <w:r>
        <w:rPr>
          <w:i/>
          <w:sz w:val="18"/>
        </w:rPr>
        <w:t>Human</w:t>
      </w:r>
      <w:r>
        <w:rPr>
          <w:i/>
          <w:spacing w:val="7"/>
          <w:sz w:val="18"/>
        </w:rPr>
        <w:t xml:space="preserve"> </w:t>
      </w:r>
      <w:r>
        <w:rPr>
          <w:i/>
          <w:sz w:val="18"/>
        </w:rPr>
        <w:t>Rights</w:t>
      </w:r>
      <w:r>
        <w:rPr>
          <w:i/>
          <w:spacing w:val="5"/>
          <w:sz w:val="18"/>
        </w:rPr>
        <w:t xml:space="preserve"> </w:t>
      </w:r>
      <w:r>
        <w:rPr>
          <w:i/>
          <w:sz w:val="18"/>
        </w:rPr>
        <w:t>Act</w:t>
      </w:r>
      <w:r>
        <w:rPr>
          <w:i/>
          <w:spacing w:val="6"/>
          <w:sz w:val="18"/>
        </w:rPr>
        <w:t xml:space="preserve"> </w:t>
      </w:r>
      <w:r>
        <w:rPr>
          <w:i/>
          <w:sz w:val="18"/>
        </w:rPr>
        <w:t>2004</w:t>
      </w:r>
      <w:r>
        <w:rPr>
          <w:i/>
          <w:spacing w:val="6"/>
          <w:sz w:val="18"/>
        </w:rPr>
        <w:t xml:space="preserve"> </w:t>
      </w:r>
      <w:r>
        <w:rPr>
          <w:sz w:val="18"/>
        </w:rPr>
        <w:t>(ACT)</w:t>
      </w:r>
      <w:r>
        <w:rPr>
          <w:spacing w:val="6"/>
          <w:sz w:val="18"/>
        </w:rPr>
        <w:t xml:space="preserve"> </w:t>
      </w:r>
      <w:r>
        <w:rPr>
          <w:sz w:val="18"/>
        </w:rPr>
        <w:t>ss</w:t>
      </w:r>
      <w:r>
        <w:rPr>
          <w:spacing w:val="4"/>
          <w:sz w:val="18"/>
        </w:rPr>
        <w:t xml:space="preserve"> </w:t>
      </w:r>
      <w:r>
        <w:rPr>
          <w:sz w:val="18"/>
        </w:rPr>
        <w:t>35–36;</w:t>
      </w:r>
      <w:r>
        <w:rPr>
          <w:spacing w:val="6"/>
          <w:sz w:val="18"/>
        </w:rPr>
        <w:t xml:space="preserve"> </w:t>
      </w:r>
      <w:r>
        <w:rPr>
          <w:i/>
          <w:sz w:val="18"/>
        </w:rPr>
        <w:t>Human</w:t>
      </w:r>
      <w:r>
        <w:rPr>
          <w:i/>
          <w:spacing w:val="6"/>
          <w:sz w:val="18"/>
        </w:rPr>
        <w:t xml:space="preserve"> </w:t>
      </w:r>
      <w:r>
        <w:rPr>
          <w:i/>
          <w:sz w:val="18"/>
        </w:rPr>
        <w:t>Rights</w:t>
      </w:r>
      <w:r>
        <w:rPr>
          <w:i/>
          <w:spacing w:val="2"/>
          <w:sz w:val="18"/>
        </w:rPr>
        <w:t xml:space="preserve"> </w:t>
      </w:r>
      <w:r>
        <w:rPr>
          <w:i/>
          <w:sz w:val="18"/>
        </w:rPr>
        <w:t>Act</w:t>
      </w:r>
      <w:r>
        <w:rPr>
          <w:i/>
          <w:spacing w:val="6"/>
          <w:sz w:val="18"/>
        </w:rPr>
        <w:t xml:space="preserve"> </w:t>
      </w:r>
      <w:r>
        <w:rPr>
          <w:i/>
          <w:sz w:val="18"/>
        </w:rPr>
        <w:t>2019</w:t>
      </w:r>
      <w:r>
        <w:rPr>
          <w:i/>
          <w:spacing w:val="8"/>
          <w:sz w:val="18"/>
        </w:rPr>
        <w:t xml:space="preserve"> </w:t>
      </w:r>
      <w:r>
        <w:rPr>
          <w:sz w:val="18"/>
        </w:rPr>
        <w:t>(Qld)</w:t>
      </w:r>
      <w:r>
        <w:rPr>
          <w:spacing w:val="6"/>
          <w:sz w:val="18"/>
        </w:rPr>
        <w:t xml:space="preserve"> </w:t>
      </w:r>
      <w:r>
        <w:rPr>
          <w:sz w:val="18"/>
        </w:rPr>
        <w:t>ss</w:t>
      </w:r>
      <w:r>
        <w:rPr>
          <w:spacing w:val="4"/>
          <w:sz w:val="18"/>
        </w:rPr>
        <w:t xml:space="preserve"> </w:t>
      </w:r>
      <w:r>
        <w:rPr>
          <w:spacing w:val="-5"/>
          <w:sz w:val="18"/>
        </w:rPr>
        <w:t>50–</w:t>
      </w:r>
    </w:p>
    <w:p w14:paraId="7CB262FD" w14:textId="77777777" w:rsidR="008A4099" w:rsidRDefault="006A6EE2">
      <w:pPr>
        <w:spacing w:before="4"/>
        <w:ind w:left="160"/>
        <w:rPr>
          <w:sz w:val="18"/>
        </w:rPr>
      </w:pPr>
      <w:r>
        <w:rPr>
          <w:spacing w:val="-5"/>
          <w:sz w:val="18"/>
        </w:rPr>
        <w:t>51.</w:t>
      </w:r>
    </w:p>
    <w:p w14:paraId="7CB262FE" w14:textId="77777777" w:rsidR="008A4099" w:rsidRDefault="006A6EE2">
      <w:pPr>
        <w:spacing w:before="19"/>
        <w:ind w:left="160"/>
        <w:rPr>
          <w:sz w:val="18"/>
        </w:rPr>
      </w:pPr>
      <w:r>
        <w:rPr>
          <w:sz w:val="18"/>
          <w:vertAlign w:val="superscript"/>
        </w:rPr>
        <w:t>516</w:t>
      </w:r>
      <w:r>
        <w:rPr>
          <w:spacing w:val="-1"/>
          <w:sz w:val="18"/>
        </w:rPr>
        <w:t xml:space="preserve"> </w:t>
      </w:r>
      <w:r>
        <w:rPr>
          <w:sz w:val="18"/>
        </w:rPr>
        <w:t>Ibid.</w:t>
      </w:r>
      <w:r>
        <w:rPr>
          <w:spacing w:val="-2"/>
          <w:sz w:val="18"/>
        </w:rPr>
        <w:t xml:space="preserve"> </w:t>
      </w:r>
      <w:r>
        <w:rPr>
          <w:sz w:val="18"/>
        </w:rPr>
        <w:t>Notice</w:t>
      </w:r>
      <w:r>
        <w:rPr>
          <w:spacing w:val="-3"/>
          <w:sz w:val="18"/>
        </w:rPr>
        <w:t xml:space="preserve"> </w:t>
      </w:r>
      <w:r>
        <w:rPr>
          <w:sz w:val="18"/>
        </w:rPr>
        <w:t>is</w:t>
      </w:r>
      <w:r>
        <w:rPr>
          <w:spacing w:val="-2"/>
          <w:sz w:val="18"/>
        </w:rPr>
        <w:t xml:space="preserve"> </w:t>
      </w:r>
      <w:r>
        <w:rPr>
          <w:sz w:val="18"/>
        </w:rPr>
        <w:t>also</w:t>
      </w:r>
      <w:r>
        <w:rPr>
          <w:spacing w:val="-4"/>
          <w:sz w:val="18"/>
        </w:rPr>
        <w:t xml:space="preserve"> </w:t>
      </w:r>
      <w:r>
        <w:rPr>
          <w:sz w:val="18"/>
        </w:rPr>
        <w:t>required</w:t>
      </w:r>
      <w:r>
        <w:rPr>
          <w:spacing w:val="-1"/>
          <w:sz w:val="18"/>
        </w:rPr>
        <w:t xml:space="preserve"> </w:t>
      </w:r>
      <w:r>
        <w:rPr>
          <w:sz w:val="18"/>
        </w:rPr>
        <w:t>to</w:t>
      </w:r>
      <w:r>
        <w:rPr>
          <w:spacing w:val="-3"/>
          <w:sz w:val="18"/>
        </w:rPr>
        <w:t xml:space="preserve"> </w:t>
      </w:r>
      <w:r>
        <w:rPr>
          <w:sz w:val="18"/>
        </w:rPr>
        <w:t>be</w:t>
      </w:r>
      <w:r>
        <w:rPr>
          <w:spacing w:val="-5"/>
          <w:sz w:val="18"/>
        </w:rPr>
        <w:t xml:space="preserve"> </w:t>
      </w:r>
      <w:r>
        <w:rPr>
          <w:sz w:val="18"/>
        </w:rPr>
        <w:t>given</w:t>
      </w:r>
      <w:r>
        <w:rPr>
          <w:spacing w:val="-2"/>
          <w:sz w:val="18"/>
        </w:rPr>
        <w:t xml:space="preserve"> </w:t>
      </w:r>
      <w:r>
        <w:rPr>
          <w:sz w:val="18"/>
        </w:rPr>
        <w:t>of</w:t>
      </w:r>
      <w:r>
        <w:rPr>
          <w:spacing w:val="-2"/>
          <w:sz w:val="18"/>
        </w:rPr>
        <w:t xml:space="preserve"> </w:t>
      </w:r>
      <w:r>
        <w:rPr>
          <w:sz w:val="18"/>
        </w:rPr>
        <w:t>relevant</w:t>
      </w:r>
      <w:r>
        <w:rPr>
          <w:spacing w:val="-4"/>
          <w:sz w:val="18"/>
        </w:rPr>
        <w:t xml:space="preserve"> </w:t>
      </w:r>
      <w:r>
        <w:rPr>
          <w:sz w:val="18"/>
        </w:rPr>
        <w:t>proceedings</w:t>
      </w:r>
      <w:r>
        <w:rPr>
          <w:spacing w:val="-3"/>
          <w:sz w:val="18"/>
        </w:rPr>
        <w:t xml:space="preserve"> </w:t>
      </w:r>
      <w:r>
        <w:rPr>
          <w:sz w:val="18"/>
        </w:rPr>
        <w:t>in</w:t>
      </w:r>
      <w:r>
        <w:rPr>
          <w:spacing w:val="-6"/>
          <w:sz w:val="18"/>
        </w:rPr>
        <w:t xml:space="preserve"> </w:t>
      </w:r>
      <w:r>
        <w:rPr>
          <w:sz w:val="18"/>
        </w:rPr>
        <w:t>a</w:t>
      </w:r>
      <w:r>
        <w:rPr>
          <w:spacing w:val="-3"/>
          <w:sz w:val="18"/>
        </w:rPr>
        <w:t xml:space="preserve"> </w:t>
      </w:r>
      <w:r>
        <w:rPr>
          <w:sz w:val="18"/>
        </w:rPr>
        <w:t>Queensland</w:t>
      </w:r>
      <w:r>
        <w:rPr>
          <w:spacing w:val="-1"/>
          <w:sz w:val="18"/>
        </w:rPr>
        <w:t xml:space="preserve"> </w:t>
      </w:r>
      <w:r>
        <w:rPr>
          <w:sz w:val="18"/>
        </w:rPr>
        <w:t>District</w:t>
      </w:r>
      <w:r>
        <w:rPr>
          <w:spacing w:val="-2"/>
          <w:sz w:val="18"/>
        </w:rPr>
        <w:t xml:space="preserve"> </w:t>
      </w:r>
      <w:r>
        <w:rPr>
          <w:sz w:val="18"/>
        </w:rPr>
        <w:t>Court</w:t>
      </w:r>
      <w:r>
        <w:rPr>
          <w:spacing w:val="-5"/>
          <w:sz w:val="18"/>
        </w:rPr>
        <w:t xml:space="preserve"> </w:t>
      </w:r>
      <w:r>
        <w:rPr>
          <w:sz w:val="18"/>
        </w:rPr>
        <w:t>or</w:t>
      </w:r>
      <w:r>
        <w:rPr>
          <w:spacing w:val="-2"/>
          <w:sz w:val="18"/>
        </w:rPr>
        <w:t xml:space="preserve"> </w:t>
      </w:r>
      <w:r>
        <w:rPr>
          <w:sz w:val="18"/>
        </w:rPr>
        <w:t>Victorian</w:t>
      </w:r>
      <w:r>
        <w:rPr>
          <w:spacing w:val="-2"/>
          <w:sz w:val="18"/>
        </w:rPr>
        <w:t xml:space="preserve"> </w:t>
      </w:r>
      <w:r>
        <w:rPr>
          <w:sz w:val="18"/>
        </w:rPr>
        <w:t>County</w:t>
      </w:r>
      <w:r>
        <w:rPr>
          <w:spacing w:val="-1"/>
          <w:sz w:val="18"/>
        </w:rPr>
        <w:t xml:space="preserve"> </w:t>
      </w:r>
      <w:r>
        <w:rPr>
          <w:spacing w:val="-2"/>
          <w:sz w:val="18"/>
        </w:rPr>
        <w:t>Court:</w:t>
      </w:r>
    </w:p>
    <w:p w14:paraId="7CB262FF" w14:textId="77777777" w:rsidR="008A4099" w:rsidRDefault="006A6EE2">
      <w:pPr>
        <w:spacing w:before="4"/>
        <w:ind w:left="160"/>
        <w:rPr>
          <w:sz w:val="18"/>
        </w:rPr>
      </w:pPr>
      <w:r>
        <w:rPr>
          <w:i/>
          <w:sz w:val="18"/>
        </w:rPr>
        <w:t>Human</w:t>
      </w:r>
      <w:r>
        <w:rPr>
          <w:i/>
          <w:spacing w:val="-4"/>
          <w:sz w:val="18"/>
        </w:rPr>
        <w:t xml:space="preserve"> </w:t>
      </w:r>
      <w:r>
        <w:rPr>
          <w:i/>
          <w:sz w:val="18"/>
        </w:rPr>
        <w:t>Rights Act</w:t>
      </w:r>
      <w:r>
        <w:rPr>
          <w:i/>
          <w:spacing w:val="-2"/>
          <w:sz w:val="18"/>
        </w:rPr>
        <w:t xml:space="preserve"> </w:t>
      </w:r>
      <w:r>
        <w:rPr>
          <w:i/>
          <w:sz w:val="18"/>
        </w:rPr>
        <w:t xml:space="preserve">2019 </w:t>
      </w:r>
      <w:r>
        <w:rPr>
          <w:sz w:val="18"/>
        </w:rPr>
        <w:t>(Qld) s</w:t>
      </w:r>
      <w:r>
        <w:rPr>
          <w:spacing w:val="-3"/>
          <w:sz w:val="18"/>
        </w:rPr>
        <w:t xml:space="preserve"> </w:t>
      </w:r>
      <w:r>
        <w:rPr>
          <w:spacing w:val="-5"/>
          <w:sz w:val="18"/>
        </w:rPr>
        <w:t>52.</w:t>
      </w:r>
    </w:p>
    <w:p w14:paraId="7CB26300" w14:textId="77777777" w:rsidR="008A4099" w:rsidRDefault="006A6EE2">
      <w:pPr>
        <w:spacing w:before="18"/>
        <w:ind w:left="160"/>
        <w:rPr>
          <w:sz w:val="18"/>
        </w:rPr>
      </w:pPr>
      <w:r>
        <w:rPr>
          <w:sz w:val="18"/>
          <w:vertAlign w:val="superscript"/>
        </w:rPr>
        <w:t>517</w:t>
      </w:r>
      <w:r>
        <w:rPr>
          <w:sz w:val="18"/>
        </w:rPr>
        <w:t xml:space="preserve"> Brett Young,</w:t>
      </w:r>
      <w:r>
        <w:rPr>
          <w:spacing w:val="1"/>
          <w:sz w:val="18"/>
        </w:rPr>
        <w:t xml:space="preserve"> </w:t>
      </w:r>
      <w:r>
        <w:rPr>
          <w:i/>
          <w:sz w:val="18"/>
        </w:rPr>
        <w:t>From Commitment</w:t>
      </w:r>
      <w:r>
        <w:rPr>
          <w:i/>
          <w:spacing w:val="-2"/>
          <w:sz w:val="18"/>
        </w:rPr>
        <w:t xml:space="preserve"> </w:t>
      </w:r>
      <w:r>
        <w:rPr>
          <w:i/>
          <w:sz w:val="18"/>
        </w:rPr>
        <w:t>to</w:t>
      </w:r>
      <w:r>
        <w:rPr>
          <w:i/>
          <w:spacing w:val="1"/>
          <w:sz w:val="18"/>
        </w:rPr>
        <w:t xml:space="preserve"> </w:t>
      </w:r>
      <w:r>
        <w:rPr>
          <w:i/>
          <w:sz w:val="18"/>
        </w:rPr>
        <w:t>Culture</w:t>
      </w:r>
      <w:r>
        <w:rPr>
          <w:sz w:val="18"/>
        </w:rPr>
        <w:t>, Recommendation</w:t>
      </w:r>
      <w:r>
        <w:rPr>
          <w:spacing w:val="-1"/>
          <w:sz w:val="18"/>
        </w:rPr>
        <w:t xml:space="preserve"> </w:t>
      </w:r>
      <w:r>
        <w:rPr>
          <w:spacing w:val="-5"/>
          <w:sz w:val="18"/>
        </w:rPr>
        <w:t>33.</w:t>
      </w:r>
    </w:p>
    <w:p w14:paraId="7CB26301" w14:textId="77777777" w:rsidR="008A4099" w:rsidRDefault="008A4099">
      <w:pPr>
        <w:rPr>
          <w:sz w:val="18"/>
        </w:rPr>
        <w:sectPr w:rsidR="008A4099" w:rsidSect="00D43B2D">
          <w:pgSz w:w="11910" w:h="16840"/>
          <w:pgMar w:top="980" w:right="760" w:bottom="940" w:left="1280" w:header="718" w:footer="753" w:gutter="0"/>
          <w:cols w:space="720"/>
        </w:sectPr>
      </w:pPr>
    </w:p>
    <w:p w14:paraId="7CB26302" w14:textId="77777777" w:rsidR="008A4099" w:rsidRDefault="008A4099">
      <w:pPr>
        <w:pStyle w:val="BodyText"/>
        <w:spacing w:before="194"/>
      </w:pPr>
    </w:p>
    <w:p w14:paraId="7CB26303" w14:textId="77777777" w:rsidR="008A4099" w:rsidRDefault="006A6EE2">
      <w:pPr>
        <w:pStyle w:val="ListParagraph"/>
        <w:numPr>
          <w:ilvl w:val="2"/>
          <w:numId w:val="3"/>
        </w:numPr>
        <w:tabs>
          <w:tab w:val="left" w:pos="879"/>
        </w:tabs>
        <w:spacing w:before="1"/>
        <w:ind w:right="676" w:firstLine="0"/>
        <w:jc w:val="both"/>
      </w:pPr>
      <w:r>
        <w:t>The</w:t>
      </w:r>
      <w:r>
        <w:rPr>
          <w:spacing w:val="-1"/>
        </w:rPr>
        <w:t xml:space="preserve"> </w:t>
      </w:r>
      <w:r>
        <w:t>TLRI</w:t>
      </w:r>
      <w:r>
        <w:rPr>
          <w:spacing w:val="-3"/>
        </w:rPr>
        <w:t xml:space="preserve"> </w:t>
      </w:r>
      <w:r>
        <w:t>recommends</w:t>
      </w:r>
      <w:r>
        <w:rPr>
          <w:spacing w:val="-1"/>
        </w:rPr>
        <w:t xml:space="preserve"> </w:t>
      </w:r>
      <w:r>
        <w:t>that</w:t>
      </w:r>
      <w:r>
        <w:rPr>
          <w:spacing w:val="-3"/>
        </w:rPr>
        <w:t xml:space="preserve"> </w:t>
      </w:r>
      <w:r>
        <w:t>proceedings</w:t>
      </w:r>
      <w:r>
        <w:rPr>
          <w:spacing w:val="-1"/>
        </w:rPr>
        <w:t xml:space="preserve"> </w:t>
      </w:r>
      <w:r>
        <w:t>not be</w:t>
      </w:r>
      <w:r>
        <w:rPr>
          <w:spacing w:val="-1"/>
        </w:rPr>
        <w:t xml:space="preserve"> </w:t>
      </w:r>
      <w:r>
        <w:t>adjourned</w:t>
      </w:r>
      <w:r>
        <w:rPr>
          <w:spacing w:val="-1"/>
        </w:rPr>
        <w:t xml:space="preserve"> </w:t>
      </w:r>
      <w:r>
        <w:t>while</w:t>
      </w:r>
      <w:r>
        <w:rPr>
          <w:spacing w:val="-1"/>
        </w:rPr>
        <w:t xml:space="preserve"> </w:t>
      </w:r>
      <w:r>
        <w:t>notice</w:t>
      </w:r>
      <w:r>
        <w:rPr>
          <w:spacing w:val="-1"/>
        </w:rPr>
        <w:t xml:space="preserve"> </w:t>
      </w:r>
      <w:r>
        <w:t>is</w:t>
      </w:r>
      <w:r>
        <w:rPr>
          <w:spacing w:val="-1"/>
        </w:rPr>
        <w:t xml:space="preserve"> </w:t>
      </w:r>
      <w:r>
        <w:t>given,</w:t>
      </w:r>
      <w:r>
        <w:rPr>
          <w:spacing w:val="-1"/>
        </w:rPr>
        <w:t xml:space="preserve"> </w:t>
      </w:r>
      <w:r>
        <w:t>and</w:t>
      </w:r>
      <w:r>
        <w:rPr>
          <w:spacing w:val="-1"/>
        </w:rPr>
        <w:t xml:space="preserve"> </w:t>
      </w:r>
      <w:r>
        <w:t>that there be a rebuttable presumption that the costs of the intervention will be borne by the Commission. Given the benefits of intervention in developing precedents, clarifying interpretations of the law, and identifying</w:t>
      </w:r>
      <w:r>
        <w:rPr>
          <w:spacing w:val="-14"/>
        </w:rPr>
        <w:t xml:space="preserve"> </w:t>
      </w:r>
      <w:r>
        <w:t>areas</w:t>
      </w:r>
      <w:r>
        <w:rPr>
          <w:spacing w:val="-14"/>
        </w:rPr>
        <w:t xml:space="preserve"> </w:t>
      </w:r>
      <w:r>
        <w:t>for</w:t>
      </w:r>
      <w:r>
        <w:rPr>
          <w:spacing w:val="-14"/>
        </w:rPr>
        <w:t xml:space="preserve"> </w:t>
      </w:r>
      <w:r>
        <w:t>reform,</w:t>
      </w:r>
      <w:r>
        <w:rPr>
          <w:spacing w:val="-13"/>
        </w:rPr>
        <w:t xml:space="preserve"> </w:t>
      </w:r>
      <w:r>
        <w:t>the</w:t>
      </w:r>
      <w:r>
        <w:rPr>
          <w:spacing w:val="-14"/>
        </w:rPr>
        <w:t xml:space="preserve"> </w:t>
      </w:r>
      <w:r>
        <w:t>Tasmanian</w:t>
      </w:r>
      <w:r>
        <w:rPr>
          <w:spacing w:val="-14"/>
        </w:rPr>
        <w:t xml:space="preserve"> </w:t>
      </w:r>
      <w:r>
        <w:t>Human</w:t>
      </w:r>
      <w:r>
        <w:rPr>
          <w:spacing w:val="-14"/>
        </w:rPr>
        <w:t xml:space="preserve"> </w:t>
      </w:r>
      <w:r>
        <w:t>Rights</w:t>
      </w:r>
      <w:r>
        <w:rPr>
          <w:spacing w:val="-13"/>
        </w:rPr>
        <w:t xml:space="preserve"> </w:t>
      </w:r>
      <w:r>
        <w:t>Commission</w:t>
      </w:r>
      <w:r>
        <w:rPr>
          <w:spacing w:val="-14"/>
        </w:rPr>
        <w:t xml:space="preserve"> </w:t>
      </w:r>
      <w:r>
        <w:t>should</w:t>
      </w:r>
      <w:r>
        <w:rPr>
          <w:spacing w:val="-14"/>
        </w:rPr>
        <w:t xml:space="preserve"> </w:t>
      </w:r>
      <w:r>
        <w:t>be</w:t>
      </w:r>
      <w:r>
        <w:rPr>
          <w:spacing w:val="-14"/>
        </w:rPr>
        <w:t xml:space="preserve"> </w:t>
      </w:r>
      <w:r>
        <w:t>adequately</w:t>
      </w:r>
      <w:r>
        <w:rPr>
          <w:spacing w:val="-13"/>
        </w:rPr>
        <w:t xml:space="preserve"> </w:t>
      </w:r>
      <w:r>
        <w:t>resourced to intervene in any relevant matter. This recommendation builds on Recommendation 23 of the TLRI 2007 Final Report relating to the powers and functions of the Human Rights Commissioner (see Appendix A).</w:t>
      </w:r>
    </w:p>
    <w:p w14:paraId="7CB26304" w14:textId="77777777" w:rsidR="008A4099" w:rsidRDefault="006A6EE2">
      <w:pPr>
        <w:pStyle w:val="BodyText"/>
        <w:spacing w:before="8"/>
        <w:rPr>
          <w:sz w:val="16"/>
        </w:rPr>
      </w:pPr>
      <w:r>
        <w:rPr>
          <w:noProof/>
        </w:rPr>
        <mc:AlternateContent>
          <mc:Choice Requires="wps">
            <w:drawing>
              <wp:anchor distT="0" distB="0" distL="0" distR="0" simplePos="0" relativeHeight="487640064" behindDoc="1" locked="0" layoutInCell="1" allowOverlap="1" wp14:anchorId="7CB266A5" wp14:editId="7CB266A6">
                <wp:simplePos x="0" y="0"/>
                <wp:positionH relativeFrom="page">
                  <wp:posOffset>914704</wp:posOffset>
                </wp:positionH>
                <wp:positionV relativeFrom="paragraph">
                  <wp:posOffset>137397</wp:posOffset>
                </wp:positionV>
                <wp:extent cx="5727065" cy="2211705"/>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211705"/>
                        </a:xfrm>
                        <a:prstGeom prst="rect">
                          <a:avLst/>
                        </a:prstGeom>
                        <a:solidFill>
                          <a:srgbClr val="E8E8E8"/>
                        </a:solidFill>
                      </wps:spPr>
                      <wps:txbx>
                        <w:txbxContent>
                          <w:p w14:paraId="7CB2679C" w14:textId="77777777" w:rsidR="008A4099" w:rsidRDefault="006A6EE2">
                            <w:pPr>
                              <w:spacing w:before="219"/>
                              <w:ind w:left="108"/>
                              <w:jc w:val="both"/>
                              <w:rPr>
                                <w:b/>
                                <w:color w:val="000000"/>
                                <w:sz w:val="23"/>
                              </w:rPr>
                            </w:pPr>
                            <w:r>
                              <w:rPr>
                                <w:b/>
                                <w:color w:val="000000"/>
                                <w:sz w:val="23"/>
                              </w:rPr>
                              <w:t>Recommendation</w:t>
                            </w:r>
                            <w:r>
                              <w:rPr>
                                <w:b/>
                                <w:color w:val="000000"/>
                                <w:spacing w:val="-6"/>
                                <w:sz w:val="23"/>
                              </w:rPr>
                              <w:t xml:space="preserve"> </w:t>
                            </w:r>
                            <w:r>
                              <w:rPr>
                                <w:b/>
                                <w:color w:val="000000"/>
                                <w:sz w:val="23"/>
                              </w:rPr>
                              <w:t>18</w:t>
                            </w:r>
                            <w:r>
                              <w:rPr>
                                <w:b/>
                                <w:color w:val="000000"/>
                                <w:spacing w:val="-2"/>
                                <w:sz w:val="23"/>
                              </w:rPr>
                              <w:t xml:space="preserve"> </w:t>
                            </w:r>
                            <w:r>
                              <w:rPr>
                                <w:b/>
                                <w:color w:val="000000"/>
                                <w:sz w:val="23"/>
                              </w:rPr>
                              <w:t>–</w:t>
                            </w:r>
                            <w:r>
                              <w:rPr>
                                <w:b/>
                                <w:color w:val="000000"/>
                                <w:spacing w:val="-2"/>
                                <w:sz w:val="23"/>
                              </w:rPr>
                              <w:t xml:space="preserve"> </w:t>
                            </w:r>
                            <w:r>
                              <w:rPr>
                                <w:b/>
                                <w:color w:val="000000"/>
                                <w:sz w:val="23"/>
                              </w:rPr>
                              <w:t>Notification</w:t>
                            </w:r>
                            <w:r>
                              <w:rPr>
                                <w:b/>
                                <w:color w:val="000000"/>
                                <w:spacing w:val="-3"/>
                                <w:sz w:val="23"/>
                              </w:rPr>
                              <w:t xml:space="preserve"> </w:t>
                            </w:r>
                            <w:r>
                              <w:rPr>
                                <w:b/>
                                <w:color w:val="000000"/>
                                <w:sz w:val="23"/>
                              </w:rPr>
                              <w:t>to</w:t>
                            </w:r>
                            <w:r>
                              <w:rPr>
                                <w:b/>
                                <w:color w:val="000000"/>
                                <w:spacing w:val="-2"/>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2"/>
                                <w:sz w:val="23"/>
                              </w:rPr>
                              <w:t>Commissioner</w:t>
                            </w:r>
                          </w:p>
                          <w:p w14:paraId="7CB2679D" w14:textId="77777777" w:rsidR="008A4099" w:rsidRDefault="006A6EE2">
                            <w:pPr>
                              <w:pStyle w:val="BodyText"/>
                              <w:spacing w:before="239" w:line="244" w:lineRule="auto"/>
                              <w:ind w:left="108" w:right="220"/>
                              <w:jc w:val="both"/>
                              <w:rPr>
                                <w:color w:val="000000"/>
                              </w:rPr>
                            </w:pPr>
                            <w:r>
                              <w:rPr>
                                <w:color w:val="000000"/>
                              </w:rPr>
                              <w:t>That parties to Supreme Court proceedings be required to notify the Attorney-General and the Tasmanian Human Rights Commission where proceedings raise human rights issues.</w:t>
                            </w:r>
                          </w:p>
                          <w:p w14:paraId="7CB2679E" w14:textId="77777777" w:rsidR="008A4099" w:rsidRDefault="006A6EE2">
                            <w:pPr>
                              <w:pStyle w:val="BodyText"/>
                              <w:spacing w:before="111"/>
                              <w:ind w:left="108" w:right="220"/>
                              <w:jc w:val="both"/>
                              <w:rPr>
                                <w:color w:val="000000"/>
                              </w:rPr>
                            </w:pPr>
                            <w:r>
                              <w:rPr>
                                <w:color w:val="000000"/>
                              </w:rPr>
                              <w:t>In proceedings held in the Magistrates Court or Tasmanian Civil and Administrative Tribunal (‘TasCAT’), the magistrates or Tribunal members (as applicable) should also have discretion to require</w:t>
                            </w:r>
                            <w:r>
                              <w:rPr>
                                <w:color w:val="000000"/>
                                <w:spacing w:val="-14"/>
                              </w:rPr>
                              <w:t xml:space="preserve"> </w:t>
                            </w:r>
                            <w:r>
                              <w:rPr>
                                <w:color w:val="000000"/>
                              </w:rPr>
                              <w:t>parties</w:t>
                            </w:r>
                            <w:r>
                              <w:rPr>
                                <w:color w:val="000000"/>
                                <w:spacing w:val="-14"/>
                              </w:rPr>
                              <w:t xml:space="preserve"> </w:t>
                            </w:r>
                            <w:r>
                              <w:rPr>
                                <w:color w:val="000000"/>
                              </w:rPr>
                              <w:t>to</w:t>
                            </w:r>
                            <w:r>
                              <w:rPr>
                                <w:color w:val="000000"/>
                                <w:spacing w:val="-12"/>
                              </w:rPr>
                              <w:t xml:space="preserve"> </w:t>
                            </w:r>
                            <w:r>
                              <w:rPr>
                                <w:color w:val="000000"/>
                              </w:rPr>
                              <w:t>notify</w:t>
                            </w:r>
                            <w:r>
                              <w:rPr>
                                <w:color w:val="000000"/>
                                <w:spacing w:val="-14"/>
                              </w:rPr>
                              <w:t xml:space="preserve"> </w:t>
                            </w:r>
                            <w:r>
                              <w:rPr>
                                <w:color w:val="000000"/>
                              </w:rPr>
                              <w:t>the</w:t>
                            </w:r>
                            <w:r>
                              <w:rPr>
                                <w:color w:val="000000"/>
                                <w:spacing w:val="-14"/>
                              </w:rPr>
                              <w:t xml:space="preserve"> </w:t>
                            </w:r>
                            <w:r>
                              <w:rPr>
                                <w:color w:val="000000"/>
                              </w:rPr>
                              <w:t>Attorney-General</w:t>
                            </w:r>
                            <w:r>
                              <w:rPr>
                                <w:color w:val="000000"/>
                                <w:spacing w:val="-13"/>
                              </w:rPr>
                              <w:t xml:space="preserve"> </w:t>
                            </w:r>
                            <w:r>
                              <w:rPr>
                                <w:color w:val="000000"/>
                              </w:rPr>
                              <w:t>and</w:t>
                            </w:r>
                            <w:r>
                              <w:rPr>
                                <w:color w:val="000000"/>
                                <w:spacing w:val="-14"/>
                              </w:rPr>
                              <w:t xml:space="preserve"> </w:t>
                            </w:r>
                            <w:r>
                              <w:rPr>
                                <w:color w:val="000000"/>
                              </w:rPr>
                              <w:t>the</w:t>
                            </w:r>
                            <w:r>
                              <w:rPr>
                                <w:color w:val="000000"/>
                                <w:spacing w:val="-14"/>
                              </w:rPr>
                              <w:t xml:space="preserve"> </w:t>
                            </w:r>
                            <w:r>
                              <w:rPr>
                                <w:color w:val="000000"/>
                              </w:rPr>
                              <w:t>Tasmanian</w:t>
                            </w:r>
                            <w:r>
                              <w:rPr>
                                <w:color w:val="000000"/>
                                <w:spacing w:val="-12"/>
                              </w:rPr>
                              <w:t xml:space="preserve"> </w:t>
                            </w:r>
                            <w:r>
                              <w:rPr>
                                <w:color w:val="000000"/>
                              </w:rPr>
                              <w:t>Human</w:t>
                            </w:r>
                            <w:r>
                              <w:rPr>
                                <w:color w:val="000000"/>
                                <w:spacing w:val="-12"/>
                              </w:rPr>
                              <w:t xml:space="preserve"> </w:t>
                            </w:r>
                            <w:r>
                              <w:rPr>
                                <w:color w:val="000000"/>
                              </w:rPr>
                              <w:t>Rights</w:t>
                            </w:r>
                            <w:r>
                              <w:rPr>
                                <w:color w:val="000000"/>
                                <w:spacing w:val="-11"/>
                              </w:rPr>
                              <w:t xml:space="preserve"> </w:t>
                            </w:r>
                            <w:r>
                              <w:rPr>
                                <w:color w:val="000000"/>
                              </w:rPr>
                              <w:t>Commission,</w:t>
                            </w:r>
                            <w:r>
                              <w:rPr>
                                <w:color w:val="000000"/>
                                <w:spacing w:val="-12"/>
                              </w:rPr>
                              <w:t xml:space="preserve"> </w:t>
                            </w:r>
                            <w:r>
                              <w:rPr>
                                <w:color w:val="000000"/>
                              </w:rPr>
                              <w:t>when matters raise human rights issues where intervention would be in the interests of justice.</w:t>
                            </w:r>
                          </w:p>
                          <w:p w14:paraId="7CB2679F" w14:textId="77777777" w:rsidR="008A4099" w:rsidRDefault="006A6EE2">
                            <w:pPr>
                              <w:pStyle w:val="BodyText"/>
                              <w:spacing w:before="121"/>
                              <w:ind w:left="108" w:right="227"/>
                              <w:jc w:val="both"/>
                              <w:rPr>
                                <w:color w:val="000000"/>
                              </w:rPr>
                            </w:pPr>
                            <w:r>
                              <w:rPr>
                                <w:color w:val="000000"/>
                              </w:rPr>
                              <w:t>Proceedings should not be adjourned while notice is given, and there should be a rebuttable presumption that the costs of the intervention will be borne by the Commission.</w:t>
                            </w:r>
                          </w:p>
                          <w:p w14:paraId="7CB267A0" w14:textId="77777777" w:rsidR="008A4099" w:rsidRDefault="006A6EE2">
                            <w:pPr>
                              <w:pStyle w:val="BodyText"/>
                              <w:spacing w:before="121"/>
                              <w:ind w:left="108"/>
                              <w:jc w:val="both"/>
                              <w:rPr>
                                <w:color w:val="000000"/>
                              </w:rPr>
                            </w:pPr>
                            <w:r>
                              <w:rPr>
                                <w:color w:val="000000"/>
                              </w:rPr>
                              <w:t>The</w:t>
                            </w:r>
                            <w:r>
                              <w:rPr>
                                <w:color w:val="000000"/>
                                <w:spacing w:val="-6"/>
                              </w:rPr>
                              <w:t xml:space="preserve"> </w:t>
                            </w:r>
                            <w:r>
                              <w:rPr>
                                <w:color w:val="000000"/>
                              </w:rPr>
                              <w:t>Commission</w:t>
                            </w:r>
                            <w:r>
                              <w:rPr>
                                <w:color w:val="000000"/>
                                <w:spacing w:val="-3"/>
                              </w:rPr>
                              <w:t xml:space="preserve"> </w:t>
                            </w:r>
                            <w:r>
                              <w:rPr>
                                <w:color w:val="000000"/>
                              </w:rPr>
                              <w:t>should</w:t>
                            </w:r>
                            <w:r>
                              <w:rPr>
                                <w:color w:val="000000"/>
                                <w:spacing w:val="-3"/>
                              </w:rPr>
                              <w:t xml:space="preserve"> </w:t>
                            </w:r>
                            <w:r>
                              <w:rPr>
                                <w:color w:val="000000"/>
                              </w:rPr>
                              <w:t>be</w:t>
                            </w:r>
                            <w:r>
                              <w:rPr>
                                <w:color w:val="000000"/>
                                <w:spacing w:val="-5"/>
                              </w:rPr>
                              <w:t xml:space="preserve"> </w:t>
                            </w:r>
                            <w:r>
                              <w:rPr>
                                <w:color w:val="000000"/>
                              </w:rPr>
                              <w:t>adequately</w:t>
                            </w:r>
                            <w:r>
                              <w:rPr>
                                <w:color w:val="000000"/>
                                <w:spacing w:val="-6"/>
                              </w:rPr>
                              <w:t xml:space="preserve"> </w:t>
                            </w:r>
                            <w:r>
                              <w:rPr>
                                <w:color w:val="000000"/>
                              </w:rPr>
                              <w:t>resourced</w:t>
                            </w:r>
                            <w:r>
                              <w:rPr>
                                <w:color w:val="000000"/>
                                <w:spacing w:val="-3"/>
                              </w:rPr>
                              <w:t xml:space="preserve"> </w:t>
                            </w:r>
                            <w:r>
                              <w:rPr>
                                <w:color w:val="000000"/>
                              </w:rPr>
                              <w:t>to</w:t>
                            </w:r>
                            <w:r>
                              <w:rPr>
                                <w:color w:val="000000"/>
                                <w:spacing w:val="-4"/>
                              </w:rPr>
                              <w:t xml:space="preserve"> </w:t>
                            </w:r>
                            <w:r>
                              <w:rPr>
                                <w:color w:val="000000"/>
                              </w:rPr>
                              <w:t>intervene</w:t>
                            </w:r>
                            <w:r>
                              <w:rPr>
                                <w:color w:val="000000"/>
                                <w:spacing w:val="-3"/>
                              </w:rPr>
                              <w:t xml:space="preserve"> </w:t>
                            </w:r>
                            <w:r>
                              <w:rPr>
                                <w:color w:val="000000"/>
                              </w:rPr>
                              <w:t>in</w:t>
                            </w:r>
                            <w:r>
                              <w:rPr>
                                <w:color w:val="000000"/>
                                <w:spacing w:val="-3"/>
                              </w:rPr>
                              <w:t xml:space="preserve"> </w:t>
                            </w:r>
                            <w:r>
                              <w:rPr>
                                <w:color w:val="000000"/>
                              </w:rPr>
                              <w:t>any</w:t>
                            </w:r>
                            <w:r>
                              <w:rPr>
                                <w:color w:val="000000"/>
                                <w:spacing w:val="-5"/>
                              </w:rPr>
                              <w:t xml:space="preserve"> </w:t>
                            </w:r>
                            <w:r>
                              <w:rPr>
                                <w:color w:val="000000"/>
                              </w:rPr>
                              <w:t>relevant</w:t>
                            </w:r>
                            <w:r>
                              <w:rPr>
                                <w:color w:val="000000"/>
                                <w:spacing w:val="-1"/>
                              </w:rPr>
                              <w:t xml:space="preserve"> </w:t>
                            </w:r>
                            <w:r>
                              <w:rPr>
                                <w:color w:val="000000"/>
                                <w:spacing w:val="-2"/>
                              </w:rPr>
                              <w:t>matter.</w:t>
                            </w:r>
                          </w:p>
                        </w:txbxContent>
                      </wps:txbx>
                      <wps:bodyPr wrap="square" lIns="0" tIns="0" rIns="0" bIns="0" rtlCol="0">
                        <a:noAutofit/>
                      </wps:bodyPr>
                    </wps:wsp>
                  </a:graphicData>
                </a:graphic>
              </wp:anchor>
            </w:drawing>
          </mc:Choice>
          <mc:Fallback>
            <w:pict>
              <v:shape w14:anchorId="7CB266A5" id="Textbox 150" o:spid="_x0000_s1044" type="#_x0000_t202" style="position:absolute;margin-left:1in;margin-top:10.8pt;width:450.95pt;height:174.15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" fillcolor="#e8e8e8" stroked="f">
                <v:textbox inset="0,0,0,0">
                  <w:txbxContent>
                    <w:p w14:paraId="7CB2679C" w14:textId="77777777" w:rsidR="008A4099" w:rsidRDefault="006A6EE2">
                      <w:pPr>
                        <w:spacing w:before="219"/>
                        <w:ind w:left="108"/>
                        <w:jc w:val="both"/>
                        <w:rPr>
                          <w:b/>
                          <w:color w:val="000000"/>
                          <w:sz w:val="23"/>
                        </w:rPr>
                      </w:pPr>
                      <w:r>
                        <w:rPr>
                          <w:b/>
                          <w:color w:val="000000"/>
                          <w:sz w:val="23"/>
                        </w:rPr>
                        <w:t>Recommendation</w:t>
                      </w:r>
                      <w:r>
                        <w:rPr>
                          <w:b/>
                          <w:color w:val="000000"/>
                          <w:spacing w:val="-6"/>
                          <w:sz w:val="23"/>
                        </w:rPr>
                        <w:t xml:space="preserve"> </w:t>
                      </w:r>
                      <w:r>
                        <w:rPr>
                          <w:b/>
                          <w:color w:val="000000"/>
                          <w:sz w:val="23"/>
                        </w:rPr>
                        <w:t>18</w:t>
                      </w:r>
                      <w:r>
                        <w:rPr>
                          <w:b/>
                          <w:color w:val="000000"/>
                          <w:spacing w:val="-2"/>
                          <w:sz w:val="23"/>
                        </w:rPr>
                        <w:t xml:space="preserve"> </w:t>
                      </w:r>
                      <w:r>
                        <w:rPr>
                          <w:b/>
                          <w:color w:val="000000"/>
                          <w:sz w:val="23"/>
                        </w:rPr>
                        <w:t>–</w:t>
                      </w:r>
                      <w:r>
                        <w:rPr>
                          <w:b/>
                          <w:color w:val="000000"/>
                          <w:spacing w:val="-2"/>
                          <w:sz w:val="23"/>
                        </w:rPr>
                        <w:t xml:space="preserve"> </w:t>
                      </w:r>
                      <w:r>
                        <w:rPr>
                          <w:b/>
                          <w:color w:val="000000"/>
                          <w:sz w:val="23"/>
                        </w:rPr>
                        <w:t>Notification</w:t>
                      </w:r>
                      <w:r>
                        <w:rPr>
                          <w:b/>
                          <w:color w:val="000000"/>
                          <w:spacing w:val="-3"/>
                          <w:sz w:val="23"/>
                        </w:rPr>
                        <w:t xml:space="preserve"> </w:t>
                      </w:r>
                      <w:r>
                        <w:rPr>
                          <w:b/>
                          <w:color w:val="000000"/>
                          <w:sz w:val="23"/>
                        </w:rPr>
                        <w:t>to</w:t>
                      </w:r>
                      <w:r>
                        <w:rPr>
                          <w:b/>
                          <w:color w:val="000000"/>
                          <w:spacing w:val="-2"/>
                          <w:sz w:val="23"/>
                        </w:rPr>
                        <w:t xml:space="preserve"> </w:t>
                      </w:r>
                      <w:r>
                        <w:rPr>
                          <w:b/>
                          <w:color w:val="000000"/>
                          <w:sz w:val="23"/>
                        </w:rPr>
                        <w:t>Human</w:t>
                      </w:r>
                      <w:r>
                        <w:rPr>
                          <w:b/>
                          <w:color w:val="000000"/>
                          <w:spacing w:val="-3"/>
                          <w:sz w:val="23"/>
                        </w:rPr>
                        <w:t xml:space="preserve"> </w:t>
                      </w:r>
                      <w:r>
                        <w:rPr>
                          <w:b/>
                          <w:color w:val="000000"/>
                          <w:sz w:val="23"/>
                        </w:rPr>
                        <w:t>Rights</w:t>
                      </w:r>
                      <w:r>
                        <w:rPr>
                          <w:b/>
                          <w:color w:val="000000"/>
                          <w:spacing w:val="-3"/>
                          <w:sz w:val="23"/>
                        </w:rPr>
                        <w:t xml:space="preserve"> </w:t>
                      </w:r>
                      <w:r>
                        <w:rPr>
                          <w:b/>
                          <w:color w:val="000000"/>
                          <w:spacing w:val="-2"/>
                          <w:sz w:val="23"/>
                        </w:rPr>
                        <w:t>Commissioner</w:t>
                      </w:r>
                    </w:p>
                    <w:p w14:paraId="7CB2679D" w14:textId="77777777" w:rsidR="008A4099" w:rsidRDefault="006A6EE2">
                      <w:pPr>
                        <w:pStyle w:val="BodyText"/>
                        <w:spacing w:before="239" w:line="244" w:lineRule="auto"/>
                        <w:ind w:left="108" w:right="220"/>
                        <w:jc w:val="both"/>
                        <w:rPr>
                          <w:color w:val="000000"/>
                        </w:rPr>
                      </w:pPr>
                      <w:r>
                        <w:rPr>
                          <w:color w:val="000000"/>
                        </w:rPr>
                        <w:t>That parties to Supreme Court proceedings be required to notify the Attorney-General and the Tasmanian Human Rights Commission where proceedings raise human rights issues.</w:t>
                      </w:r>
                    </w:p>
                    <w:p w14:paraId="7CB2679E" w14:textId="77777777" w:rsidR="008A4099" w:rsidRDefault="006A6EE2">
                      <w:pPr>
                        <w:pStyle w:val="BodyText"/>
                        <w:spacing w:before="111"/>
                        <w:ind w:left="108" w:right="220"/>
                        <w:jc w:val="both"/>
                        <w:rPr>
                          <w:color w:val="000000"/>
                        </w:rPr>
                      </w:pPr>
                      <w:r>
                        <w:rPr>
                          <w:color w:val="000000"/>
                        </w:rPr>
                        <w:t>In proceedings held in the Magistrates Court or Tasmanian Civil and Administrative Tribunal (‘TasCAT’), the magistrates or Tribunal members (as applicable) should also have discretion to require</w:t>
                      </w:r>
                      <w:r>
                        <w:rPr>
                          <w:color w:val="000000"/>
                          <w:spacing w:val="-14"/>
                        </w:rPr>
                        <w:t xml:space="preserve"> </w:t>
                      </w:r>
                      <w:r>
                        <w:rPr>
                          <w:color w:val="000000"/>
                        </w:rPr>
                        <w:t>parties</w:t>
                      </w:r>
                      <w:r>
                        <w:rPr>
                          <w:color w:val="000000"/>
                          <w:spacing w:val="-14"/>
                        </w:rPr>
                        <w:t xml:space="preserve"> </w:t>
                      </w:r>
                      <w:r>
                        <w:rPr>
                          <w:color w:val="000000"/>
                        </w:rPr>
                        <w:t>to</w:t>
                      </w:r>
                      <w:r>
                        <w:rPr>
                          <w:color w:val="000000"/>
                          <w:spacing w:val="-12"/>
                        </w:rPr>
                        <w:t xml:space="preserve"> </w:t>
                      </w:r>
                      <w:r>
                        <w:rPr>
                          <w:color w:val="000000"/>
                        </w:rPr>
                        <w:t>notify</w:t>
                      </w:r>
                      <w:r>
                        <w:rPr>
                          <w:color w:val="000000"/>
                          <w:spacing w:val="-14"/>
                        </w:rPr>
                        <w:t xml:space="preserve"> </w:t>
                      </w:r>
                      <w:r>
                        <w:rPr>
                          <w:color w:val="000000"/>
                        </w:rPr>
                        <w:t>the</w:t>
                      </w:r>
                      <w:r>
                        <w:rPr>
                          <w:color w:val="000000"/>
                          <w:spacing w:val="-14"/>
                        </w:rPr>
                        <w:t xml:space="preserve"> </w:t>
                      </w:r>
                      <w:r>
                        <w:rPr>
                          <w:color w:val="000000"/>
                        </w:rPr>
                        <w:t>Attorney-General</w:t>
                      </w:r>
                      <w:r>
                        <w:rPr>
                          <w:color w:val="000000"/>
                          <w:spacing w:val="-13"/>
                        </w:rPr>
                        <w:t xml:space="preserve"> </w:t>
                      </w:r>
                      <w:r>
                        <w:rPr>
                          <w:color w:val="000000"/>
                        </w:rPr>
                        <w:t>and</w:t>
                      </w:r>
                      <w:r>
                        <w:rPr>
                          <w:color w:val="000000"/>
                          <w:spacing w:val="-14"/>
                        </w:rPr>
                        <w:t xml:space="preserve"> </w:t>
                      </w:r>
                      <w:r>
                        <w:rPr>
                          <w:color w:val="000000"/>
                        </w:rPr>
                        <w:t>the</w:t>
                      </w:r>
                      <w:r>
                        <w:rPr>
                          <w:color w:val="000000"/>
                          <w:spacing w:val="-14"/>
                        </w:rPr>
                        <w:t xml:space="preserve"> </w:t>
                      </w:r>
                      <w:r>
                        <w:rPr>
                          <w:color w:val="000000"/>
                        </w:rPr>
                        <w:t>Tasmanian</w:t>
                      </w:r>
                      <w:r>
                        <w:rPr>
                          <w:color w:val="000000"/>
                          <w:spacing w:val="-12"/>
                        </w:rPr>
                        <w:t xml:space="preserve"> </w:t>
                      </w:r>
                      <w:r>
                        <w:rPr>
                          <w:color w:val="000000"/>
                        </w:rPr>
                        <w:t>Human</w:t>
                      </w:r>
                      <w:r>
                        <w:rPr>
                          <w:color w:val="000000"/>
                          <w:spacing w:val="-12"/>
                        </w:rPr>
                        <w:t xml:space="preserve"> </w:t>
                      </w:r>
                      <w:r>
                        <w:rPr>
                          <w:color w:val="000000"/>
                        </w:rPr>
                        <w:t>Rights</w:t>
                      </w:r>
                      <w:r>
                        <w:rPr>
                          <w:color w:val="000000"/>
                          <w:spacing w:val="-11"/>
                        </w:rPr>
                        <w:t xml:space="preserve"> </w:t>
                      </w:r>
                      <w:r>
                        <w:rPr>
                          <w:color w:val="000000"/>
                        </w:rPr>
                        <w:t>Commission,</w:t>
                      </w:r>
                      <w:r>
                        <w:rPr>
                          <w:color w:val="000000"/>
                          <w:spacing w:val="-12"/>
                        </w:rPr>
                        <w:t xml:space="preserve"> </w:t>
                      </w:r>
                      <w:r>
                        <w:rPr>
                          <w:color w:val="000000"/>
                        </w:rPr>
                        <w:t>when matters raise human rights issues where intervention would be in the interests of justice.</w:t>
                      </w:r>
                    </w:p>
                    <w:p w14:paraId="7CB2679F" w14:textId="77777777" w:rsidR="008A4099" w:rsidRDefault="006A6EE2">
                      <w:pPr>
                        <w:pStyle w:val="BodyText"/>
                        <w:spacing w:before="121"/>
                        <w:ind w:left="108" w:right="227"/>
                        <w:jc w:val="both"/>
                        <w:rPr>
                          <w:color w:val="000000"/>
                        </w:rPr>
                      </w:pPr>
                      <w:r>
                        <w:rPr>
                          <w:color w:val="000000"/>
                        </w:rPr>
                        <w:t>Proceedings should not be adjourned while notice is given, and there should be a rebuttable presumption that the costs of the intervention will be borne by the Commission.</w:t>
                      </w:r>
                    </w:p>
                    <w:p w14:paraId="7CB267A0" w14:textId="77777777" w:rsidR="008A4099" w:rsidRDefault="006A6EE2">
                      <w:pPr>
                        <w:pStyle w:val="BodyText"/>
                        <w:spacing w:before="121"/>
                        <w:ind w:left="108"/>
                        <w:jc w:val="both"/>
                        <w:rPr>
                          <w:color w:val="000000"/>
                        </w:rPr>
                      </w:pPr>
                      <w:r>
                        <w:rPr>
                          <w:color w:val="000000"/>
                        </w:rPr>
                        <w:t>The</w:t>
                      </w:r>
                      <w:r>
                        <w:rPr>
                          <w:color w:val="000000"/>
                          <w:spacing w:val="-6"/>
                        </w:rPr>
                        <w:t xml:space="preserve"> </w:t>
                      </w:r>
                      <w:r>
                        <w:rPr>
                          <w:color w:val="000000"/>
                        </w:rPr>
                        <w:t>Commission</w:t>
                      </w:r>
                      <w:r>
                        <w:rPr>
                          <w:color w:val="000000"/>
                          <w:spacing w:val="-3"/>
                        </w:rPr>
                        <w:t xml:space="preserve"> </w:t>
                      </w:r>
                      <w:r>
                        <w:rPr>
                          <w:color w:val="000000"/>
                        </w:rPr>
                        <w:t>should</w:t>
                      </w:r>
                      <w:r>
                        <w:rPr>
                          <w:color w:val="000000"/>
                          <w:spacing w:val="-3"/>
                        </w:rPr>
                        <w:t xml:space="preserve"> </w:t>
                      </w:r>
                      <w:r>
                        <w:rPr>
                          <w:color w:val="000000"/>
                        </w:rPr>
                        <w:t>be</w:t>
                      </w:r>
                      <w:r>
                        <w:rPr>
                          <w:color w:val="000000"/>
                          <w:spacing w:val="-5"/>
                        </w:rPr>
                        <w:t xml:space="preserve"> </w:t>
                      </w:r>
                      <w:r>
                        <w:rPr>
                          <w:color w:val="000000"/>
                        </w:rPr>
                        <w:t>adequately</w:t>
                      </w:r>
                      <w:r>
                        <w:rPr>
                          <w:color w:val="000000"/>
                          <w:spacing w:val="-6"/>
                        </w:rPr>
                        <w:t xml:space="preserve"> </w:t>
                      </w:r>
                      <w:r>
                        <w:rPr>
                          <w:color w:val="000000"/>
                        </w:rPr>
                        <w:t>resourced</w:t>
                      </w:r>
                      <w:r>
                        <w:rPr>
                          <w:color w:val="000000"/>
                          <w:spacing w:val="-3"/>
                        </w:rPr>
                        <w:t xml:space="preserve"> </w:t>
                      </w:r>
                      <w:r>
                        <w:rPr>
                          <w:color w:val="000000"/>
                        </w:rPr>
                        <w:t>to</w:t>
                      </w:r>
                      <w:r>
                        <w:rPr>
                          <w:color w:val="000000"/>
                          <w:spacing w:val="-4"/>
                        </w:rPr>
                        <w:t xml:space="preserve"> </w:t>
                      </w:r>
                      <w:r>
                        <w:rPr>
                          <w:color w:val="000000"/>
                        </w:rPr>
                        <w:t>intervene</w:t>
                      </w:r>
                      <w:r>
                        <w:rPr>
                          <w:color w:val="000000"/>
                          <w:spacing w:val="-3"/>
                        </w:rPr>
                        <w:t xml:space="preserve"> </w:t>
                      </w:r>
                      <w:r>
                        <w:rPr>
                          <w:color w:val="000000"/>
                        </w:rPr>
                        <w:t>in</w:t>
                      </w:r>
                      <w:r>
                        <w:rPr>
                          <w:color w:val="000000"/>
                          <w:spacing w:val="-3"/>
                        </w:rPr>
                        <w:t xml:space="preserve"> </w:t>
                      </w:r>
                      <w:r>
                        <w:rPr>
                          <w:color w:val="000000"/>
                        </w:rPr>
                        <w:t>any</w:t>
                      </w:r>
                      <w:r>
                        <w:rPr>
                          <w:color w:val="000000"/>
                          <w:spacing w:val="-5"/>
                        </w:rPr>
                        <w:t xml:space="preserve"> </w:t>
                      </w:r>
                      <w:r>
                        <w:rPr>
                          <w:color w:val="000000"/>
                        </w:rPr>
                        <w:t>relevant</w:t>
                      </w:r>
                      <w:r>
                        <w:rPr>
                          <w:color w:val="000000"/>
                          <w:spacing w:val="-1"/>
                        </w:rPr>
                        <w:t xml:space="preserve"> </w:t>
                      </w:r>
                      <w:r>
                        <w:rPr>
                          <w:color w:val="000000"/>
                          <w:spacing w:val="-2"/>
                        </w:rPr>
                        <w:t>matter.</w:t>
                      </w:r>
                    </w:p>
                  </w:txbxContent>
                </v:textbox>
                <w10:wrap type="topAndBottom" anchorx="page"/>
              </v:shape>
            </w:pict>
          </mc:Fallback>
        </mc:AlternateContent>
      </w:r>
    </w:p>
    <w:p w14:paraId="7CB26305" w14:textId="77777777" w:rsidR="008A4099" w:rsidRDefault="006A6EE2">
      <w:pPr>
        <w:pStyle w:val="Heading4"/>
      </w:pPr>
      <w:bookmarkStart w:id="57" w:name="_TOC_250003"/>
      <w:r>
        <w:t>Dispute</w:t>
      </w:r>
      <w:r>
        <w:rPr>
          <w:spacing w:val="-3"/>
        </w:rPr>
        <w:t xml:space="preserve"> </w:t>
      </w:r>
      <w:bookmarkEnd w:id="57"/>
      <w:r>
        <w:rPr>
          <w:spacing w:val="-2"/>
        </w:rPr>
        <w:t>resolution</w:t>
      </w:r>
    </w:p>
    <w:p w14:paraId="7CB26306" w14:textId="77777777" w:rsidR="008A4099" w:rsidRDefault="008A4099">
      <w:pPr>
        <w:pStyle w:val="BodyText"/>
        <w:spacing w:before="15"/>
        <w:rPr>
          <w:b/>
          <w:i/>
          <w:sz w:val="23"/>
        </w:rPr>
      </w:pPr>
    </w:p>
    <w:p w14:paraId="7CB26307" w14:textId="77777777" w:rsidR="008A4099" w:rsidRDefault="006A6EE2">
      <w:pPr>
        <w:pStyle w:val="Heading3"/>
      </w:pPr>
      <w:r>
        <w:t>2007</w:t>
      </w:r>
      <w:r>
        <w:rPr>
          <w:spacing w:val="-3"/>
        </w:rPr>
        <w:t xml:space="preserve"> </w:t>
      </w:r>
      <w:r>
        <w:t>Final</w:t>
      </w:r>
      <w:r>
        <w:rPr>
          <w:spacing w:val="-5"/>
        </w:rPr>
        <w:t xml:space="preserve"> </w:t>
      </w:r>
      <w:r>
        <w:t>report</w:t>
      </w:r>
      <w:r>
        <w:rPr>
          <w:spacing w:val="-2"/>
        </w:rPr>
        <w:t xml:space="preserve"> </w:t>
      </w:r>
      <w:r>
        <w:t>and</w:t>
      </w:r>
      <w:r>
        <w:rPr>
          <w:spacing w:val="-4"/>
        </w:rPr>
        <w:t xml:space="preserve"> </w:t>
      </w:r>
      <w:r>
        <w:t>subsequent</w:t>
      </w:r>
      <w:r>
        <w:rPr>
          <w:spacing w:val="-2"/>
        </w:rPr>
        <w:t xml:space="preserve"> developments</w:t>
      </w:r>
    </w:p>
    <w:p w14:paraId="7CB26308" w14:textId="77777777" w:rsidR="008A4099" w:rsidRDefault="006A6EE2">
      <w:pPr>
        <w:pStyle w:val="ListParagraph"/>
        <w:numPr>
          <w:ilvl w:val="2"/>
          <w:numId w:val="3"/>
        </w:numPr>
        <w:tabs>
          <w:tab w:val="left" w:pos="879"/>
        </w:tabs>
        <w:spacing w:before="262" w:line="237" w:lineRule="auto"/>
        <w:ind w:right="685" w:firstLine="0"/>
        <w:jc w:val="both"/>
      </w:pPr>
      <w:r>
        <w:t>In the 2007 Final Report, the TLRI did not consider the issue of whether the Human Rights Commissioner should be given a dispute resolution function.</w:t>
      </w:r>
    </w:p>
    <w:p w14:paraId="7CB26309" w14:textId="77777777" w:rsidR="008A4099" w:rsidRDefault="006A6EE2">
      <w:pPr>
        <w:pStyle w:val="ListParagraph"/>
        <w:numPr>
          <w:ilvl w:val="2"/>
          <w:numId w:val="3"/>
        </w:numPr>
        <w:tabs>
          <w:tab w:val="left" w:pos="879"/>
        </w:tabs>
        <w:spacing w:before="218"/>
        <w:ind w:right="674" w:firstLine="0"/>
        <w:jc w:val="both"/>
        <w:rPr>
          <w:sz w:val="13"/>
        </w:rPr>
      </w:pPr>
      <w:r>
        <w:t>The Qld Human Rights Commission’s dispute resolution process has been identified as a significant feature of Queensland’s human rights framework and encourages both the early resolution of complaints and a stronger human rights culture within public authorities to avoid complaints being made. Even where conciliation is unsuccessful, the Commission can make recommendations to the authority for practice improvements to avoid future complaints.</w:t>
      </w:r>
      <w:r>
        <w:rPr>
          <w:position w:val="7"/>
          <w:sz w:val="13"/>
        </w:rPr>
        <w:t>518</w:t>
      </w:r>
    </w:p>
    <w:p w14:paraId="7CB2630A" w14:textId="77777777" w:rsidR="008A4099" w:rsidRDefault="006A6EE2">
      <w:pPr>
        <w:pStyle w:val="ListParagraph"/>
        <w:numPr>
          <w:ilvl w:val="2"/>
          <w:numId w:val="3"/>
        </w:numPr>
        <w:tabs>
          <w:tab w:val="left" w:pos="879"/>
        </w:tabs>
        <w:spacing w:before="217"/>
        <w:ind w:right="674" w:firstLine="0"/>
        <w:jc w:val="both"/>
        <w:rPr>
          <w:sz w:val="13"/>
        </w:rPr>
      </w:pPr>
      <w:r>
        <w:t>The</w:t>
      </w:r>
      <w:r>
        <w:rPr>
          <w:spacing w:val="-2"/>
        </w:rPr>
        <w:t xml:space="preserve"> </w:t>
      </w:r>
      <w:r>
        <w:t>ACT</w:t>
      </w:r>
      <w:r>
        <w:rPr>
          <w:spacing w:val="-2"/>
        </w:rPr>
        <w:t xml:space="preserve"> </w:t>
      </w:r>
      <w:r>
        <w:t>Human</w:t>
      </w:r>
      <w:r>
        <w:rPr>
          <w:spacing w:val="-2"/>
        </w:rPr>
        <w:t xml:space="preserve"> </w:t>
      </w:r>
      <w:r>
        <w:t>Rights</w:t>
      </w:r>
      <w:r>
        <w:rPr>
          <w:spacing w:val="-2"/>
        </w:rPr>
        <w:t xml:space="preserve"> </w:t>
      </w:r>
      <w:r>
        <w:t>Commissioner</w:t>
      </w:r>
      <w:r>
        <w:rPr>
          <w:spacing w:val="-1"/>
        </w:rPr>
        <w:t xml:space="preserve"> </w:t>
      </w:r>
      <w:r>
        <w:t>has</w:t>
      </w:r>
      <w:r>
        <w:rPr>
          <w:spacing w:val="-2"/>
        </w:rPr>
        <w:t xml:space="preserve"> </w:t>
      </w:r>
      <w:r>
        <w:t>powers</w:t>
      </w:r>
      <w:r>
        <w:rPr>
          <w:spacing w:val="-2"/>
        </w:rPr>
        <w:t xml:space="preserve"> </w:t>
      </w:r>
      <w:r>
        <w:t>to</w:t>
      </w:r>
      <w:r>
        <w:rPr>
          <w:spacing w:val="-5"/>
        </w:rPr>
        <w:t xml:space="preserve"> </w:t>
      </w:r>
      <w:r>
        <w:t>resolve</w:t>
      </w:r>
      <w:r>
        <w:rPr>
          <w:spacing w:val="-2"/>
        </w:rPr>
        <w:t xml:space="preserve"> </w:t>
      </w:r>
      <w:r>
        <w:t>disputes in</w:t>
      </w:r>
      <w:r>
        <w:rPr>
          <w:spacing w:val="-2"/>
        </w:rPr>
        <w:t xml:space="preserve"> </w:t>
      </w:r>
      <w:r>
        <w:t>a</w:t>
      </w:r>
      <w:r>
        <w:rPr>
          <w:spacing w:val="-2"/>
        </w:rPr>
        <w:t xml:space="preserve"> </w:t>
      </w:r>
      <w:r>
        <w:t>range</w:t>
      </w:r>
      <w:r>
        <w:rPr>
          <w:spacing w:val="-4"/>
        </w:rPr>
        <w:t xml:space="preserve"> </w:t>
      </w:r>
      <w:r>
        <w:t>of</w:t>
      </w:r>
      <w:r>
        <w:rPr>
          <w:spacing w:val="-2"/>
        </w:rPr>
        <w:t xml:space="preserve"> </w:t>
      </w:r>
      <w:r>
        <w:t>areas,</w:t>
      </w:r>
      <w:r>
        <w:rPr>
          <w:spacing w:val="-2"/>
        </w:rPr>
        <w:t xml:space="preserve"> </w:t>
      </w:r>
      <w:r>
        <w:t>but no</w:t>
      </w:r>
      <w:r>
        <w:rPr>
          <w:spacing w:val="-14"/>
        </w:rPr>
        <w:t xml:space="preserve"> </w:t>
      </w:r>
      <w:r>
        <w:t>general</w:t>
      </w:r>
      <w:r>
        <w:rPr>
          <w:spacing w:val="-14"/>
        </w:rPr>
        <w:t xml:space="preserve"> </w:t>
      </w:r>
      <w:r>
        <w:t>dispute</w:t>
      </w:r>
      <w:r>
        <w:rPr>
          <w:spacing w:val="-14"/>
        </w:rPr>
        <w:t xml:space="preserve"> </w:t>
      </w:r>
      <w:r>
        <w:t>resolution</w:t>
      </w:r>
      <w:r>
        <w:rPr>
          <w:spacing w:val="-13"/>
        </w:rPr>
        <w:t xml:space="preserve"> </w:t>
      </w:r>
      <w:r>
        <w:t>powers.</w:t>
      </w:r>
      <w:r>
        <w:rPr>
          <w:position w:val="7"/>
          <w:sz w:val="13"/>
        </w:rPr>
        <w:t>519</w:t>
      </w:r>
      <w:r>
        <w:rPr>
          <w:spacing w:val="-9"/>
          <w:position w:val="7"/>
          <w:sz w:val="13"/>
        </w:rPr>
        <w:t xml:space="preserve"> </w:t>
      </w:r>
      <w:r>
        <w:t>The</w:t>
      </w:r>
      <w:r>
        <w:rPr>
          <w:spacing w:val="-13"/>
        </w:rPr>
        <w:t xml:space="preserve"> </w:t>
      </w:r>
      <w:r>
        <w:t>Commissioner</w:t>
      </w:r>
      <w:r>
        <w:rPr>
          <w:spacing w:val="-14"/>
        </w:rPr>
        <w:t xml:space="preserve"> </w:t>
      </w:r>
      <w:r>
        <w:t>has</w:t>
      </w:r>
      <w:r>
        <w:rPr>
          <w:spacing w:val="-14"/>
        </w:rPr>
        <w:t xml:space="preserve"> </w:t>
      </w:r>
      <w:r>
        <w:t>called</w:t>
      </w:r>
      <w:r>
        <w:rPr>
          <w:spacing w:val="-14"/>
        </w:rPr>
        <w:t xml:space="preserve"> </w:t>
      </w:r>
      <w:r>
        <w:t>the</w:t>
      </w:r>
      <w:r>
        <w:rPr>
          <w:spacing w:val="-13"/>
        </w:rPr>
        <w:t xml:space="preserve"> </w:t>
      </w:r>
      <w:r>
        <w:t>introduction</w:t>
      </w:r>
      <w:r>
        <w:rPr>
          <w:spacing w:val="-14"/>
        </w:rPr>
        <w:t xml:space="preserve"> </w:t>
      </w:r>
      <w:r>
        <w:t>of</w:t>
      </w:r>
      <w:r>
        <w:rPr>
          <w:spacing w:val="-14"/>
        </w:rPr>
        <w:t xml:space="preserve"> </w:t>
      </w:r>
      <w:r>
        <w:t>a</w:t>
      </w:r>
      <w:r>
        <w:rPr>
          <w:spacing w:val="-14"/>
        </w:rPr>
        <w:t xml:space="preserve"> </w:t>
      </w:r>
      <w:r>
        <w:t>human</w:t>
      </w:r>
      <w:r>
        <w:rPr>
          <w:spacing w:val="-13"/>
        </w:rPr>
        <w:t xml:space="preserve"> </w:t>
      </w:r>
      <w:r>
        <w:t>rights complaints mechanism ‘the most pressing reform required for the HR Act’.</w:t>
      </w:r>
      <w:r>
        <w:rPr>
          <w:position w:val="7"/>
          <w:sz w:val="13"/>
        </w:rPr>
        <w:t>520</w:t>
      </w:r>
      <w:r>
        <w:rPr>
          <w:spacing w:val="40"/>
          <w:position w:val="7"/>
          <w:sz w:val="13"/>
        </w:rPr>
        <w:t xml:space="preserve"> </w:t>
      </w:r>
      <w:r>
        <w:t xml:space="preserve">This need for more </w:t>
      </w:r>
      <w:r>
        <w:rPr>
          <w:spacing w:val="-2"/>
        </w:rPr>
        <w:t>accessible</w:t>
      </w:r>
      <w:r>
        <w:rPr>
          <w:spacing w:val="-8"/>
        </w:rPr>
        <w:t xml:space="preserve"> </w:t>
      </w:r>
      <w:r>
        <w:rPr>
          <w:spacing w:val="-2"/>
        </w:rPr>
        <w:t>remedies</w:t>
      </w:r>
      <w:r>
        <w:rPr>
          <w:spacing w:val="-4"/>
        </w:rPr>
        <w:t xml:space="preserve"> </w:t>
      </w:r>
      <w:r>
        <w:rPr>
          <w:spacing w:val="-2"/>
        </w:rPr>
        <w:t>was</w:t>
      </w:r>
      <w:r>
        <w:rPr>
          <w:spacing w:val="-3"/>
        </w:rPr>
        <w:t xml:space="preserve"> </w:t>
      </w:r>
      <w:r>
        <w:rPr>
          <w:spacing w:val="-2"/>
        </w:rPr>
        <w:t>also</w:t>
      </w:r>
      <w:r>
        <w:rPr>
          <w:spacing w:val="-4"/>
        </w:rPr>
        <w:t xml:space="preserve"> </w:t>
      </w:r>
      <w:r>
        <w:rPr>
          <w:spacing w:val="-2"/>
        </w:rPr>
        <w:t>identified</w:t>
      </w:r>
      <w:r>
        <w:rPr>
          <w:spacing w:val="-5"/>
        </w:rPr>
        <w:t xml:space="preserve"> </w:t>
      </w:r>
      <w:r>
        <w:rPr>
          <w:spacing w:val="-2"/>
        </w:rPr>
        <w:t>by</w:t>
      </w:r>
      <w:r>
        <w:rPr>
          <w:spacing w:val="-7"/>
        </w:rPr>
        <w:t xml:space="preserve"> </w:t>
      </w:r>
      <w:r>
        <w:rPr>
          <w:spacing w:val="-2"/>
        </w:rPr>
        <w:t>the</w:t>
      </w:r>
      <w:r>
        <w:rPr>
          <w:spacing w:val="-4"/>
        </w:rPr>
        <w:t xml:space="preserve"> </w:t>
      </w:r>
      <w:r>
        <w:rPr>
          <w:spacing w:val="-2"/>
        </w:rPr>
        <w:t>Standing</w:t>
      </w:r>
      <w:r>
        <w:rPr>
          <w:spacing w:val="-9"/>
        </w:rPr>
        <w:t xml:space="preserve"> </w:t>
      </w:r>
      <w:r>
        <w:rPr>
          <w:spacing w:val="-2"/>
        </w:rPr>
        <w:t>Committee</w:t>
      </w:r>
      <w:r>
        <w:rPr>
          <w:spacing w:val="-4"/>
        </w:rPr>
        <w:t xml:space="preserve"> </w:t>
      </w:r>
      <w:r>
        <w:rPr>
          <w:spacing w:val="-2"/>
        </w:rPr>
        <w:t>on</w:t>
      </w:r>
      <w:r>
        <w:rPr>
          <w:spacing w:val="-7"/>
        </w:rPr>
        <w:t xml:space="preserve"> </w:t>
      </w:r>
      <w:r>
        <w:rPr>
          <w:spacing w:val="-2"/>
        </w:rPr>
        <w:t>Justice</w:t>
      </w:r>
      <w:r>
        <w:rPr>
          <w:spacing w:val="-6"/>
        </w:rPr>
        <w:t xml:space="preserve"> </w:t>
      </w:r>
      <w:r>
        <w:rPr>
          <w:spacing w:val="-2"/>
        </w:rPr>
        <w:t>and</w:t>
      </w:r>
      <w:r>
        <w:rPr>
          <w:spacing w:val="-3"/>
        </w:rPr>
        <w:t xml:space="preserve"> </w:t>
      </w:r>
      <w:r>
        <w:rPr>
          <w:spacing w:val="-2"/>
        </w:rPr>
        <w:t>Community</w:t>
      </w:r>
      <w:r>
        <w:rPr>
          <w:spacing w:val="-3"/>
        </w:rPr>
        <w:t xml:space="preserve"> </w:t>
      </w:r>
      <w:r>
        <w:rPr>
          <w:spacing w:val="-2"/>
        </w:rPr>
        <w:t>Safety.</w:t>
      </w:r>
      <w:r>
        <w:rPr>
          <w:spacing w:val="-2"/>
          <w:position w:val="7"/>
          <w:sz w:val="13"/>
        </w:rPr>
        <w:t>521</w:t>
      </w:r>
    </w:p>
    <w:p w14:paraId="7CB2630B" w14:textId="77777777" w:rsidR="008A4099" w:rsidRDefault="006A6EE2">
      <w:pPr>
        <w:pStyle w:val="ListParagraph"/>
        <w:numPr>
          <w:ilvl w:val="2"/>
          <w:numId w:val="3"/>
        </w:numPr>
        <w:tabs>
          <w:tab w:val="left" w:pos="879"/>
        </w:tabs>
        <w:spacing w:before="216"/>
        <w:ind w:left="879" w:hanging="719"/>
        <w:jc w:val="both"/>
      </w:pPr>
      <w:r>
        <w:t>This</w:t>
      </w:r>
      <w:r>
        <w:rPr>
          <w:spacing w:val="-4"/>
        </w:rPr>
        <w:t xml:space="preserve"> </w:t>
      </w:r>
      <w:r>
        <w:t>call</w:t>
      </w:r>
      <w:r>
        <w:rPr>
          <w:spacing w:val="-1"/>
        </w:rPr>
        <w:t xml:space="preserve"> </w:t>
      </w:r>
      <w:r>
        <w:t>is</w:t>
      </w:r>
      <w:r>
        <w:rPr>
          <w:spacing w:val="-2"/>
        </w:rPr>
        <w:t xml:space="preserve"> </w:t>
      </w:r>
      <w:r>
        <w:t>echoed</w:t>
      </w:r>
      <w:r>
        <w:rPr>
          <w:spacing w:val="-4"/>
        </w:rPr>
        <w:t xml:space="preserve"> </w:t>
      </w:r>
      <w:r>
        <w:t>in</w:t>
      </w:r>
      <w:r>
        <w:rPr>
          <w:spacing w:val="-4"/>
        </w:rPr>
        <w:t xml:space="preserve"> </w:t>
      </w:r>
      <w:r>
        <w:t>the</w:t>
      </w:r>
      <w:r>
        <w:rPr>
          <w:spacing w:val="-2"/>
        </w:rPr>
        <w:t xml:space="preserve"> </w:t>
      </w:r>
      <w:r>
        <w:t>2015</w:t>
      </w:r>
      <w:r>
        <w:rPr>
          <w:spacing w:val="-2"/>
        </w:rPr>
        <w:t xml:space="preserve"> </w:t>
      </w:r>
      <w:r>
        <w:t>Review</w:t>
      </w:r>
      <w:r>
        <w:rPr>
          <w:spacing w:val="-2"/>
        </w:rPr>
        <w:t xml:space="preserve"> </w:t>
      </w:r>
      <w:r>
        <w:t>of</w:t>
      </w:r>
      <w:r>
        <w:rPr>
          <w:spacing w:val="-4"/>
        </w:rPr>
        <w:t xml:space="preserve"> </w:t>
      </w:r>
      <w:r>
        <w:t>the</w:t>
      </w:r>
      <w:r>
        <w:rPr>
          <w:spacing w:val="-2"/>
        </w:rPr>
        <w:t xml:space="preserve"> </w:t>
      </w:r>
      <w:r>
        <w:t>Vic</w:t>
      </w:r>
      <w:r>
        <w:rPr>
          <w:spacing w:val="-2"/>
        </w:rPr>
        <w:t xml:space="preserve"> </w:t>
      </w:r>
      <w:r>
        <w:t>Human</w:t>
      </w:r>
      <w:r>
        <w:rPr>
          <w:spacing w:val="-2"/>
        </w:rPr>
        <w:t xml:space="preserve"> </w:t>
      </w:r>
      <w:r>
        <w:t>Rights</w:t>
      </w:r>
      <w:r>
        <w:rPr>
          <w:spacing w:val="-2"/>
        </w:rPr>
        <w:t xml:space="preserve"> Charter:</w:t>
      </w:r>
    </w:p>
    <w:p w14:paraId="7CB2630C" w14:textId="77777777" w:rsidR="008A4099" w:rsidRDefault="006A6EE2">
      <w:pPr>
        <w:pStyle w:val="BodyText"/>
        <w:spacing w:before="237" w:line="276" w:lineRule="auto"/>
        <w:ind w:left="868" w:right="1344"/>
        <w:jc w:val="both"/>
      </w:pPr>
      <w:r>
        <w:t>Drawing</w:t>
      </w:r>
      <w:r>
        <w:rPr>
          <w:spacing w:val="-7"/>
        </w:rPr>
        <w:t xml:space="preserve"> </w:t>
      </w:r>
      <w:r>
        <w:t>on</w:t>
      </w:r>
      <w:r>
        <w:rPr>
          <w:spacing w:val="-7"/>
        </w:rPr>
        <w:t xml:space="preserve"> </w:t>
      </w:r>
      <w:r>
        <w:t>the</w:t>
      </w:r>
      <w:r>
        <w:rPr>
          <w:spacing w:val="-7"/>
        </w:rPr>
        <w:t xml:space="preserve"> </w:t>
      </w:r>
      <w:r>
        <w:t>Ayers</w:t>
      </w:r>
      <w:r>
        <w:rPr>
          <w:spacing w:val="-6"/>
        </w:rPr>
        <w:t xml:space="preserve"> </w:t>
      </w:r>
      <w:r>
        <w:t>and</w:t>
      </w:r>
      <w:r>
        <w:rPr>
          <w:spacing w:val="-7"/>
        </w:rPr>
        <w:t xml:space="preserve"> </w:t>
      </w:r>
      <w:r>
        <w:t>Braithwaite</w:t>
      </w:r>
      <w:r>
        <w:rPr>
          <w:spacing w:val="-9"/>
        </w:rPr>
        <w:t xml:space="preserve"> </w:t>
      </w:r>
      <w:r>
        <w:t>model</w:t>
      </w:r>
      <w:r>
        <w:rPr>
          <w:spacing w:val="-6"/>
        </w:rPr>
        <w:t xml:space="preserve"> </w:t>
      </w:r>
      <w:r>
        <w:t>of</w:t>
      </w:r>
      <w:r>
        <w:rPr>
          <w:spacing w:val="-6"/>
        </w:rPr>
        <w:t xml:space="preserve"> </w:t>
      </w:r>
      <w:r>
        <w:t>the</w:t>
      </w:r>
      <w:r>
        <w:rPr>
          <w:spacing w:val="-7"/>
        </w:rPr>
        <w:t xml:space="preserve"> </w:t>
      </w:r>
      <w:r>
        <w:t>enforcement</w:t>
      </w:r>
      <w:r>
        <w:rPr>
          <w:spacing w:val="-6"/>
        </w:rPr>
        <w:t xml:space="preserve"> </w:t>
      </w:r>
      <w:r>
        <w:t>pyramid</w:t>
      </w:r>
      <w:r>
        <w:rPr>
          <w:spacing w:val="-7"/>
        </w:rPr>
        <w:t xml:space="preserve"> </w:t>
      </w:r>
      <w:r>
        <w:t>(a</w:t>
      </w:r>
      <w:r>
        <w:rPr>
          <w:spacing w:val="-7"/>
        </w:rPr>
        <w:t xml:space="preserve"> </w:t>
      </w:r>
      <w:r>
        <w:t>regulatory model), I found the Charter is missing key elements of an effective regulatory system. To address this issue, the Charter should be enhanced to enable the Victorian Equal Opportunity and Human Rights Commission to offer dispute resolution under the Charter. … This enhancement would support the Commission’s facilitative role in the compliance</w:t>
      </w:r>
      <w:r>
        <w:rPr>
          <w:spacing w:val="58"/>
        </w:rPr>
        <w:t xml:space="preserve"> </w:t>
      </w:r>
      <w:r>
        <w:t>pyramid</w:t>
      </w:r>
      <w:r>
        <w:rPr>
          <w:spacing w:val="60"/>
        </w:rPr>
        <w:t xml:space="preserve"> </w:t>
      </w:r>
      <w:r>
        <w:t>and</w:t>
      </w:r>
      <w:r>
        <w:rPr>
          <w:spacing w:val="59"/>
        </w:rPr>
        <w:t xml:space="preserve"> </w:t>
      </w:r>
      <w:r>
        <w:t>provide</w:t>
      </w:r>
      <w:r>
        <w:rPr>
          <w:spacing w:val="60"/>
        </w:rPr>
        <w:t xml:space="preserve"> </w:t>
      </w:r>
      <w:r>
        <w:t>a</w:t>
      </w:r>
      <w:r>
        <w:rPr>
          <w:spacing w:val="58"/>
        </w:rPr>
        <w:t xml:space="preserve"> </w:t>
      </w:r>
      <w:r>
        <w:t>clear</w:t>
      </w:r>
      <w:r>
        <w:rPr>
          <w:spacing w:val="61"/>
        </w:rPr>
        <w:t xml:space="preserve"> </w:t>
      </w:r>
      <w:r>
        <w:t>path</w:t>
      </w:r>
      <w:r>
        <w:rPr>
          <w:spacing w:val="59"/>
        </w:rPr>
        <w:t xml:space="preserve"> </w:t>
      </w:r>
      <w:r>
        <w:t>for</w:t>
      </w:r>
      <w:r>
        <w:rPr>
          <w:spacing w:val="58"/>
        </w:rPr>
        <w:t xml:space="preserve"> </w:t>
      </w:r>
      <w:r>
        <w:t>people</w:t>
      </w:r>
      <w:r>
        <w:rPr>
          <w:spacing w:val="60"/>
        </w:rPr>
        <w:t xml:space="preserve"> </w:t>
      </w:r>
      <w:r>
        <w:t>to</w:t>
      </w:r>
      <w:r>
        <w:rPr>
          <w:spacing w:val="59"/>
        </w:rPr>
        <w:t xml:space="preserve"> </w:t>
      </w:r>
      <w:r>
        <w:t>raise</w:t>
      </w:r>
      <w:r>
        <w:rPr>
          <w:spacing w:val="58"/>
        </w:rPr>
        <w:t xml:space="preserve"> </w:t>
      </w:r>
      <w:r>
        <w:t>concerns</w:t>
      </w:r>
      <w:r>
        <w:rPr>
          <w:spacing w:val="59"/>
        </w:rPr>
        <w:t xml:space="preserve"> </w:t>
      </w:r>
      <w:r>
        <w:rPr>
          <w:spacing w:val="-4"/>
        </w:rPr>
        <w:t>with</w:t>
      </w:r>
    </w:p>
    <w:p w14:paraId="7CB2630D" w14:textId="77777777" w:rsidR="008A4099" w:rsidRDefault="006A6EE2">
      <w:pPr>
        <w:pStyle w:val="BodyText"/>
        <w:spacing w:before="121"/>
        <w:rPr>
          <w:sz w:val="20"/>
        </w:rPr>
      </w:pPr>
      <w:r>
        <w:rPr>
          <w:noProof/>
        </w:rPr>
        <mc:AlternateContent>
          <mc:Choice Requires="wps">
            <w:drawing>
              <wp:anchor distT="0" distB="0" distL="0" distR="0" simplePos="0" relativeHeight="487640576" behindDoc="1" locked="0" layoutInCell="1" allowOverlap="1" wp14:anchorId="7CB266A7" wp14:editId="7CB266A8">
                <wp:simplePos x="0" y="0"/>
                <wp:positionH relativeFrom="page">
                  <wp:posOffset>914704</wp:posOffset>
                </wp:positionH>
                <wp:positionV relativeFrom="paragraph">
                  <wp:posOffset>238487</wp:posOffset>
                </wp:positionV>
                <wp:extent cx="1829435" cy="762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F627BB" id="Graphic 151" o:spid="_x0000_s1026" style="position:absolute;margin-left:1in;margin-top:18.8pt;width:144.05pt;height:.6pt;z-index:-156759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" path="m1829054,l,,,7619r1829054,l1829054,xe" fillcolor="black" stroked="f">
                <v:path arrowok="t"/>
                <w10:wrap type="topAndBottom" anchorx="page"/>
              </v:shape>
            </w:pict>
          </mc:Fallback>
        </mc:AlternateContent>
      </w:r>
    </w:p>
    <w:p w14:paraId="7CB2630E" w14:textId="77777777" w:rsidR="008A4099" w:rsidRDefault="006A6EE2">
      <w:pPr>
        <w:spacing w:before="112"/>
        <w:ind w:left="160"/>
        <w:rPr>
          <w:sz w:val="18"/>
        </w:rPr>
      </w:pPr>
      <w:r>
        <w:rPr>
          <w:sz w:val="18"/>
          <w:vertAlign w:val="superscript"/>
        </w:rPr>
        <w:t>518</w:t>
      </w:r>
      <w:r>
        <w:rPr>
          <w:spacing w:val="-1"/>
          <w:sz w:val="18"/>
        </w:rPr>
        <w:t xml:space="preserve"> </w:t>
      </w:r>
      <w:r>
        <w:rPr>
          <w:sz w:val="18"/>
        </w:rPr>
        <w:t>See, for example,</w:t>
      </w:r>
      <w:r>
        <w:rPr>
          <w:spacing w:val="-2"/>
          <w:sz w:val="18"/>
        </w:rPr>
        <w:t xml:space="preserve"> </w:t>
      </w:r>
      <w:r>
        <w:rPr>
          <w:sz w:val="18"/>
        </w:rPr>
        <w:t>Queensland Human</w:t>
      </w:r>
      <w:r>
        <w:rPr>
          <w:spacing w:val="1"/>
          <w:sz w:val="18"/>
        </w:rPr>
        <w:t xml:space="preserve"> </w:t>
      </w:r>
      <w:r>
        <w:rPr>
          <w:sz w:val="18"/>
        </w:rPr>
        <w:t>Rights Commissioner,</w:t>
      </w:r>
      <w:r>
        <w:rPr>
          <w:spacing w:val="5"/>
          <w:sz w:val="18"/>
        </w:rPr>
        <w:t xml:space="preserve"> </w:t>
      </w:r>
      <w:r>
        <w:rPr>
          <w:i/>
          <w:sz w:val="18"/>
        </w:rPr>
        <w:t>Annual</w:t>
      </w:r>
      <w:r>
        <w:rPr>
          <w:i/>
          <w:spacing w:val="-2"/>
          <w:sz w:val="18"/>
        </w:rPr>
        <w:t xml:space="preserve"> </w:t>
      </w:r>
      <w:r>
        <w:rPr>
          <w:i/>
          <w:sz w:val="18"/>
        </w:rPr>
        <w:t>Report</w:t>
      </w:r>
      <w:r>
        <w:rPr>
          <w:i/>
          <w:spacing w:val="-4"/>
          <w:sz w:val="18"/>
        </w:rPr>
        <w:t xml:space="preserve"> </w:t>
      </w:r>
      <w:r>
        <w:rPr>
          <w:i/>
          <w:sz w:val="18"/>
        </w:rPr>
        <w:t>2020-21</w:t>
      </w:r>
      <w:r>
        <w:rPr>
          <w:i/>
          <w:spacing w:val="1"/>
          <w:sz w:val="18"/>
        </w:rPr>
        <w:t xml:space="preserve"> </w:t>
      </w:r>
      <w:r>
        <w:rPr>
          <w:spacing w:val="-2"/>
          <w:sz w:val="18"/>
        </w:rPr>
        <w:t>153–155.</w:t>
      </w:r>
    </w:p>
    <w:p w14:paraId="7CB2630F" w14:textId="77777777" w:rsidR="008A4099" w:rsidRDefault="006A6EE2">
      <w:pPr>
        <w:spacing w:before="24"/>
        <w:ind w:left="160"/>
        <w:rPr>
          <w:sz w:val="18"/>
        </w:rPr>
      </w:pPr>
      <w:r>
        <w:rPr>
          <w:sz w:val="18"/>
          <w:vertAlign w:val="superscript"/>
        </w:rPr>
        <w:t>519</w:t>
      </w:r>
      <w:r>
        <w:rPr>
          <w:sz w:val="18"/>
        </w:rPr>
        <w:t xml:space="preserve"> See</w:t>
      </w:r>
      <w:r>
        <w:rPr>
          <w:spacing w:val="-1"/>
          <w:sz w:val="18"/>
        </w:rPr>
        <w:t xml:space="preserve"> </w:t>
      </w:r>
      <w:r>
        <w:rPr>
          <w:sz w:val="18"/>
        </w:rPr>
        <w:t>ACT</w:t>
      </w:r>
      <w:r>
        <w:rPr>
          <w:spacing w:val="1"/>
          <w:sz w:val="18"/>
        </w:rPr>
        <w:t xml:space="preserve"> </w:t>
      </w:r>
      <w:r>
        <w:rPr>
          <w:sz w:val="18"/>
        </w:rPr>
        <w:t>Human</w:t>
      </w:r>
      <w:r>
        <w:rPr>
          <w:spacing w:val="1"/>
          <w:sz w:val="18"/>
        </w:rPr>
        <w:t xml:space="preserve"> </w:t>
      </w:r>
      <w:r>
        <w:rPr>
          <w:sz w:val="18"/>
        </w:rPr>
        <w:t>Rights Commission,</w:t>
      </w:r>
      <w:r>
        <w:rPr>
          <w:spacing w:val="4"/>
          <w:sz w:val="18"/>
        </w:rPr>
        <w:t xml:space="preserve"> </w:t>
      </w:r>
      <w:r>
        <w:rPr>
          <w:i/>
          <w:sz w:val="18"/>
        </w:rPr>
        <w:t>Complaints</w:t>
      </w:r>
      <w:r>
        <w:rPr>
          <w:i/>
          <w:spacing w:val="1"/>
          <w:sz w:val="18"/>
        </w:rPr>
        <w:t xml:space="preserve"> </w:t>
      </w:r>
      <w:r>
        <w:rPr>
          <w:spacing w:val="-2"/>
          <w:sz w:val="18"/>
        </w:rPr>
        <w:t>&lt;https://</w:t>
      </w:r>
      <w:hyperlink r:id="rId156">
        <w:r>
          <w:rPr>
            <w:spacing w:val="-2"/>
            <w:sz w:val="18"/>
          </w:rPr>
          <w:t>www.hrc.act.gov.au/complaints&gt;</w:t>
        </w:r>
      </w:hyperlink>
      <w:r>
        <w:rPr>
          <w:spacing w:val="-2"/>
          <w:sz w:val="18"/>
        </w:rPr>
        <w:t>.</w:t>
      </w:r>
    </w:p>
    <w:p w14:paraId="7CB26310" w14:textId="77777777" w:rsidR="008A4099" w:rsidRDefault="006A6EE2">
      <w:pPr>
        <w:spacing w:before="23"/>
        <w:ind w:left="160"/>
        <w:rPr>
          <w:sz w:val="18"/>
        </w:rPr>
      </w:pPr>
      <w:r>
        <w:rPr>
          <w:sz w:val="18"/>
          <w:vertAlign w:val="superscript"/>
        </w:rPr>
        <w:t>520</w:t>
      </w:r>
      <w:r>
        <w:rPr>
          <w:sz w:val="18"/>
        </w:rPr>
        <w:t xml:space="preserve"> ACT</w:t>
      </w:r>
      <w:r>
        <w:rPr>
          <w:spacing w:val="1"/>
          <w:sz w:val="18"/>
        </w:rPr>
        <w:t xml:space="preserve"> </w:t>
      </w:r>
      <w:r>
        <w:rPr>
          <w:sz w:val="18"/>
        </w:rPr>
        <w:t>Human</w:t>
      </w:r>
      <w:r>
        <w:rPr>
          <w:spacing w:val="2"/>
          <w:sz w:val="18"/>
        </w:rPr>
        <w:t xml:space="preserve"> </w:t>
      </w:r>
      <w:r>
        <w:rPr>
          <w:sz w:val="18"/>
        </w:rPr>
        <w:t>Rights Commission,</w:t>
      </w:r>
      <w:r>
        <w:rPr>
          <w:spacing w:val="2"/>
          <w:sz w:val="18"/>
        </w:rPr>
        <w:t xml:space="preserve"> </w:t>
      </w:r>
      <w:r>
        <w:rPr>
          <w:i/>
          <w:sz w:val="18"/>
        </w:rPr>
        <w:t>Annual</w:t>
      </w:r>
      <w:r>
        <w:rPr>
          <w:i/>
          <w:spacing w:val="1"/>
          <w:sz w:val="18"/>
        </w:rPr>
        <w:t xml:space="preserve"> </w:t>
      </w:r>
      <w:r>
        <w:rPr>
          <w:i/>
          <w:sz w:val="18"/>
        </w:rPr>
        <w:t>Report</w:t>
      </w:r>
      <w:r>
        <w:rPr>
          <w:i/>
          <w:spacing w:val="-2"/>
          <w:sz w:val="18"/>
        </w:rPr>
        <w:t xml:space="preserve"> </w:t>
      </w:r>
      <w:r>
        <w:rPr>
          <w:i/>
          <w:sz w:val="18"/>
        </w:rPr>
        <w:t xml:space="preserve">2019-20 </w:t>
      </w:r>
      <w:r>
        <w:rPr>
          <w:spacing w:val="-2"/>
          <w:sz w:val="18"/>
        </w:rPr>
        <w:t>12–13.</w:t>
      </w:r>
    </w:p>
    <w:p w14:paraId="7CB26311" w14:textId="77777777" w:rsidR="008A4099" w:rsidRDefault="006A6EE2">
      <w:pPr>
        <w:spacing w:before="24"/>
        <w:ind w:left="160"/>
        <w:rPr>
          <w:sz w:val="18"/>
        </w:rPr>
      </w:pPr>
      <w:r>
        <w:rPr>
          <w:sz w:val="18"/>
          <w:vertAlign w:val="superscript"/>
        </w:rPr>
        <w:t>521</w:t>
      </w:r>
      <w:r>
        <w:rPr>
          <w:spacing w:val="2"/>
          <w:sz w:val="18"/>
        </w:rPr>
        <w:t xml:space="preserve"> </w:t>
      </w:r>
      <w:r>
        <w:rPr>
          <w:sz w:val="18"/>
        </w:rPr>
        <w:t>See</w:t>
      </w:r>
      <w:r>
        <w:rPr>
          <w:spacing w:val="1"/>
          <w:sz w:val="18"/>
        </w:rPr>
        <w:t xml:space="preserve"> </w:t>
      </w:r>
      <w:r>
        <w:rPr>
          <w:sz w:val="18"/>
        </w:rPr>
        <w:t>discussion</w:t>
      </w:r>
      <w:r>
        <w:rPr>
          <w:spacing w:val="4"/>
          <w:sz w:val="18"/>
        </w:rPr>
        <w:t xml:space="preserve"> </w:t>
      </w:r>
      <w:r>
        <w:rPr>
          <w:sz w:val="18"/>
        </w:rPr>
        <w:t>at</w:t>
      </w:r>
      <w:r>
        <w:rPr>
          <w:spacing w:val="4"/>
          <w:sz w:val="18"/>
        </w:rPr>
        <w:t xml:space="preserve"> </w:t>
      </w:r>
      <w:r>
        <w:rPr>
          <w:spacing w:val="-2"/>
          <w:sz w:val="18"/>
        </w:rPr>
        <w:t>[2.2].</w:t>
      </w:r>
    </w:p>
    <w:p w14:paraId="7CB26312" w14:textId="77777777" w:rsidR="008A4099" w:rsidRDefault="008A4099">
      <w:pPr>
        <w:rPr>
          <w:sz w:val="18"/>
        </w:rPr>
        <w:sectPr w:rsidR="008A4099" w:rsidSect="00D43B2D">
          <w:pgSz w:w="11910" w:h="16840"/>
          <w:pgMar w:top="980" w:right="760" w:bottom="940" w:left="1280" w:header="718" w:footer="753" w:gutter="0"/>
          <w:cols w:space="720"/>
        </w:sectPr>
      </w:pPr>
    </w:p>
    <w:p w14:paraId="7CB26313" w14:textId="77777777" w:rsidR="008A4099" w:rsidRDefault="008A4099">
      <w:pPr>
        <w:pStyle w:val="BodyText"/>
        <w:spacing w:before="196"/>
      </w:pPr>
    </w:p>
    <w:p w14:paraId="7CB26314" w14:textId="77777777" w:rsidR="008A4099" w:rsidRDefault="006A6EE2">
      <w:pPr>
        <w:pStyle w:val="BodyText"/>
        <w:spacing w:before="1" w:line="276" w:lineRule="auto"/>
        <w:ind w:left="868" w:right="1346"/>
        <w:jc w:val="both"/>
        <w:rPr>
          <w:sz w:val="13"/>
        </w:rPr>
      </w:pPr>
      <w:r>
        <w:t>government</w:t>
      </w:r>
      <w:r>
        <w:rPr>
          <w:spacing w:val="-2"/>
        </w:rPr>
        <w:t xml:space="preserve"> </w:t>
      </w:r>
      <w:r>
        <w:t>if</w:t>
      </w:r>
      <w:r>
        <w:rPr>
          <w:spacing w:val="-3"/>
        </w:rPr>
        <w:t xml:space="preserve"> </w:t>
      </w:r>
      <w:r>
        <w:t>they</w:t>
      </w:r>
      <w:r>
        <w:rPr>
          <w:spacing w:val="-3"/>
        </w:rPr>
        <w:t xml:space="preserve"> </w:t>
      </w:r>
      <w:r>
        <w:t>feel their human</w:t>
      </w:r>
      <w:r>
        <w:rPr>
          <w:spacing w:val="-3"/>
        </w:rPr>
        <w:t xml:space="preserve"> </w:t>
      </w:r>
      <w:r>
        <w:t>rights</w:t>
      </w:r>
      <w:r>
        <w:rPr>
          <w:spacing w:val="-1"/>
        </w:rPr>
        <w:t xml:space="preserve"> </w:t>
      </w:r>
      <w:r>
        <w:t>are</w:t>
      </w:r>
      <w:r>
        <w:rPr>
          <w:spacing w:val="-1"/>
        </w:rPr>
        <w:t xml:space="preserve"> </w:t>
      </w:r>
      <w:r>
        <w:t>not</w:t>
      </w:r>
      <w:r>
        <w:rPr>
          <w:spacing w:val="-2"/>
        </w:rPr>
        <w:t xml:space="preserve"> </w:t>
      </w:r>
      <w:r>
        <w:t>being</w:t>
      </w:r>
      <w:r>
        <w:rPr>
          <w:spacing w:val="-1"/>
        </w:rPr>
        <w:t xml:space="preserve"> </w:t>
      </w:r>
      <w:r>
        <w:t>respected.</w:t>
      </w:r>
      <w:r>
        <w:rPr>
          <w:spacing w:val="-3"/>
        </w:rPr>
        <w:t xml:space="preserve"> </w:t>
      </w:r>
      <w:r>
        <w:t>Flexible</w:t>
      </w:r>
      <w:r>
        <w:rPr>
          <w:spacing w:val="-3"/>
        </w:rPr>
        <w:t xml:space="preserve"> </w:t>
      </w:r>
      <w:r>
        <w:t>alternative dispute resolution can be particularly effective in delivering access to justice when disputes arise between government and the community it serves.</w:t>
      </w:r>
      <w:r>
        <w:rPr>
          <w:position w:val="7"/>
          <w:sz w:val="13"/>
        </w:rPr>
        <w:t>522</w:t>
      </w:r>
    </w:p>
    <w:p w14:paraId="7CB26315" w14:textId="77777777" w:rsidR="008A4099" w:rsidRDefault="006A6EE2">
      <w:pPr>
        <w:pStyle w:val="Heading3"/>
        <w:spacing w:before="239"/>
      </w:pPr>
      <w:r>
        <w:t>TLRI</w:t>
      </w:r>
      <w:r>
        <w:rPr>
          <w:spacing w:val="-3"/>
        </w:rPr>
        <w:t xml:space="preserve"> </w:t>
      </w:r>
      <w:r>
        <w:t>current</w:t>
      </w:r>
      <w:r>
        <w:rPr>
          <w:spacing w:val="-2"/>
        </w:rPr>
        <w:t xml:space="preserve"> </w:t>
      </w:r>
      <w:r>
        <w:t>views</w:t>
      </w:r>
      <w:r>
        <w:rPr>
          <w:spacing w:val="-3"/>
        </w:rPr>
        <w:t xml:space="preserve"> </w:t>
      </w:r>
      <w:r>
        <w:t>and</w:t>
      </w:r>
      <w:r>
        <w:rPr>
          <w:spacing w:val="-2"/>
        </w:rPr>
        <w:t xml:space="preserve"> recommendations</w:t>
      </w:r>
    </w:p>
    <w:p w14:paraId="7CB26316" w14:textId="77777777" w:rsidR="008A4099" w:rsidRDefault="006A6EE2">
      <w:pPr>
        <w:pStyle w:val="ListParagraph"/>
        <w:numPr>
          <w:ilvl w:val="2"/>
          <w:numId w:val="3"/>
        </w:numPr>
        <w:tabs>
          <w:tab w:val="left" w:pos="879"/>
        </w:tabs>
        <w:spacing w:before="259"/>
        <w:ind w:right="674" w:firstLine="0"/>
        <w:jc w:val="both"/>
      </w:pPr>
      <w:r>
        <w:t>The</w:t>
      </w:r>
      <w:r>
        <w:rPr>
          <w:spacing w:val="-14"/>
        </w:rPr>
        <w:t xml:space="preserve"> </w:t>
      </w:r>
      <w:r>
        <w:t>TLRI’s</w:t>
      </w:r>
      <w:r>
        <w:rPr>
          <w:spacing w:val="-14"/>
        </w:rPr>
        <w:t xml:space="preserve"> </w:t>
      </w:r>
      <w:r>
        <w:t>view</w:t>
      </w:r>
      <w:r>
        <w:rPr>
          <w:spacing w:val="-14"/>
        </w:rPr>
        <w:t xml:space="preserve"> </w:t>
      </w:r>
      <w:r>
        <w:t>is</w:t>
      </w:r>
      <w:r>
        <w:rPr>
          <w:spacing w:val="-13"/>
        </w:rPr>
        <w:t xml:space="preserve"> </w:t>
      </w:r>
      <w:r>
        <w:t>that</w:t>
      </w:r>
      <w:r>
        <w:rPr>
          <w:spacing w:val="-14"/>
        </w:rPr>
        <w:t xml:space="preserve"> </w:t>
      </w:r>
      <w:r>
        <w:t>a</w:t>
      </w:r>
      <w:r>
        <w:rPr>
          <w:spacing w:val="-14"/>
        </w:rPr>
        <w:t xml:space="preserve"> </w:t>
      </w:r>
      <w:r>
        <w:t>Tasmanian</w:t>
      </w:r>
      <w:r>
        <w:rPr>
          <w:spacing w:val="-14"/>
        </w:rPr>
        <w:t xml:space="preserve"> </w:t>
      </w:r>
      <w:r>
        <w:t>human</w:t>
      </w:r>
      <w:r>
        <w:rPr>
          <w:spacing w:val="-13"/>
        </w:rPr>
        <w:t xml:space="preserve"> </w:t>
      </w:r>
      <w:r>
        <w:t>rights</w:t>
      </w:r>
      <w:r>
        <w:rPr>
          <w:spacing w:val="-14"/>
        </w:rPr>
        <w:t xml:space="preserve"> </w:t>
      </w:r>
      <w:r>
        <w:t>enactment</w:t>
      </w:r>
      <w:r>
        <w:rPr>
          <w:spacing w:val="-14"/>
        </w:rPr>
        <w:t xml:space="preserve"> </w:t>
      </w:r>
      <w:r>
        <w:t>should</w:t>
      </w:r>
      <w:r>
        <w:rPr>
          <w:spacing w:val="-14"/>
        </w:rPr>
        <w:t xml:space="preserve"> </w:t>
      </w:r>
      <w:r>
        <w:t>provide</w:t>
      </w:r>
      <w:r>
        <w:rPr>
          <w:spacing w:val="-13"/>
        </w:rPr>
        <w:t xml:space="preserve"> </w:t>
      </w:r>
      <w:r>
        <w:t>for</w:t>
      </w:r>
      <w:r>
        <w:rPr>
          <w:spacing w:val="-14"/>
        </w:rPr>
        <w:t xml:space="preserve"> </w:t>
      </w:r>
      <w:r>
        <w:t>the</w:t>
      </w:r>
      <w:r>
        <w:rPr>
          <w:spacing w:val="-14"/>
        </w:rPr>
        <w:t xml:space="preserve"> </w:t>
      </w:r>
      <w:r>
        <w:t>Tasmanian Human</w:t>
      </w:r>
      <w:r>
        <w:rPr>
          <w:spacing w:val="-12"/>
        </w:rPr>
        <w:t xml:space="preserve"> </w:t>
      </w:r>
      <w:r>
        <w:t>Rights</w:t>
      </w:r>
      <w:r>
        <w:rPr>
          <w:spacing w:val="-11"/>
        </w:rPr>
        <w:t xml:space="preserve"> </w:t>
      </w:r>
      <w:r>
        <w:t>Commission</w:t>
      </w:r>
      <w:r>
        <w:rPr>
          <w:spacing w:val="-14"/>
        </w:rPr>
        <w:t xml:space="preserve"> </w:t>
      </w:r>
      <w:r>
        <w:t>to</w:t>
      </w:r>
      <w:r>
        <w:rPr>
          <w:spacing w:val="-11"/>
        </w:rPr>
        <w:t xml:space="preserve"> </w:t>
      </w:r>
      <w:r>
        <w:t>have</w:t>
      </w:r>
      <w:r>
        <w:rPr>
          <w:spacing w:val="-12"/>
        </w:rPr>
        <w:t xml:space="preserve"> </w:t>
      </w:r>
      <w:r>
        <w:t>a</w:t>
      </w:r>
      <w:r>
        <w:rPr>
          <w:spacing w:val="-12"/>
        </w:rPr>
        <w:t xml:space="preserve"> </w:t>
      </w:r>
      <w:r>
        <w:t>dispute</w:t>
      </w:r>
      <w:r>
        <w:rPr>
          <w:spacing w:val="-10"/>
        </w:rPr>
        <w:t xml:space="preserve"> </w:t>
      </w:r>
      <w:r>
        <w:t>resolution</w:t>
      </w:r>
      <w:r>
        <w:rPr>
          <w:spacing w:val="-14"/>
        </w:rPr>
        <w:t xml:space="preserve"> </w:t>
      </w:r>
      <w:r>
        <w:t>function</w:t>
      </w:r>
      <w:r>
        <w:rPr>
          <w:spacing w:val="-13"/>
        </w:rPr>
        <w:t xml:space="preserve"> </w:t>
      </w:r>
      <w:r>
        <w:t>for</w:t>
      </w:r>
      <w:r>
        <w:rPr>
          <w:spacing w:val="-11"/>
        </w:rPr>
        <w:t xml:space="preserve"> </w:t>
      </w:r>
      <w:r>
        <w:t>complaints</w:t>
      </w:r>
      <w:r>
        <w:rPr>
          <w:spacing w:val="-14"/>
        </w:rPr>
        <w:t xml:space="preserve"> </w:t>
      </w:r>
      <w:r>
        <w:t>regarding</w:t>
      </w:r>
      <w:r>
        <w:rPr>
          <w:spacing w:val="-11"/>
        </w:rPr>
        <w:t xml:space="preserve"> </w:t>
      </w:r>
      <w:r>
        <w:t>human</w:t>
      </w:r>
      <w:r>
        <w:rPr>
          <w:spacing w:val="-14"/>
        </w:rPr>
        <w:t xml:space="preserve"> </w:t>
      </w:r>
      <w:r>
        <w:t>rights contraventions. Further, once a cause of action is with the Supreme Court, the Court should have a discretion as to whether the dispute resolution is remitted to the Commission or whether it says under the</w:t>
      </w:r>
      <w:r>
        <w:rPr>
          <w:spacing w:val="-6"/>
        </w:rPr>
        <w:t xml:space="preserve"> </w:t>
      </w:r>
      <w:r>
        <w:t>auspices</w:t>
      </w:r>
      <w:r>
        <w:rPr>
          <w:spacing w:val="-8"/>
        </w:rPr>
        <w:t xml:space="preserve"> </w:t>
      </w:r>
      <w:r>
        <w:t>of</w:t>
      </w:r>
      <w:r>
        <w:rPr>
          <w:spacing w:val="-8"/>
        </w:rPr>
        <w:t xml:space="preserve"> </w:t>
      </w:r>
      <w:r>
        <w:t>the</w:t>
      </w:r>
      <w:r>
        <w:rPr>
          <w:spacing w:val="-6"/>
        </w:rPr>
        <w:t xml:space="preserve"> </w:t>
      </w:r>
      <w:r>
        <w:t>Supreme</w:t>
      </w:r>
      <w:r>
        <w:rPr>
          <w:spacing w:val="-8"/>
        </w:rPr>
        <w:t xml:space="preserve"> </w:t>
      </w:r>
      <w:r>
        <w:t>Court.</w:t>
      </w:r>
      <w:r>
        <w:rPr>
          <w:spacing w:val="-6"/>
        </w:rPr>
        <w:t xml:space="preserve"> </w:t>
      </w:r>
      <w:r>
        <w:t>Based</w:t>
      </w:r>
      <w:r>
        <w:rPr>
          <w:spacing w:val="-6"/>
        </w:rPr>
        <w:t xml:space="preserve"> </w:t>
      </w:r>
      <w:r>
        <w:t>on</w:t>
      </w:r>
      <w:r>
        <w:rPr>
          <w:spacing w:val="-6"/>
        </w:rPr>
        <w:t xml:space="preserve"> </w:t>
      </w:r>
      <w:r>
        <w:t>developments</w:t>
      </w:r>
      <w:r>
        <w:rPr>
          <w:spacing w:val="-8"/>
        </w:rPr>
        <w:t xml:space="preserve"> </w:t>
      </w:r>
      <w:r>
        <w:t>in</w:t>
      </w:r>
      <w:r>
        <w:rPr>
          <w:spacing w:val="-9"/>
        </w:rPr>
        <w:t xml:space="preserve"> </w:t>
      </w:r>
      <w:r>
        <w:t>the</w:t>
      </w:r>
      <w:r>
        <w:rPr>
          <w:spacing w:val="-6"/>
        </w:rPr>
        <w:t xml:space="preserve"> </w:t>
      </w:r>
      <w:r>
        <w:t>Review</w:t>
      </w:r>
      <w:r>
        <w:rPr>
          <w:spacing w:val="-7"/>
        </w:rPr>
        <w:t xml:space="preserve"> </w:t>
      </w:r>
      <w:r>
        <w:t>Period,</w:t>
      </w:r>
      <w:r>
        <w:rPr>
          <w:spacing w:val="-6"/>
        </w:rPr>
        <w:t xml:space="preserve"> </w:t>
      </w:r>
      <w:r>
        <w:t>this</w:t>
      </w:r>
      <w:r>
        <w:rPr>
          <w:spacing w:val="-8"/>
        </w:rPr>
        <w:t xml:space="preserve"> </w:t>
      </w:r>
      <w:r>
        <w:t>recommendation builds on Recommendation 23 of the TLRI 2007 Final Report relating to the powers and functions of the Human Rights Commissioner (see Appendix A).</w:t>
      </w:r>
    </w:p>
    <w:p w14:paraId="7CB26317" w14:textId="77777777" w:rsidR="008A4099" w:rsidRDefault="006A6EE2">
      <w:pPr>
        <w:pStyle w:val="BodyText"/>
        <w:spacing w:before="7"/>
        <w:rPr>
          <w:sz w:val="16"/>
        </w:rPr>
      </w:pPr>
      <w:r>
        <w:rPr>
          <w:noProof/>
        </w:rPr>
        <mc:AlternateContent>
          <mc:Choice Requires="wps">
            <w:drawing>
              <wp:anchor distT="0" distB="0" distL="0" distR="0" simplePos="0" relativeHeight="487641088" behindDoc="1" locked="0" layoutInCell="1" allowOverlap="1" wp14:anchorId="7CB266A9" wp14:editId="7CB266AA">
                <wp:simplePos x="0" y="0"/>
                <wp:positionH relativeFrom="page">
                  <wp:posOffset>914704</wp:posOffset>
                </wp:positionH>
                <wp:positionV relativeFrom="paragraph">
                  <wp:posOffset>137058</wp:posOffset>
                </wp:positionV>
                <wp:extent cx="5727065" cy="858519"/>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58519"/>
                        </a:xfrm>
                        <a:prstGeom prst="rect">
                          <a:avLst/>
                        </a:prstGeom>
                        <a:solidFill>
                          <a:srgbClr val="E8E8E8"/>
                        </a:solidFill>
                      </wps:spPr>
                      <wps:txbx>
                        <w:txbxContent>
                          <w:p w14:paraId="7CB267A1" w14:textId="77777777" w:rsidR="008A4099" w:rsidRDefault="006A6EE2">
                            <w:pPr>
                              <w:spacing w:before="220"/>
                              <w:ind w:left="108"/>
                              <w:rPr>
                                <w:b/>
                                <w:color w:val="000000"/>
                                <w:sz w:val="23"/>
                              </w:rPr>
                            </w:pPr>
                            <w:r>
                              <w:rPr>
                                <w:b/>
                                <w:color w:val="000000"/>
                                <w:sz w:val="23"/>
                              </w:rPr>
                              <w:t>Recommendation</w:t>
                            </w:r>
                            <w:r>
                              <w:rPr>
                                <w:b/>
                                <w:color w:val="000000"/>
                                <w:spacing w:val="-4"/>
                                <w:sz w:val="23"/>
                              </w:rPr>
                              <w:t xml:space="preserve"> </w:t>
                            </w:r>
                            <w:r>
                              <w:rPr>
                                <w:b/>
                                <w:color w:val="000000"/>
                                <w:sz w:val="23"/>
                              </w:rPr>
                              <w:t>19</w:t>
                            </w:r>
                            <w:r>
                              <w:rPr>
                                <w:b/>
                                <w:color w:val="000000"/>
                                <w:spacing w:val="-2"/>
                                <w:sz w:val="23"/>
                              </w:rPr>
                              <w:t xml:space="preserve"> </w:t>
                            </w:r>
                            <w:r>
                              <w:rPr>
                                <w:b/>
                                <w:color w:val="000000"/>
                                <w:sz w:val="23"/>
                              </w:rPr>
                              <w:t>–</w:t>
                            </w:r>
                            <w:r>
                              <w:rPr>
                                <w:b/>
                                <w:color w:val="000000"/>
                                <w:spacing w:val="-3"/>
                                <w:sz w:val="23"/>
                              </w:rPr>
                              <w:t xml:space="preserve"> </w:t>
                            </w:r>
                            <w:r>
                              <w:rPr>
                                <w:b/>
                                <w:color w:val="000000"/>
                                <w:sz w:val="23"/>
                              </w:rPr>
                              <w:t>Dispute</w:t>
                            </w:r>
                            <w:r>
                              <w:rPr>
                                <w:b/>
                                <w:color w:val="000000"/>
                                <w:spacing w:val="-2"/>
                                <w:sz w:val="23"/>
                              </w:rPr>
                              <w:t xml:space="preserve"> Resolution</w:t>
                            </w:r>
                          </w:p>
                          <w:p w14:paraId="7CB267A2" w14:textId="77777777" w:rsidR="008A4099" w:rsidRDefault="006A6EE2">
                            <w:pPr>
                              <w:pStyle w:val="BodyText"/>
                              <w:spacing w:before="239" w:line="244" w:lineRule="auto"/>
                              <w:ind w:left="108" w:right="116"/>
                              <w:rPr>
                                <w:color w:val="000000"/>
                              </w:rPr>
                            </w:pPr>
                            <w:r>
                              <w:rPr>
                                <w:color w:val="000000"/>
                              </w:rPr>
                              <w:t>That</w:t>
                            </w:r>
                            <w:r>
                              <w:rPr>
                                <w:color w:val="000000"/>
                                <w:spacing w:val="-14"/>
                              </w:rPr>
                              <w:t xml:space="preserve"> </w:t>
                            </w:r>
                            <w:r>
                              <w:rPr>
                                <w:color w:val="000000"/>
                              </w:rPr>
                              <w:t>the</w:t>
                            </w:r>
                            <w:r>
                              <w:rPr>
                                <w:color w:val="000000"/>
                                <w:spacing w:val="-13"/>
                              </w:rPr>
                              <w:t xml:space="preserve"> </w:t>
                            </w:r>
                            <w:r>
                              <w:rPr>
                                <w:color w:val="000000"/>
                              </w:rPr>
                              <w:t>Tasmanian</w:t>
                            </w:r>
                            <w:r>
                              <w:rPr>
                                <w:color w:val="000000"/>
                                <w:spacing w:val="-13"/>
                              </w:rPr>
                              <w:t xml:space="preserve"> </w:t>
                            </w:r>
                            <w:r>
                              <w:rPr>
                                <w:color w:val="000000"/>
                              </w:rPr>
                              <w:t>human</w:t>
                            </w:r>
                            <w:r>
                              <w:rPr>
                                <w:color w:val="000000"/>
                                <w:spacing w:val="-14"/>
                              </w:rPr>
                              <w:t xml:space="preserve"> </w:t>
                            </w:r>
                            <w:r>
                              <w:rPr>
                                <w:color w:val="000000"/>
                              </w:rPr>
                              <w:t>rights</w:t>
                            </w:r>
                            <w:r>
                              <w:rPr>
                                <w:color w:val="000000"/>
                                <w:spacing w:val="-11"/>
                              </w:rPr>
                              <w:t xml:space="preserve"> </w:t>
                            </w:r>
                            <w:r>
                              <w:rPr>
                                <w:color w:val="000000"/>
                              </w:rPr>
                              <w:t>enactment</w:t>
                            </w:r>
                            <w:r>
                              <w:rPr>
                                <w:color w:val="000000"/>
                                <w:spacing w:val="-14"/>
                              </w:rPr>
                              <w:t xml:space="preserve"> </w:t>
                            </w:r>
                            <w:r>
                              <w:rPr>
                                <w:color w:val="000000"/>
                              </w:rPr>
                              <w:t>provide</w:t>
                            </w:r>
                            <w:r>
                              <w:rPr>
                                <w:color w:val="000000"/>
                                <w:spacing w:val="-14"/>
                              </w:rPr>
                              <w:t xml:space="preserve"> </w:t>
                            </w:r>
                            <w:r>
                              <w:rPr>
                                <w:color w:val="000000"/>
                              </w:rPr>
                              <w:t>for</w:t>
                            </w:r>
                            <w:r>
                              <w:rPr>
                                <w:color w:val="000000"/>
                                <w:spacing w:val="-11"/>
                              </w:rPr>
                              <w:t xml:space="preserve"> </w:t>
                            </w:r>
                            <w:r>
                              <w:rPr>
                                <w:color w:val="000000"/>
                              </w:rPr>
                              <w:t>the</w:t>
                            </w:r>
                            <w:r>
                              <w:rPr>
                                <w:color w:val="000000"/>
                                <w:spacing w:val="-13"/>
                              </w:rPr>
                              <w:t xml:space="preserve"> </w:t>
                            </w:r>
                            <w:r>
                              <w:rPr>
                                <w:color w:val="000000"/>
                              </w:rPr>
                              <w:t>Tasmanian</w:t>
                            </w:r>
                            <w:r>
                              <w:rPr>
                                <w:color w:val="000000"/>
                                <w:spacing w:val="-13"/>
                              </w:rPr>
                              <w:t xml:space="preserve"> </w:t>
                            </w:r>
                            <w:r>
                              <w:rPr>
                                <w:color w:val="000000"/>
                              </w:rPr>
                              <w:t>Human</w:t>
                            </w:r>
                            <w:r>
                              <w:rPr>
                                <w:color w:val="000000"/>
                                <w:spacing w:val="-13"/>
                              </w:rPr>
                              <w:t xml:space="preserve"> </w:t>
                            </w:r>
                            <w:r>
                              <w:rPr>
                                <w:color w:val="000000"/>
                              </w:rPr>
                              <w:t>Rights</w:t>
                            </w:r>
                            <w:r>
                              <w:rPr>
                                <w:color w:val="000000"/>
                                <w:spacing w:val="-12"/>
                              </w:rPr>
                              <w:t xml:space="preserve"> </w:t>
                            </w:r>
                            <w:r>
                              <w:rPr>
                                <w:color w:val="000000"/>
                              </w:rPr>
                              <w:t>Commission to have a dispute resolution function for complaints regarding human rights contraventions.</w:t>
                            </w:r>
                          </w:p>
                        </w:txbxContent>
                      </wps:txbx>
                      <wps:bodyPr wrap="square" lIns="0" tIns="0" rIns="0" bIns="0" rtlCol="0">
                        <a:noAutofit/>
                      </wps:bodyPr>
                    </wps:wsp>
                  </a:graphicData>
                </a:graphic>
              </wp:anchor>
            </w:drawing>
          </mc:Choice>
          <mc:Fallback>
            <w:pict>
              <v:shape w14:anchorId="7CB266A9" id="Textbox 152" o:spid="_x0000_s1045" type="#_x0000_t202" style="position:absolute;margin-left:1in;margin-top:10.8pt;width:450.95pt;height:67.6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" fillcolor="#e8e8e8" stroked="f">
                <v:textbox inset="0,0,0,0">
                  <w:txbxContent>
                    <w:p w14:paraId="7CB267A1" w14:textId="77777777" w:rsidR="008A4099" w:rsidRDefault="006A6EE2">
                      <w:pPr>
                        <w:spacing w:before="220"/>
                        <w:ind w:left="108"/>
                        <w:rPr>
                          <w:b/>
                          <w:color w:val="000000"/>
                          <w:sz w:val="23"/>
                        </w:rPr>
                      </w:pPr>
                      <w:r>
                        <w:rPr>
                          <w:b/>
                          <w:color w:val="000000"/>
                          <w:sz w:val="23"/>
                        </w:rPr>
                        <w:t>Recommendation</w:t>
                      </w:r>
                      <w:r>
                        <w:rPr>
                          <w:b/>
                          <w:color w:val="000000"/>
                          <w:spacing w:val="-4"/>
                          <w:sz w:val="23"/>
                        </w:rPr>
                        <w:t xml:space="preserve"> </w:t>
                      </w:r>
                      <w:r>
                        <w:rPr>
                          <w:b/>
                          <w:color w:val="000000"/>
                          <w:sz w:val="23"/>
                        </w:rPr>
                        <w:t>19</w:t>
                      </w:r>
                      <w:r>
                        <w:rPr>
                          <w:b/>
                          <w:color w:val="000000"/>
                          <w:spacing w:val="-2"/>
                          <w:sz w:val="23"/>
                        </w:rPr>
                        <w:t xml:space="preserve"> </w:t>
                      </w:r>
                      <w:r>
                        <w:rPr>
                          <w:b/>
                          <w:color w:val="000000"/>
                          <w:sz w:val="23"/>
                        </w:rPr>
                        <w:t>–</w:t>
                      </w:r>
                      <w:r>
                        <w:rPr>
                          <w:b/>
                          <w:color w:val="000000"/>
                          <w:spacing w:val="-3"/>
                          <w:sz w:val="23"/>
                        </w:rPr>
                        <w:t xml:space="preserve"> </w:t>
                      </w:r>
                      <w:r>
                        <w:rPr>
                          <w:b/>
                          <w:color w:val="000000"/>
                          <w:sz w:val="23"/>
                        </w:rPr>
                        <w:t>Dispute</w:t>
                      </w:r>
                      <w:r>
                        <w:rPr>
                          <w:b/>
                          <w:color w:val="000000"/>
                          <w:spacing w:val="-2"/>
                          <w:sz w:val="23"/>
                        </w:rPr>
                        <w:t xml:space="preserve"> Resolution</w:t>
                      </w:r>
                    </w:p>
                    <w:p w14:paraId="7CB267A2" w14:textId="77777777" w:rsidR="008A4099" w:rsidRDefault="006A6EE2">
                      <w:pPr>
                        <w:pStyle w:val="BodyText"/>
                        <w:spacing w:before="239" w:line="244" w:lineRule="auto"/>
                        <w:ind w:left="108" w:right="116"/>
                        <w:rPr>
                          <w:color w:val="000000"/>
                        </w:rPr>
                      </w:pPr>
                      <w:r>
                        <w:rPr>
                          <w:color w:val="000000"/>
                        </w:rPr>
                        <w:t>That</w:t>
                      </w:r>
                      <w:r>
                        <w:rPr>
                          <w:color w:val="000000"/>
                          <w:spacing w:val="-14"/>
                        </w:rPr>
                        <w:t xml:space="preserve"> </w:t>
                      </w:r>
                      <w:r>
                        <w:rPr>
                          <w:color w:val="000000"/>
                        </w:rPr>
                        <w:t>the</w:t>
                      </w:r>
                      <w:r>
                        <w:rPr>
                          <w:color w:val="000000"/>
                          <w:spacing w:val="-13"/>
                        </w:rPr>
                        <w:t xml:space="preserve"> </w:t>
                      </w:r>
                      <w:r>
                        <w:rPr>
                          <w:color w:val="000000"/>
                        </w:rPr>
                        <w:t>Tasmanian</w:t>
                      </w:r>
                      <w:r>
                        <w:rPr>
                          <w:color w:val="000000"/>
                          <w:spacing w:val="-13"/>
                        </w:rPr>
                        <w:t xml:space="preserve"> </w:t>
                      </w:r>
                      <w:r>
                        <w:rPr>
                          <w:color w:val="000000"/>
                        </w:rPr>
                        <w:t>human</w:t>
                      </w:r>
                      <w:r>
                        <w:rPr>
                          <w:color w:val="000000"/>
                          <w:spacing w:val="-14"/>
                        </w:rPr>
                        <w:t xml:space="preserve"> </w:t>
                      </w:r>
                      <w:r>
                        <w:rPr>
                          <w:color w:val="000000"/>
                        </w:rPr>
                        <w:t>rights</w:t>
                      </w:r>
                      <w:r>
                        <w:rPr>
                          <w:color w:val="000000"/>
                          <w:spacing w:val="-11"/>
                        </w:rPr>
                        <w:t xml:space="preserve"> </w:t>
                      </w:r>
                      <w:r>
                        <w:rPr>
                          <w:color w:val="000000"/>
                        </w:rPr>
                        <w:t>enactment</w:t>
                      </w:r>
                      <w:r>
                        <w:rPr>
                          <w:color w:val="000000"/>
                          <w:spacing w:val="-14"/>
                        </w:rPr>
                        <w:t xml:space="preserve"> </w:t>
                      </w:r>
                      <w:r>
                        <w:rPr>
                          <w:color w:val="000000"/>
                        </w:rPr>
                        <w:t>provide</w:t>
                      </w:r>
                      <w:r>
                        <w:rPr>
                          <w:color w:val="000000"/>
                          <w:spacing w:val="-14"/>
                        </w:rPr>
                        <w:t xml:space="preserve"> </w:t>
                      </w:r>
                      <w:r>
                        <w:rPr>
                          <w:color w:val="000000"/>
                        </w:rPr>
                        <w:t>for</w:t>
                      </w:r>
                      <w:r>
                        <w:rPr>
                          <w:color w:val="000000"/>
                          <w:spacing w:val="-11"/>
                        </w:rPr>
                        <w:t xml:space="preserve"> </w:t>
                      </w:r>
                      <w:r>
                        <w:rPr>
                          <w:color w:val="000000"/>
                        </w:rPr>
                        <w:t>the</w:t>
                      </w:r>
                      <w:r>
                        <w:rPr>
                          <w:color w:val="000000"/>
                          <w:spacing w:val="-13"/>
                        </w:rPr>
                        <w:t xml:space="preserve"> </w:t>
                      </w:r>
                      <w:r>
                        <w:rPr>
                          <w:color w:val="000000"/>
                        </w:rPr>
                        <w:t>Tasmanian</w:t>
                      </w:r>
                      <w:r>
                        <w:rPr>
                          <w:color w:val="000000"/>
                          <w:spacing w:val="-13"/>
                        </w:rPr>
                        <w:t xml:space="preserve"> </w:t>
                      </w:r>
                      <w:r>
                        <w:rPr>
                          <w:color w:val="000000"/>
                        </w:rPr>
                        <w:t>Human</w:t>
                      </w:r>
                      <w:r>
                        <w:rPr>
                          <w:color w:val="000000"/>
                          <w:spacing w:val="-13"/>
                        </w:rPr>
                        <w:t xml:space="preserve"> </w:t>
                      </w:r>
                      <w:r>
                        <w:rPr>
                          <w:color w:val="000000"/>
                        </w:rPr>
                        <w:t>Rights</w:t>
                      </w:r>
                      <w:r>
                        <w:rPr>
                          <w:color w:val="000000"/>
                          <w:spacing w:val="-12"/>
                        </w:rPr>
                        <w:t xml:space="preserve"> </w:t>
                      </w:r>
                      <w:r>
                        <w:rPr>
                          <w:color w:val="000000"/>
                        </w:rPr>
                        <w:t>Commission to have a dispute resolution function for complaints regarding human rights contraventions.</w:t>
                      </w:r>
                    </w:p>
                  </w:txbxContent>
                </v:textbox>
                <w10:wrap type="topAndBottom" anchorx="page"/>
              </v:shape>
            </w:pict>
          </mc:Fallback>
        </mc:AlternateContent>
      </w:r>
    </w:p>
    <w:p w14:paraId="7CB26318" w14:textId="77777777" w:rsidR="008A4099" w:rsidRDefault="006A6EE2">
      <w:pPr>
        <w:pStyle w:val="Heading4"/>
      </w:pPr>
      <w:bookmarkStart w:id="58" w:name="_TOC_250002"/>
      <w:r>
        <w:t>Amalgamation</w:t>
      </w:r>
      <w:r>
        <w:rPr>
          <w:spacing w:val="-5"/>
        </w:rPr>
        <w:t xml:space="preserve"> </w:t>
      </w:r>
      <w:r>
        <w:t>with</w:t>
      </w:r>
      <w:r>
        <w:rPr>
          <w:spacing w:val="-4"/>
        </w:rPr>
        <w:t xml:space="preserve"> </w:t>
      </w:r>
      <w:r>
        <w:t>Equal</w:t>
      </w:r>
      <w:r>
        <w:rPr>
          <w:spacing w:val="-1"/>
        </w:rPr>
        <w:t xml:space="preserve"> </w:t>
      </w:r>
      <w:r>
        <w:t>Opportunity</w:t>
      </w:r>
      <w:r>
        <w:rPr>
          <w:spacing w:val="-5"/>
        </w:rPr>
        <w:t xml:space="preserve"> </w:t>
      </w:r>
      <w:bookmarkEnd w:id="58"/>
      <w:r>
        <w:rPr>
          <w:spacing w:val="-2"/>
        </w:rPr>
        <w:t>Tasmania</w:t>
      </w:r>
    </w:p>
    <w:p w14:paraId="7CB26319" w14:textId="77777777" w:rsidR="008A4099" w:rsidRDefault="008A4099">
      <w:pPr>
        <w:pStyle w:val="BodyText"/>
        <w:spacing w:before="15"/>
        <w:rPr>
          <w:b/>
          <w:i/>
          <w:sz w:val="23"/>
        </w:rPr>
      </w:pPr>
    </w:p>
    <w:p w14:paraId="7CB2631A" w14:textId="77777777" w:rsidR="008A4099" w:rsidRDefault="006A6EE2">
      <w:pPr>
        <w:pStyle w:val="Heading3"/>
      </w:pPr>
      <w:r>
        <w:t>TLRI</w:t>
      </w:r>
      <w:r>
        <w:rPr>
          <w:spacing w:val="-4"/>
        </w:rPr>
        <w:t xml:space="preserve"> </w:t>
      </w:r>
      <w:r>
        <w:t>2007</w:t>
      </w:r>
      <w:r>
        <w:rPr>
          <w:spacing w:val="-2"/>
        </w:rPr>
        <w:t xml:space="preserve"> </w:t>
      </w:r>
      <w:r>
        <w:t>Final</w:t>
      </w:r>
      <w:r>
        <w:rPr>
          <w:spacing w:val="-1"/>
        </w:rPr>
        <w:t xml:space="preserve"> </w:t>
      </w:r>
      <w:r>
        <w:t>Report</w:t>
      </w:r>
      <w:r>
        <w:rPr>
          <w:spacing w:val="-5"/>
        </w:rPr>
        <w:t xml:space="preserve"> </w:t>
      </w:r>
      <w:r>
        <w:t>and</w:t>
      </w:r>
      <w:r>
        <w:rPr>
          <w:spacing w:val="-3"/>
        </w:rPr>
        <w:t xml:space="preserve"> </w:t>
      </w:r>
      <w:r>
        <w:t>subsequent</w:t>
      </w:r>
      <w:r>
        <w:rPr>
          <w:spacing w:val="-2"/>
        </w:rPr>
        <w:t xml:space="preserve"> developments</w:t>
      </w:r>
    </w:p>
    <w:p w14:paraId="7CB2631B" w14:textId="77777777" w:rsidR="008A4099" w:rsidRDefault="006A6EE2">
      <w:pPr>
        <w:pStyle w:val="ListParagraph"/>
        <w:numPr>
          <w:ilvl w:val="2"/>
          <w:numId w:val="3"/>
        </w:numPr>
        <w:tabs>
          <w:tab w:val="left" w:pos="880"/>
        </w:tabs>
        <w:spacing w:before="259"/>
        <w:ind w:right="679" w:firstLine="0"/>
        <w:jc w:val="both"/>
        <w:rPr>
          <w:sz w:val="13"/>
        </w:rPr>
      </w:pPr>
      <w:r>
        <w:t xml:space="preserve">In its 2007 Final Report, the TLRI cautioned against amalgamating </w:t>
      </w:r>
      <w:r>
        <w:rPr>
          <w:i/>
        </w:rPr>
        <w:t xml:space="preserve">the role </w:t>
      </w:r>
      <w:r>
        <w:t>of Anti- Discrimination Commissioner and Human Rights Commissioner on the grounds that each of the Commissioners had ‘fundamentally different yet necessary roles to play in relation to rights protection’.</w:t>
      </w:r>
      <w:r>
        <w:rPr>
          <w:position w:val="7"/>
          <w:sz w:val="13"/>
        </w:rPr>
        <w:t>523</w:t>
      </w:r>
      <w:r>
        <w:rPr>
          <w:spacing w:val="40"/>
          <w:position w:val="7"/>
          <w:sz w:val="13"/>
        </w:rPr>
        <w:t xml:space="preserve"> </w:t>
      </w:r>
      <w:r>
        <w:t xml:space="preserve">Though recommending a separate office of Human Rights Commissioner, the TLRI expressed support for the office of the Anti-Discrimination Commission (now Equal Opportunity Tasmania) and the office of the Human Rights Commission being ‘carried under a single umbrella </w:t>
      </w:r>
      <w:r>
        <w:rPr>
          <w:spacing w:val="-2"/>
        </w:rPr>
        <w:t>organisation’.</w:t>
      </w:r>
      <w:r>
        <w:rPr>
          <w:spacing w:val="-2"/>
          <w:position w:val="7"/>
          <w:sz w:val="13"/>
        </w:rPr>
        <w:t>524</w:t>
      </w:r>
    </w:p>
    <w:p w14:paraId="7CB2631C" w14:textId="77777777" w:rsidR="008A4099" w:rsidRDefault="006A6EE2">
      <w:pPr>
        <w:pStyle w:val="Heading3"/>
        <w:spacing w:before="232"/>
      </w:pPr>
      <w:r>
        <w:t>TLRI’s</w:t>
      </w:r>
      <w:r>
        <w:rPr>
          <w:spacing w:val="-2"/>
        </w:rPr>
        <w:t xml:space="preserve"> </w:t>
      </w:r>
      <w:r>
        <w:t>current</w:t>
      </w:r>
      <w:r>
        <w:rPr>
          <w:spacing w:val="-1"/>
        </w:rPr>
        <w:t xml:space="preserve"> </w:t>
      </w:r>
      <w:r>
        <w:t>views and</w:t>
      </w:r>
      <w:r>
        <w:rPr>
          <w:spacing w:val="-1"/>
        </w:rPr>
        <w:t xml:space="preserve"> </w:t>
      </w:r>
      <w:r>
        <w:rPr>
          <w:spacing w:val="-2"/>
        </w:rPr>
        <w:t>recommendations</w:t>
      </w:r>
    </w:p>
    <w:p w14:paraId="7CB2631D" w14:textId="77777777" w:rsidR="008A4099" w:rsidRDefault="006A6EE2">
      <w:pPr>
        <w:pStyle w:val="ListParagraph"/>
        <w:numPr>
          <w:ilvl w:val="2"/>
          <w:numId w:val="3"/>
        </w:numPr>
        <w:tabs>
          <w:tab w:val="left" w:pos="880"/>
        </w:tabs>
        <w:spacing w:before="263" w:line="237" w:lineRule="auto"/>
        <w:ind w:right="677" w:firstLine="0"/>
        <w:jc w:val="both"/>
      </w:pPr>
      <w:r>
        <w:t>The TLRI’s view remains that the role of the Anti-Discrimination Commissioner and the Human</w:t>
      </w:r>
      <w:r>
        <w:rPr>
          <w:spacing w:val="-5"/>
        </w:rPr>
        <w:t xml:space="preserve"> </w:t>
      </w:r>
      <w:r>
        <w:t>Rights</w:t>
      </w:r>
      <w:r>
        <w:rPr>
          <w:spacing w:val="-5"/>
        </w:rPr>
        <w:t xml:space="preserve"> </w:t>
      </w:r>
      <w:r>
        <w:t>Commissioner</w:t>
      </w:r>
      <w:r>
        <w:rPr>
          <w:spacing w:val="-5"/>
        </w:rPr>
        <w:t xml:space="preserve"> </w:t>
      </w:r>
      <w:r>
        <w:t>should</w:t>
      </w:r>
      <w:r>
        <w:rPr>
          <w:spacing w:val="-6"/>
        </w:rPr>
        <w:t xml:space="preserve"> </w:t>
      </w:r>
      <w:r>
        <w:t>not</w:t>
      </w:r>
      <w:r>
        <w:rPr>
          <w:spacing w:val="-5"/>
        </w:rPr>
        <w:t xml:space="preserve"> </w:t>
      </w:r>
      <w:r>
        <w:t>be</w:t>
      </w:r>
      <w:r>
        <w:rPr>
          <w:spacing w:val="-5"/>
        </w:rPr>
        <w:t xml:space="preserve"> </w:t>
      </w:r>
      <w:r>
        <w:t>amalgamated.</w:t>
      </w:r>
      <w:r>
        <w:rPr>
          <w:spacing w:val="-5"/>
        </w:rPr>
        <w:t xml:space="preserve"> </w:t>
      </w:r>
      <w:r>
        <w:t>A</w:t>
      </w:r>
      <w:r>
        <w:rPr>
          <w:spacing w:val="-7"/>
        </w:rPr>
        <w:t xml:space="preserve"> </w:t>
      </w:r>
      <w:r>
        <w:t>Tasmanian</w:t>
      </w:r>
      <w:r>
        <w:rPr>
          <w:spacing w:val="-6"/>
        </w:rPr>
        <w:t xml:space="preserve"> </w:t>
      </w:r>
      <w:r>
        <w:t>Human</w:t>
      </w:r>
      <w:r>
        <w:rPr>
          <w:spacing w:val="-6"/>
        </w:rPr>
        <w:t xml:space="preserve"> </w:t>
      </w:r>
      <w:r>
        <w:t>Rights</w:t>
      </w:r>
      <w:r>
        <w:rPr>
          <w:spacing w:val="-5"/>
        </w:rPr>
        <w:t xml:space="preserve"> </w:t>
      </w:r>
      <w:r>
        <w:t>Commissioner should</w:t>
      </w:r>
      <w:r>
        <w:rPr>
          <w:spacing w:val="-6"/>
        </w:rPr>
        <w:t xml:space="preserve"> </w:t>
      </w:r>
      <w:r>
        <w:t>be</w:t>
      </w:r>
      <w:r>
        <w:rPr>
          <w:spacing w:val="-5"/>
        </w:rPr>
        <w:t xml:space="preserve"> </w:t>
      </w:r>
      <w:r>
        <w:t>appointed</w:t>
      </w:r>
      <w:r>
        <w:rPr>
          <w:spacing w:val="-6"/>
        </w:rPr>
        <w:t xml:space="preserve"> </w:t>
      </w:r>
      <w:r>
        <w:t>independently</w:t>
      </w:r>
      <w:r>
        <w:rPr>
          <w:spacing w:val="-6"/>
        </w:rPr>
        <w:t xml:space="preserve"> </w:t>
      </w:r>
      <w:r>
        <w:t>of</w:t>
      </w:r>
      <w:r>
        <w:rPr>
          <w:spacing w:val="-5"/>
        </w:rPr>
        <w:t xml:space="preserve"> </w:t>
      </w:r>
      <w:r>
        <w:t>the</w:t>
      </w:r>
      <w:r>
        <w:rPr>
          <w:spacing w:val="-5"/>
        </w:rPr>
        <w:t xml:space="preserve"> </w:t>
      </w:r>
      <w:r>
        <w:t>Anti-Discrimination</w:t>
      </w:r>
      <w:r>
        <w:rPr>
          <w:spacing w:val="-6"/>
        </w:rPr>
        <w:t xml:space="preserve"> </w:t>
      </w:r>
      <w:r>
        <w:t>Commissioner.</w:t>
      </w:r>
      <w:r>
        <w:rPr>
          <w:spacing w:val="-6"/>
        </w:rPr>
        <w:t xml:space="preserve"> </w:t>
      </w:r>
      <w:r>
        <w:t>This</w:t>
      </w:r>
      <w:r>
        <w:rPr>
          <w:spacing w:val="-5"/>
        </w:rPr>
        <w:t xml:space="preserve"> </w:t>
      </w:r>
      <w:r>
        <w:t>recommendation</w:t>
      </w:r>
      <w:r>
        <w:rPr>
          <w:spacing w:val="-8"/>
        </w:rPr>
        <w:t xml:space="preserve"> </w:t>
      </w:r>
      <w:r>
        <w:t>is consistent with Recommendation 23 of the TLRI 2007 Final Report (see Appendix A).</w:t>
      </w:r>
    </w:p>
    <w:p w14:paraId="7CB2631E" w14:textId="77777777" w:rsidR="008A4099" w:rsidRDefault="006A6EE2">
      <w:pPr>
        <w:pStyle w:val="ListParagraph"/>
        <w:numPr>
          <w:ilvl w:val="2"/>
          <w:numId w:val="3"/>
        </w:numPr>
        <w:tabs>
          <w:tab w:val="left" w:pos="880"/>
        </w:tabs>
        <w:spacing w:before="223" w:line="237" w:lineRule="auto"/>
        <w:ind w:right="683" w:firstLine="0"/>
        <w:jc w:val="both"/>
      </w:pPr>
      <w:r>
        <w:t>Given the considerable overlap in jurisdictions, there are advantages in bringing both offices under one umbrella. Accordingly, the TLRI supports the proposal to bring the offices of a Tasmanian Human Rights Commission and Equal Opportunity Tasmania under one umbrella.</w:t>
      </w:r>
    </w:p>
    <w:p w14:paraId="7CB2631F" w14:textId="77777777" w:rsidR="008A4099" w:rsidRDefault="006A6EE2">
      <w:pPr>
        <w:pStyle w:val="BodyText"/>
        <w:spacing w:before="10"/>
        <w:rPr>
          <w:sz w:val="17"/>
        </w:rPr>
      </w:pPr>
      <w:r>
        <w:rPr>
          <w:noProof/>
        </w:rPr>
        <mc:AlternateContent>
          <mc:Choice Requires="wps">
            <w:drawing>
              <wp:anchor distT="0" distB="0" distL="0" distR="0" simplePos="0" relativeHeight="487641600" behindDoc="1" locked="0" layoutInCell="1" allowOverlap="1" wp14:anchorId="7CB266AB" wp14:editId="7CB266AC">
                <wp:simplePos x="0" y="0"/>
                <wp:positionH relativeFrom="page">
                  <wp:posOffset>914704</wp:posOffset>
                </wp:positionH>
                <wp:positionV relativeFrom="paragraph">
                  <wp:posOffset>146027</wp:posOffset>
                </wp:positionV>
                <wp:extent cx="5727065" cy="858519"/>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58519"/>
                        </a:xfrm>
                        <a:prstGeom prst="rect">
                          <a:avLst/>
                        </a:prstGeom>
                        <a:solidFill>
                          <a:srgbClr val="E8E8E8"/>
                        </a:solidFill>
                      </wps:spPr>
                      <wps:txbx>
                        <w:txbxContent>
                          <w:p w14:paraId="7CB267A3" w14:textId="77777777" w:rsidR="008A4099" w:rsidRDefault="006A6EE2">
                            <w:pPr>
                              <w:spacing w:before="219"/>
                              <w:ind w:left="108"/>
                              <w:rPr>
                                <w:b/>
                                <w:color w:val="000000"/>
                                <w:sz w:val="23"/>
                              </w:rPr>
                            </w:pPr>
                            <w:r>
                              <w:rPr>
                                <w:b/>
                                <w:color w:val="000000"/>
                                <w:sz w:val="23"/>
                              </w:rPr>
                              <w:t>Recommendation</w:t>
                            </w:r>
                            <w:r>
                              <w:rPr>
                                <w:b/>
                                <w:color w:val="000000"/>
                                <w:spacing w:val="-5"/>
                                <w:sz w:val="23"/>
                              </w:rPr>
                              <w:t xml:space="preserve"> </w:t>
                            </w:r>
                            <w:r>
                              <w:rPr>
                                <w:b/>
                                <w:color w:val="000000"/>
                                <w:sz w:val="23"/>
                              </w:rPr>
                              <w:t>20</w:t>
                            </w:r>
                            <w:r>
                              <w:rPr>
                                <w:b/>
                                <w:color w:val="000000"/>
                                <w:spacing w:val="-3"/>
                                <w:sz w:val="23"/>
                              </w:rPr>
                              <w:t xml:space="preserve"> </w:t>
                            </w:r>
                            <w:r>
                              <w:rPr>
                                <w:b/>
                                <w:color w:val="000000"/>
                                <w:sz w:val="23"/>
                              </w:rPr>
                              <w:t>–</w:t>
                            </w:r>
                            <w:r>
                              <w:rPr>
                                <w:b/>
                                <w:color w:val="000000"/>
                                <w:spacing w:val="-3"/>
                                <w:sz w:val="23"/>
                              </w:rPr>
                              <w:t xml:space="preserve"> </w:t>
                            </w:r>
                            <w:r>
                              <w:rPr>
                                <w:b/>
                                <w:color w:val="000000"/>
                                <w:sz w:val="23"/>
                              </w:rPr>
                              <w:t>Independent</w:t>
                            </w:r>
                            <w:r>
                              <w:rPr>
                                <w:b/>
                                <w:color w:val="000000"/>
                                <w:spacing w:val="-3"/>
                                <w:sz w:val="23"/>
                              </w:rPr>
                              <w:t xml:space="preserve"> </w:t>
                            </w:r>
                            <w:r>
                              <w:rPr>
                                <w:b/>
                                <w:color w:val="000000"/>
                                <w:spacing w:val="-2"/>
                                <w:sz w:val="23"/>
                              </w:rPr>
                              <w:t>Office</w:t>
                            </w:r>
                          </w:p>
                          <w:p w14:paraId="7CB267A4" w14:textId="77777777" w:rsidR="008A4099" w:rsidRDefault="006A6EE2">
                            <w:pPr>
                              <w:pStyle w:val="BodyText"/>
                              <w:spacing w:before="240"/>
                              <w:ind w:left="108"/>
                              <w:rPr>
                                <w:color w:val="000000"/>
                              </w:rPr>
                            </w:pPr>
                            <w:r>
                              <w:rPr>
                                <w:color w:val="000000"/>
                              </w:rPr>
                              <w:t>That</w:t>
                            </w:r>
                            <w:r>
                              <w:rPr>
                                <w:color w:val="000000"/>
                                <w:spacing w:val="77"/>
                              </w:rPr>
                              <w:t xml:space="preserve"> </w:t>
                            </w:r>
                            <w:r>
                              <w:rPr>
                                <w:color w:val="000000"/>
                              </w:rPr>
                              <w:t>a</w:t>
                            </w:r>
                            <w:r>
                              <w:rPr>
                                <w:color w:val="000000"/>
                                <w:spacing w:val="77"/>
                              </w:rPr>
                              <w:t xml:space="preserve"> </w:t>
                            </w:r>
                            <w:r>
                              <w:rPr>
                                <w:color w:val="000000"/>
                              </w:rPr>
                              <w:t>Tasmanian</w:t>
                            </w:r>
                            <w:r>
                              <w:rPr>
                                <w:color w:val="000000"/>
                                <w:spacing w:val="77"/>
                              </w:rPr>
                              <w:t xml:space="preserve"> </w:t>
                            </w:r>
                            <w:r>
                              <w:rPr>
                                <w:color w:val="000000"/>
                              </w:rPr>
                              <w:t>Human</w:t>
                            </w:r>
                            <w:r>
                              <w:rPr>
                                <w:color w:val="000000"/>
                                <w:spacing w:val="77"/>
                              </w:rPr>
                              <w:t xml:space="preserve"> </w:t>
                            </w:r>
                            <w:r>
                              <w:rPr>
                                <w:color w:val="000000"/>
                              </w:rPr>
                              <w:t>Rights</w:t>
                            </w:r>
                            <w:r>
                              <w:rPr>
                                <w:color w:val="000000"/>
                                <w:spacing w:val="77"/>
                              </w:rPr>
                              <w:t xml:space="preserve"> </w:t>
                            </w:r>
                            <w:r>
                              <w:rPr>
                                <w:color w:val="000000"/>
                              </w:rPr>
                              <w:t>Commissioner</w:t>
                            </w:r>
                            <w:r>
                              <w:rPr>
                                <w:color w:val="000000"/>
                                <w:spacing w:val="75"/>
                              </w:rPr>
                              <w:t xml:space="preserve"> </w:t>
                            </w:r>
                            <w:r>
                              <w:rPr>
                                <w:color w:val="000000"/>
                              </w:rPr>
                              <w:t>be</w:t>
                            </w:r>
                            <w:r>
                              <w:rPr>
                                <w:color w:val="000000"/>
                                <w:spacing w:val="77"/>
                              </w:rPr>
                              <w:t xml:space="preserve"> </w:t>
                            </w:r>
                            <w:r>
                              <w:rPr>
                                <w:color w:val="000000"/>
                              </w:rPr>
                              <w:t>appointed</w:t>
                            </w:r>
                            <w:r>
                              <w:rPr>
                                <w:color w:val="000000"/>
                                <w:spacing w:val="75"/>
                              </w:rPr>
                              <w:t xml:space="preserve"> </w:t>
                            </w:r>
                            <w:r>
                              <w:rPr>
                                <w:color w:val="000000"/>
                              </w:rPr>
                              <w:t>independently</w:t>
                            </w:r>
                            <w:r>
                              <w:rPr>
                                <w:color w:val="000000"/>
                                <w:spacing w:val="77"/>
                              </w:rPr>
                              <w:t xml:space="preserve"> </w:t>
                            </w:r>
                            <w:r>
                              <w:rPr>
                                <w:color w:val="000000"/>
                              </w:rPr>
                              <w:t>of</w:t>
                            </w:r>
                            <w:r>
                              <w:rPr>
                                <w:color w:val="000000"/>
                                <w:spacing w:val="75"/>
                              </w:rPr>
                              <w:t xml:space="preserve"> </w:t>
                            </w:r>
                            <w:r>
                              <w:rPr>
                                <w:color w:val="000000"/>
                              </w:rPr>
                              <w:t>the</w:t>
                            </w:r>
                            <w:r>
                              <w:rPr>
                                <w:color w:val="000000"/>
                                <w:spacing w:val="75"/>
                              </w:rPr>
                              <w:t xml:space="preserve"> </w:t>
                            </w:r>
                            <w:r>
                              <w:rPr>
                                <w:color w:val="000000"/>
                              </w:rPr>
                              <w:t>Anti- Discrimination Commissioner.</w:t>
                            </w:r>
                          </w:p>
                        </w:txbxContent>
                      </wps:txbx>
                      <wps:bodyPr wrap="square" lIns="0" tIns="0" rIns="0" bIns="0" rtlCol="0">
                        <a:noAutofit/>
                      </wps:bodyPr>
                    </wps:wsp>
                  </a:graphicData>
                </a:graphic>
              </wp:anchor>
            </w:drawing>
          </mc:Choice>
          <mc:Fallback>
            <w:pict>
              <v:shape w14:anchorId="7CB266AB" id="Textbox 153" o:spid="_x0000_s1046" type="#_x0000_t202" style="position:absolute;margin-left:1in;margin-top:11.5pt;width:450.95pt;height:67.6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" fillcolor="#e8e8e8" stroked="f">
                <v:textbox inset="0,0,0,0">
                  <w:txbxContent>
                    <w:p w14:paraId="7CB267A3" w14:textId="77777777" w:rsidR="008A4099" w:rsidRDefault="006A6EE2">
                      <w:pPr>
                        <w:spacing w:before="219"/>
                        <w:ind w:left="108"/>
                        <w:rPr>
                          <w:b/>
                          <w:color w:val="000000"/>
                          <w:sz w:val="23"/>
                        </w:rPr>
                      </w:pPr>
                      <w:r>
                        <w:rPr>
                          <w:b/>
                          <w:color w:val="000000"/>
                          <w:sz w:val="23"/>
                        </w:rPr>
                        <w:t>Recommendation</w:t>
                      </w:r>
                      <w:r>
                        <w:rPr>
                          <w:b/>
                          <w:color w:val="000000"/>
                          <w:spacing w:val="-5"/>
                          <w:sz w:val="23"/>
                        </w:rPr>
                        <w:t xml:space="preserve"> </w:t>
                      </w:r>
                      <w:r>
                        <w:rPr>
                          <w:b/>
                          <w:color w:val="000000"/>
                          <w:sz w:val="23"/>
                        </w:rPr>
                        <w:t>20</w:t>
                      </w:r>
                      <w:r>
                        <w:rPr>
                          <w:b/>
                          <w:color w:val="000000"/>
                          <w:spacing w:val="-3"/>
                          <w:sz w:val="23"/>
                        </w:rPr>
                        <w:t xml:space="preserve"> </w:t>
                      </w:r>
                      <w:r>
                        <w:rPr>
                          <w:b/>
                          <w:color w:val="000000"/>
                          <w:sz w:val="23"/>
                        </w:rPr>
                        <w:t>–</w:t>
                      </w:r>
                      <w:r>
                        <w:rPr>
                          <w:b/>
                          <w:color w:val="000000"/>
                          <w:spacing w:val="-3"/>
                          <w:sz w:val="23"/>
                        </w:rPr>
                        <w:t xml:space="preserve"> </w:t>
                      </w:r>
                      <w:r>
                        <w:rPr>
                          <w:b/>
                          <w:color w:val="000000"/>
                          <w:sz w:val="23"/>
                        </w:rPr>
                        <w:t>Independent</w:t>
                      </w:r>
                      <w:r>
                        <w:rPr>
                          <w:b/>
                          <w:color w:val="000000"/>
                          <w:spacing w:val="-3"/>
                          <w:sz w:val="23"/>
                        </w:rPr>
                        <w:t xml:space="preserve"> </w:t>
                      </w:r>
                      <w:r>
                        <w:rPr>
                          <w:b/>
                          <w:color w:val="000000"/>
                          <w:spacing w:val="-2"/>
                          <w:sz w:val="23"/>
                        </w:rPr>
                        <w:t>Office</w:t>
                      </w:r>
                    </w:p>
                    <w:p w14:paraId="7CB267A4" w14:textId="77777777" w:rsidR="008A4099" w:rsidRDefault="006A6EE2">
                      <w:pPr>
                        <w:pStyle w:val="BodyText"/>
                        <w:spacing w:before="240"/>
                        <w:ind w:left="108"/>
                        <w:rPr>
                          <w:color w:val="000000"/>
                        </w:rPr>
                      </w:pPr>
                      <w:r>
                        <w:rPr>
                          <w:color w:val="000000"/>
                        </w:rPr>
                        <w:t>That</w:t>
                      </w:r>
                      <w:r>
                        <w:rPr>
                          <w:color w:val="000000"/>
                          <w:spacing w:val="77"/>
                        </w:rPr>
                        <w:t xml:space="preserve"> </w:t>
                      </w:r>
                      <w:r>
                        <w:rPr>
                          <w:color w:val="000000"/>
                        </w:rPr>
                        <w:t>a</w:t>
                      </w:r>
                      <w:r>
                        <w:rPr>
                          <w:color w:val="000000"/>
                          <w:spacing w:val="77"/>
                        </w:rPr>
                        <w:t xml:space="preserve"> </w:t>
                      </w:r>
                      <w:r>
                        <w:rPr>
                          <w:color w:val="000000"/>
                        </w:rPr>
                        <w:t>Tasmanian</w:t>
                      </w:r>
                      <w:r>
                        <w:rPr>
                          <w:color w:val="000000"/>
                          <w:spacing w:val="77"/>
                        </w:rPr>
                        <w:t xml:space="preserve"> </w:t>
                      </w:r>
                      <w:r>
                        <w:rPr>
                          <w:color w:val="000000"/>
                        </w:rPr>
                        <w:t>Human</w:t>
                      </w:r>
                      <w:r>
                        <w:rPr>
                          <w:color w:val="000000"/>
                          <w:spacing w:val="77"/>
                        </w:rPr>
                        <w:t xml:space="preserve"> </w:t>
                      </w:r>
                      <w:r>
                        <w:rPr>
                          <w:color w:val="000000"/>
                        </w:rPr>
                        <w:t>Rights</w:t>
                      </w:r>
                      <w:r>
                        <w:rPr>
                          <w:color w:val="000000"/>
                          <w:spacing w:val="77"/>
                        </w:rPr>
                        <w:t xml:space="preserve"> </w:t>
                      </w:r>
                      <w:r>
                        <w:rPr>
                          <w:color w:val="000000"/>
                        </w:rPr>
                        <w:t>Commissioner</w:t>
                      </w:r>
                      <w:r>
                        <w:rPr>
                          <w:color w:val="000000"/>
                          <w:spacing w:val="75"/>
                        </w:rPr>
                        <w:t xml:space="preserve"> </w:t>
                      </w:r>
                      <w:r>
                        <w:rPr>
                          <w:color w:val="000000"/>
                        </w:rPr>
                        <w:t>be</w:t>
                      </w:r>
                      <w:r>
                        <w:rPr>
                          <w:color w:val="000000"/>
                          <w:spacing w:val="77"/>
                        </w:rPr>
                        <w:t xml:space="preserve"> </w:t>
                      </w:r>
                      <w:r>
                        <w:rPr>
                          <w:color w:val="000000"/>
                        </w:rPr>
                        <w:t>appointed</w:t>
                      </w:r>
                      <w:r>
                        <w:rPr>
                          <w:color w:val="000000"/>
                          <w:spacing w:val="75"/>
                        </w:rPr>
                        <w:t xml:space="preserve"> </w:t>
                      </w:r>
                      <w:r>
                        <w:rPr>
                          <w:color w:val="000000"/>
                        </w:rPr>
                        <w:t>independently</w:t>
                      </w:r>
                      <w:r>
                        <w:rPr>
                          <w:color w:val="000000"/>
                          <w:spacing w:val="77"/>
                        </w:rPr>
                        <w:t xml:space="preserve"> </w:t>
                      </w:r>
                      <w:r>
                        <w:rPr>
                          <w:color w:val="000000"/>
                        </w:rPr>
                        <w:t>of</w:t>
                      </w:r>
                      <w:r>
                        <w:rPr>
                          <w:color w:val="000000"/>
                          <w:spacing w:val="75"/>
                        </w:rPr>
                        <w:t xml:space="preserve"> </w:t>
                      </w:r>
                      <w:r>
                        <w:rPr>
                          <w:color w:val="000000"/>
                        </w:rPr>
                        <w:t>the</w:t>
                      </w:r>
                      <w:r>
                        <w:rPr>
                          <w:color w:val="000000"/>
                          <w:spacing w:val="75"/>
                        </w:rPr>
                        <w:t xml:space="preserve"> </w:t>
                      </w:r>
                      <w:r>
                        <w:rPr>
                          <w:color w:val="000000"/>
                        </w:rPr>
                        <w:t>Anti- Discrimination Commissioner.</w:t>
                      </w:r>
                    </w:p>
                  </w:txbxContent>
                </v:textbox>
                <w10:wrap type="topAndBottom" anchorx="page"/>
              </v:shape>
            </w:pict>
          </mc:Fallback>
        </mc:AlternateContent>
      </w:r>
    </w:p>
    <w:p w14:paraId="7CB26320" w14:textId="77777777" w:rsidR="008A4099" w:rsidRDefault="008A4099">
      <w:pPr>
        <w:pStyle w:val="BodyText"/>
        <w:rPr>
          <w:sz w:val="20"/>
        </w:rPr>
      </w:pPr>
    </w:p>
    <w:p w14:paraId="7CB26321" w14:textId="77777777" w:rsidR="008A4099" w:rsidRDefault="006A6EE2">
      <w:pPr>
        <w:pStyle w:val="BodyText"/>
        <w:spacing w:before="219"/>
        <w:rPr>
          <w:sz w:val="20"/>
        </w:rPr>
      </w:pPr>
      <w:r>
        <w:rPr>
          <w:noProof/>
        </w:rPr>
        <mc:AlternateContent>
          <mc:Choice Requires="wps">
            <w:drawing>
              <wp:anchor distT="0" distB="0" distL="0" distR="0" simplePos="0" relativeHeight="487642112" behindDoc="1" locked="0" layoutInCell="1" allowOverlap="1" wp14:anchorId="7CB266AD" wp14:editId="7CB266AE">
                <wp:simplePos x="0" y="0"/>
                <wp:positionH relativeFrom="page">
                  <wp:posOffset>914704</wp:posOffset>
                </wp:positionH>
                <wp:positionV relativeFrom="paragraph">
                  <wp:posOffset>300494</wp:posOffset>
                </wp:positionV>
                <wp:extent cx="1829435" cy="762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83CFC5" id="Graphic 154" o:spid="_x0000_s1026" style="position:absolute;margin-left:1in;margin-top:23.65pt;width:144.05pt;height:.6pt;z-index:-156743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" path="m1829054,l,,,7620r1829054,l1829054,xe" fillcolor="black" stroked="f">
                <v:path arrowok="t"/>
                <w10:wrap type="topAndBottom" anchorx="page"/>
              </v:shape>
            </w:pict>
          </mc:Fallback>
        </mc:AlternateContent>
      </w:r>
    </w:p>
    <w:p w14:paraId="7CB26322" w14:textId="77777777" w:rsidR="008A4099" w:rsidRDefault="006A6EE2">
      <w:pPr>
        <w:spacing w:before="112"/>
        <w:ind w:left="160"/>
        <w:rPr>
          <w:sz w:val="18"/>
        </w:rPr>
      </w:pPr>
      <w:r>
        <w:rPr>
          <w:sz w:val="18"/>
          <w:vertAlign w:val="superscript"/>
        </w:rPr>
        <w:t>522</w:t>
      </w:r>
      <w:r>
        <w:rPr>
          <w:spacing w:val="-1"/>
          <w:sz w:val="18"/>
        </w:rPr>
        <w:t xml:space="preserve"> </w:t>
      </w:r>
      <w:r>
        <w:rPr>
          <w:sz w:val="18"/>
        </w:rPr>
        <w:t xml:space="preserve">Brett Young, </w:t>
      </w:r>
      <w:r>
        <w:rPr>
          <w:i/>
          <w:sz w:val="18"/>
        </w:rPr>
        <w:t>From Commitment</w:t>
      </w:r>
      <w:r>
        <w:rPr>
          <w:i/>
          <w:spacing w:val="-3"/>
          <w:sz w:val="18"/>
        </w:rPr>
        <w:t xml:space="preserve"> </w:t>
      </w:r>
      <w:r>
        <w:rPr>
          <w:i/>
          <w:sz w:val="18"/>
        </w:rPr>
        <w:t>to</w:t>
      </w:r>
      <w:r>
        <w:rPr>
          <w:i/>
          <w:spacing w:val="1"/>
          <w:sz w:val="18"/>
        </w:rPr>
        <w:t xml:space="preserve"> </w:t>
      </w:r>
      <w:r>
        <w:rPr>
          <w:i/>
          <w:sz w:val="18"/>
        </w:rPr>
        <w:t xml:space="preserve">Culture </w:t>
      </w:r>
      <w:r>
        <w:rPr>
          <w:sz w:val="18"/>
        </w:rPr>
        <w:t>11</w:t>
      </w:r>
      <w:r>
        <w:rPr>
          <w:spacing w:val="1"/>
          <w:sz w:val="18"/>
        </w:rPr>
        <w:t xml:space="preserve"> </w:t>
      </w:r>
      <w:r>
        <w:rPr>
          <w:sz w:val="18"/>
        </w:rPr>
        <w:t>and</w:t>
      </w:r>
      <w:r>
        <w:rPr>
          <w:spacing w:val="1"/>
          <w:sz w:val="18"/>
        </w:rPr>
        <w:t xml:space="preserve"> </w:t>
      </w:r>
      <w:r>
        <w:rPr>
          <w:sz w:val="18"/>
        </w:rPr>
        <w:t>Recommendation</w:t>
      </w:r>
      <w:r>
        <w:rPr>
          <w:spacing w:val="-2"/>
          <w:sz w:val="18"/>
        </w:rPr>
        <w:t xml:space="preserve"> </w:t>
      </w:r>
      <w:r>
        <w:rPr>
          <w:spacing w:val="-5"/>
          <w:sz w:val="18"/>
        </w:rPr>
        <w:t>23.</w:t>
      </w:r>
    </w:p>
    <w:p w14:paraId="7CB26323" w14:textId="77777777" w:rsidR="008A4099" w:rsidRDefault="006A6EE2">
      <w:pPr>
        <w:spacing w:before="24"/>
        <w:ind w:left="160"/>
        <w:rPr>
          <w:sz w:val="18"/>
        </w:rPr>
      </w:pPr>
      <w:r>
        <w:rPr>
          <w:sz w:val="18"/>
          <w:vertAlign w:val="superscript"/>
        </w:rPr>
        <w:t>523</w:t>
      </w:r>
      <w:r>
        <w:rPr>
          <w:spacing w:val="1"/>
          <w:sz w:val="18"/>
        </w:rPr>
        <w:t xml:space="preserve"> </w:t>
      </w:r>
      <w:r>
        <w:rPr>
          <w:sz w:val="18"/>
        </w:rPr>
        <w:t>TLRI</w:t>
      </w:r>
      <w:r>
        <w:rPr>
          <w:spacing w:val="1"/>
          <w:sz w:val="18"/>
        </w:rPr>
        <w:t xml:space="preserve"> </w:t>
      </w:r>
      <w:r>
        <w:rPr>
          <w:sz w:val="18"/>
        </w:rPr>
        <w:t>2007</w:t>
      </w:r>
      <w:r>
        <w:rPr>
          <w:spacing w:val="2"/>
          <w:sz w:val="18"/>
        </w:rPr>
        <w:t xml:space="preserve"> </w:t>
      </w:r>
      <w:r>
        <w:rPr>
          <w:sz w:val="18"/>
        </w:rPr>
        <w:t>Final</w:t>
      </w:r>
      <w:r>
        <w:rPr>
          <w:spacing w:val="1"/>
          <w:sz w:val="18"/>
        </w:rPr>
        <w:t xml:space="preserve"> </w:t>
      </w:r>
      <w:r>
        <w:rPr>
          <w:sz w:val="18"/>
        </w:rPr>
        <w:t>Report</w:t>
      </w:r>
      <w:r>
        <w:rPr>
          <w:spacing w:val="1"/>
          <w:sz w:val="18"/>
        </w:rPr>
        <w:t xml:space="preserve"> </w:t>
      </w:r>
      <w:r>
        <w:rPr>
          <w:spacing w:val="-2"/>
          <w:sz w:val="18"/>
        </w:rPr>
        <w:t>[4.20.18].</w:t>
      </w:r>
    </w:p>
    <w:p w14:paraId="7CB26324" w14:textId="77777777" w:rsidR="008A4099" w:rsidRDefault="006A6EE2">
      <w:pPr>
        <w:spacing w:before="23"/>
        <w:ind w:left="160"/>
        <w:rPr>
          <w:sz w:val="18"/>
        </w:rPr>
      </w:pPr>
      <w:r>
        <w:rPr>
          <w:sz w:val="18"/>
          <w:vertAlign w:val="superscript"/>
        </w:rPr>
        <w:t>524</w:t>
      </w:r>
      <w:r>
        <w:rPr>
          <w:spacing w:val="6"/>
          <w:sz w:val="18"/>
        </w:rPr>
        <w:t xml:space="preserve"> </w:t>
      </w:r>
      <w:r>
        <w:rPr>
          <w:sz w:val="18"/>
        </w:rPr>
        <w:t>Ibid</w:t>
      </w:r>
      <w:r>
        <w:rPr>
          <w:spacing w:val="6"/>
          <w:sz w:val="18"/>
        </w:rPr>
        <w:t xml:space="preserve"> </w:t>
      </w:r>
      <w:r>
        <w:rPr>
          <w:spacing w:val="-2"/>
          <w:sz w:val="18"/>
        </w:rPr>
        <w:t>[4.20.19].</w:t>
      </w:r>
    </w:p>
    <w:p w14:paraId="7CB26325" w14:textId="77777777" w:rsidR="008A4099" w:rsidRDefault="008A4099">
      <w:pPr>
        <w:rPr>
          <w:sz w:val="18"/>
        </w:rPr>
        <w:sectPr w:rsidR="008A4099" w:rsidSect="00D43B2D">
          <w:pgSz w:w="11910" w:h="16840"/>
          <w:pgMar w:top="980" w:right="760" w:bottom="940" w:left="1280" w:header="718" w:footer="753" w:gutter="0"/>
          <w:cols w:space="720"/>
        </w:sectPr>
      </w:pPr>
    </w:p>
    <w:p w14:paraId="7CB26326" w14:textId="77777777" w:rsidR="008A4099" w:rsidRDefault="008A4099">
      <w:pPr>
        <w:pStyle w:val="BodyText"/>
        <w:spacing w:before="81"/>
        <w:rPr>
          <w:sz w:val="32"/>
        </w:rPr>
      </w:pPr>
    </w:p>
    <w:p w14:paraId="7CB26327" w14:textId="77777777" w:rsidR="008A4099" w:rsidRDefault="006A6EE2">
      <w:pPr>
        <w:pStyle w:val="Heading2"/>
        <w:numPr>
          <w:ilvl w:val="1"/>
          <w:numId w:val="3"/>
        </w:numPr>
        <w:tabs>
          <w:tab w:val="left" w:pos="878"/>
        </w:tabs>
        <w:ind w:left="878" w:hanging="718"/>
        <w:jc w:val="both"/>
      </w:pPr>
      <w:bookmarkStart w:id="59" w:name="_TOC_250001"/>
      <w:bookmarkEnd w:id="59"/>
      <w:r>
        <w:rPr>
          <w:spacing w:val="-2"/>
        </w:rPr>
        <w:t>Implementation</w:t>
      </w:r>
    </w:p>
    <w:p w14:paraId="7CB26328" w14:textId="77777777" w:rsidR="008A4099" w:rsidRDefault="006A6EE2">
      <w:pPr>
        <w:pStyle w:val="Heading3"/>
        <w:spacing w:before="240"/>
      </w:pPr>
      <w:bookmarkStart w:id="60" w:name="_TOC_250000"/>
      <w:r>
        <w:t>TLRI</w:t>
      </w:r>
      <w:r>
        <w:rPr>
          <w:spacing w:val="-4"/>
        </w:rPr>
        <w:t xml:space="preserve"> </w:t>
      </w:r>
      <w:r>
        <w:t>2007</w:t>
      </w:r>
      <w:r>
        <w:rPr>
          <w:spacing w:val="-2"/>
        </w:rPr>
        <w:t xml:space="preserve"> </w:t>
      </w:r>
      <w:r>
        <w:t>Final</w:t>
      </w:r>
      <w:r>
        <w:rPr>
          <w:spacing w:val="-2"/>
        </w:rPr>
        <w:t xml:space="preserve"> </w:t>
      </w:r>
      <w:r>
        <w:t>Report</w:t>
      </w:r>
      <w:r>
        <w:rPr>
          <w:spacing w:val="-5"/>
        </w:rPr>
        <w:t xml:space="preserve"> </w:t>
      </w:r>
      <w:r>
        <w:t>and</w:t>
      </w:r>
      <w:r>
        <w:rPr>
          <w:spacing w:val="-3"/>
        </w:rPr>
        <w:t xml:space="preserve"> </w:t>
      </w:r>
      <w:r>
        <w:t>subsequent</w:t>
      </w:r>
      <w:bookmarkEnd w:id="60"/>
      <w:r>
        <w:rPr>
          <w:spacing w:val="-2"/>
        </w:rPr>
        <w:t xml:space="preserve"> developments</w:t>
      </w:r>
    </w:p>
    <w:p w14:paraId="7CB26329" w14:textId="77777777" w:rsidR="008A4099" w:rsidRDefault="006A6EE2">
      <w:pPr>
        <w:pStyle w:val="ListParagraph"/>
        <w:numPr>
          <w:ilvl w:val="2"/>
          <w:numId w:val="3"/>
        </w:numPr>
        <w:tabs>
          <w:tab w:val="left" w:pos="879"/>
        </w:tabs>
        <w:spacing w:before="263" w:line="237" w:lineRule="auto"/>
        <w:ind w:right="675" w:firstLine="0"/>
        <w:jc w:val="both"/>
      </w:pPr>
      <w:r>
        <w:t>In the 2007 Final report, it was recommended that the Charter be phased in over an 18-month period to enable adequate time for public authorities to undertake education programs with respect to their</w:t>
      </w:r>
      <w:r>
        <w:rPr>
          <w:spacing w:val="-11"/>
        </w:rPr>
        <w:t xml:space="preserve"> </w:t>
      </w:r>
      <w:r>
        <w:t>human</w:t>
      </w:r>
      <w:r>
        <w:rPr>
          <w:spacing w:val="-12"/>
        </w:rPr>
        <w:t xml:space="preserve"> </w:t>
      </w:r>
      <w:r>
        <w:t>rights</w:t>
      </w:r>
      <w:r>
        <w:rPr>
          <w:spacing w:val="-9"/>
        </w:rPr>
        <w:t xml:space="preserve"> </w:t>
      </w:r>
      <w:r>
        <w:t>obligations,</w:t>
      </w:r>
      <w:r>
        <w:rPr>
          <w:spacing w:val="-9"/>
        </w:rPr>
        <w:t xml:space="preserve"> </w:t>
      </w:r>
      <w:r>
        <w:t>and</w:t>
      </w:r>
      <w:r>
        <w:rPr>
          <w:spacing w:val="-10"/>
        </w:rPr>
        <w:t xml:space="preserve"> </w:t>
      </w:r>
      <w:r>
        <w:t>also</w:t>
      </w:r>
      <w:r>
        <w:rPr>
          <w:spacing w:val="-12"/>
        </w:rPr>
        <w:t xml:space="preserve"> </w:t>
      </w:r>
      <w:r>
        <w:t>to</w:t>
      </w:r>
      <w:r>
        <w:rPr>
          <w:spacing w:val="-10"/>
        </w:rPr>
        <w:t xml:space="preserve"> </w:t>
      </w:r>
      <w:r>
        <w:t>provide</w:t>
      </w:r>
      <w:r>
        <w:rPr>
          <w:spacing w:val="-12"/>
        </w:rPr>
        <w:t xml:space="preserve"> </w:t>
      </w:r>
      <w:r>
        <w:t>sufficient</w:t>
      </w:r>
      <w:r>
        <w:rPr>
          <w:spacing w:val="-9"/>
        </w:rPr>
        <w:t xml:space="preserve"> </w:t>
      </w:r>
      <w:r>
        <w:t>opportunity</w:t>
      </w:r>
      <w:r>
        <w:rPr>
          <w:spacing w:val="-10"/>
        </w:rPr>
        <w:t xml:space="preserve"> </w:t>
      </w:r>
      <w:r>
        <w:t>for</w:t>
      </w:r>
      <w:r>
        <w:rPr>
          <w:spacing w:val="-11"/>
        </w:rPr>
        <w:t xml:space="preserve"> </w:t>
      </w:r>
      <w:r>
        <w:t>the</w:t>
      </w:r>
      <w:r>
        <w:rPr>
          <w:spacing w:val="-12"/>
        </w:rPr>
        <w:t xml:space="preserve"> </w:t>
      </w:r>
      <w:r>
        <w:t>review</w:t>
      </w:r>
      <w:r>
        <w:rPr>
          <w:spacing w:val="-10"/>
        </w:rPr>
        <w:t xml:space="preserve"> </w:t>
      </w:r>
      <w:r>
        <w:t>and</w:t>
      </w:r>
      <w:r>
        <w:rPr>
          <w:spacing w:val="-12"/>
        </w:rPr>
        <w:t xml:space="preserve"> </w:t>
      </w:r>
      <w:r>
        <w:t>adjustment, if necessary, of existing practices (Recommendation 9).</w:t>
      </w:r>
    </w:p>
    <w:p w14:paraId="7CB2632A" w14:textId="77777777" w:rsidR="008A4099" w:rsidRDefault="006A6EE2">
      <w:pPr>
        <w:pStyle w:val="ListParagraph"/>
        <w:numPr>
          <w:ilvl w:val="2"/>
          <w:numId w:val="3"/>
        </w:numPr>
        <w:tabs>
          <w:tab w:val="left" w:pos="879"/>
        </w:tabs>
        <w:spacing w:before="223" w:line="237" w:lineRule="auto"/>
        <w:ind w:right="678" w:firstLine="0"/>
        <w:jc w:val="both"/>
        <w:rPr>
          <w:sz w:val="13"/>
        </w:rPr>
      </w:pPr>
      <w:r>
        <w:t>The</w:t>
      </w:r>
      <w:r>
        <w:rPr>
          <w:spacing w:val="-11"/>
        </w:rPr>
        <w:t xml:space="preserve"> </w:t>
      </w:r>
      <w:r>
        <w:t>Tasmanian</w:t>
      </w:r>
      <w:r>
        <w:rPr>
          <w:spacing w:val="-11"/>
        </w:rPr>
        <w:t xml:space="preserve"> </w:t>
      </w:r>
      <w:r>
        <w:t>Government’s</w:t>
      </w:r>
      <w:r>
        <w:rPr>
          <w:spacing w:val="-13"/>
        </w:rPr>
        <w:t xml:space="preserve"> </w:t>
      </w:r>
      <w:r>
        <w:t>2010</w:t>
      </w:r>
      <w:r>
        <w:rPr>
          <w:spacing w:val="-10"/>
        </w:rPr>
        <w:t xml:space="preserve"> </w:t>
      </w:r>
      <w:r>
        <w:t>Directions</w:t>
      </w:r>
      <w:r>
        <w:rPr>
          <w:spacing w:val="-10"/>
        </w:rPr>
        <w:t xml:space="preserve"> </w:t>
      </w:r>
      <w:r>
        <w:t>Paper</w:t>
      </w:r>
      <w:r>
        <w:rPr>
          <w:spacing w:val="-12"/>
        </w:rPr>
        <w:t xml:space="preserve"> </w:t>
      </w:r>
      <w:r>
        <w:t>recommended</w:t>
      </w:r>
      <w:r>
        <w:rPr>
          <w:spacing w:val="-13"/>
        </w:rPr>
        <w:t xml:space="preserve"> </w:t>
      </w:r>
      <w:r>
        <w:t>that</w:t>
      </w:r>
      <w:r>
        <w:rPr>
          <w:spacing w:val="-12"/>
        </w:rPr>
        <w:t xml:space="preserve"> </w:t>
      </w:r>
      <w:r>
        <w:t>implementation</w:t>
      </w:r>
      <w:r>
        <w:rPr>
          <w:spacing w:val="-11"/>
        </w:rPr>
        <w:t xml:space="preserve"> </w:t>
      </w:r>
      <w:r>
        <w:t>of</w:t>
      </w:r>
      <w:r>
        <w:rPr>
          <w:spacing w:val="-10"/>
        </w:rPr>
        <w:t xml:space="preserve"> </w:t>
      </w:r>
      <w:r>
        <w:t xml:space="preserve">the Tasmanian human rights enactment be ‘phased in’ over a four-year period to reduce the regulatory </w:t>
      </w:r>
      <w:r>
        <w:rPr>
          <w:spacing w:val="-2"/>
        </w:rPr>
        <w:t>burden.</w:t>
      </w:r>
      <w:r>
        <w:rPr>
          <w:spacing w:val="-2"/>
          <w:position w:val="7"/>
          <w:sz w:val="13"/>
        </w:rPr>
        <w:t>525</w:t>
      </w:r>
    </w:p>
    <w:p w14:paraId="7CB2632B" w14:textId="77777777" w:rsidR="008A4099" w:rsidRDefault="006A6EE2">
      <w:pPr>
        <w:pStyle w:val="Heading3"/>
        <w:spacing w:before="235"/>
      </w:pPr>
      <w:r>
        <w:t>TLRI’s</w:t>
      </w:r>
      <w:r>
        <w:rPr>
          <w:spacing w:val="-2"/>
        </w:rPr>
        <w:t xml:space="preserve"> </w:t>
      </w:r>
      <w:r>
        <w:t>current</w:t>
      </w:r>
      <w:r>
        <w:rPr>
          <w:spacing w:val="-1"/>
        </w:rPr>
        <w:t xml:space="preserve"> </w:t>
      </w:r>
      <w:r>
        <w:t>view and</w:t>
      </w:r>
      <w:r>
        <w:rPr>
          <w:spacing w:val="-1"/>
        </w:rPr>
        <w:t xml:space="preserve"> </w:t>
      </w:r>
      <w:r>
        <w:rPr>
          <w:spacing w:val="-2"/>
        </w:rPr>
        <w:t>recommendations</w:t>
      </w:r>
    </w:p>
    <w:p w14:paraId="7CB2632C" w14:textId="77777777" w:rsidR="008A4099" w:rsidRDefault="006A6EE2">
      <w:pPr>
        <w:pStyle w:val="ListParagraph"/>
        <w:numPr>
          <w:ilvl w:val="2"/>
          <w:numId w:val="3"/>
        </w:numPr>
        <w:tabs>
          <w:tab w:val="left" w:pos="879"/>
        </w:tabs>
        <w:spacing w:before="262"/>
        <w:ind w:right="676" w:firstLine="0"/>
        <w:jc w:val="both"/>
      </w:pPr>
      <w:r>
        <w:t>The TLRI acknowledges the need for a phase-in period and the requirement to allocate appropriate resources to support the implementation of the human rights enactment. In light of the proposal</w:t>
      </w:r>
      <w:r>
        <w:rPr>
          <w:spacing w:val="-4"/>
        </w:rPr>
        <w:t xml:space="preserve"> </w:t>
      </w:r>
      <w:r>
        <w:t>for</w:t>
      </w:r>
      <w:r>
        <w:rPr>
          <w:spacing w:val="-2"/>
        </w:rPr>
        <w:t xml:space="preserve"> </w:t>
      </w:r>
      <w:r>
        <w:t>a</w:t>
      </w:r>
      <w:r>
        <w:rPr>
          <w:spacing w:val="-4"/>
        </w:rPr>
        <w:t xml:space="preserve"> </w:t>
      </w:r>
      <w:r>
        <w:t>four-year</w:t>
      </w:r>
      <w:r>
        <w:rPr>
          <w:spacing w:val="-4"/>
        </w:rPr>
        <w:t xml:space="preserve"> </w:t>
      </w:r>
      <w:r>
        <w:t>phase-in,</w:t>
      </w:r>
      <w:r>
        <w:rPr>
          <w:spacing w:val="-5"/>
        </w:rPr>
        <w:t xml:space="preserve"> </w:t>
      </w:r>
      <w:r>
        <w:t>the</w:t>
      </w:r>
      <w:r>
        <w:rPr>
          <w:spacing w:val="-4"/>
        </w:rPr>
        <w:t xml:space="preserve"> </w:t>
      </w:r>
      <w:r>
        <w:t>TLRI</w:t>
      </w:r>
      <w:r>
        <w:rPr>
          <w:spacing w:val="-4"/>
        </w:rPr>
        <w:t xml:space="preserve"> </w:t>
      </w:r>
      <w:r>
        <w:t>has</w:t>
      </w:r>
      <w:r>
        <w:rPr>
          <w:spacing w:val="-4"/>
        </w:rPr>
        <w:t xml:space="preserve"> </w:t>
      </w:r>
      <w:r>
        <w:t>reconsidered</w:t>
      </w:r>
      <w:r>
        <w:rPr>
          <w:spacing w:val="-4"/>
        </w:rPr>
        <w:t xml:space="preserve"> </w:t>
      </w:r>
      <w:r>
        <w:t>its</w:t>
      </w:r>
      <w:r>
        <w:rPr>
          <w:spacing w:val="-2"/>
        </w:rPr>
        <w:t xml:space="preserve"> </w:t>
      </w:r>
      <w:r>
        <w:t>earlier recommendation</w:t>
      </w:r>
      <w:r>
        <w:rPr>
          <w:spacing w:val="-2"/>
        </w:rPr>
        <w:t xml:space="preserve"> </w:t>
      </w:r>
      <w:r>
        <w:t>of</w:t>
      </w:r>
      <w:r>
        <w:rPr>
          <w:spacing w:val="-2"/>
        </w:rPr>
        <w:t xml:space="preserve"> </w:t>
      </w:r>
      <w:r>
        <w:t>18</w:t>
      </w:r>
      <w:r>
        <w:rPr>
          <w:spacing w:val="-3"/>
        </w:rPr>
        <w:t xml:space="preserve"> </w:t>
      </w:r>
      <w:r>
        <w:t>months. Given the considerable experience in other jurisdictions which can be drawn upon, and the existing institutional structure of Equal Opportunity Tasmania, the TLRI’s view is that implementation should be expedited over two years.</w:t>
      </w:r>
    </w:p>
    <w:p w14:paraId="7CB2632D" w14:textId="77777777" w:rsidR="008A4099" w:rsidRDefault="006A6EE2">
      <w:pPr>
        <w:pStyle w:val="BodyText"/>
        <w:spacing w:before="2"/>
        <w:rPr>
          <w:sz w:val="17"/>
        </w:rPr>
      </w:pPr>
      <w:r>
        <w:rPr>
          <w:noProof/>
        </w:rPr>
        <mc:AlternateContent>
          <mc:Choice Requires="wps">
            <w:drawing>
              <wp:anchor distT="0" distB="0" distL="0" distR="0" simplePos="0" relativeHeight="487642624" behindDoc="1" locked="0" layoutInCell="1" allowOverlap="1" wp14:anchorId="7CB266AF" wp14:editId="7CB266B0">
                <wp:simplePos x="0" y="0"/>
                <wp:positionH relativeFrom="page">
                  <wp:posOffset>914704</wp:posOffset>
                </wp:positionH>
                <wp:positionV relativeFrom="paragraph">
                  <wp:posOffset>141072</wp:posOffset>
                </wp:positionV>
                <wp:extent cx="5727065" cy="934719"/>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934719"/>
                        </a:xfrm>
                        <a:prstGeom prst="rect">
                          <a:avLst/>
                        </a:prstGeom>
                        <a:solidFill>
                          <a:srgbClr val="E8E8E8"/>
                        </a:solidFill>
                      </wps:spPr>
                      <wps:txbx>
                        <w:txbxContent>
                          <w:p w14:paraId="7CB267A5" w14:textId="77777777" w:rsidR="008A4099" w:rsidRDefault="006A6EE2">
                            <w:pPr>
                              <w:spacing w:before="219"/>
                              <w:ind w:left="108"/>
                              <w:rPr>
                                <w:b/>
                                <w:color w:val="000000"/>
                                <w:sz w:val="23"/>
                              </w:rPr>
                            </w:pPr>
                            <w:r>
                              <w:rPr>
                                <w:b/>
                                <w:color w:val="000000"/>
                                <w:sz w:val="23"/>
                              </w:rPr>
                              <w:t>Recommendation</w:t>
                            </w:r>
                            <w:r>
                              <w:rPr>
                                <w:b/>
                                <w:color w:val="000000"/>
                                <w:spacing w:val="-3"/>
                                <w:sz w:val="23"/>
                              </w:rPr>
                              <w:t xml:space="preserve"> </w:t>
                            </w:r>
                            <w:r>
                              <w:rPr>
                                <w:b/>
                                <w:color w:val="000000"/>
                                <w:sz w:val="23"/>
                              </w:rPr>
                              <w:t>21</w:t>
                            </w:r>
                            <w:r>
                              <w:rPr>
                                <w:b/>
                                <w:color w:val="000000"/>
                                <w:spacing w:val="-2"/>
                                <w:sz w:val="23"/>
                              </w:rPr>
                              <w:t xml:space="preserve"> </w:t>
                            </w:r>
                            <w:r>
                              <w:rPr>
                                <w:b/>
                                <w:color w:val="000000"/>
                                <w:sz w:val="23"/>
                              </w:rPr>
                              <w:t>–</w:t>
                            </w:r>
                            <w:r>
                              <w:rPr>
                                <w:b/>
                                <w:color w:val="000000"/>
                                <w:spacing w:val="-2"/>
                                <w:sz w:val="23"/>
                              </w:rPr>
                              <w:t xml:space="preserve"> Implementation</w:t>
                            </w:r>
                          </w:p>
                          <w:p w14:paraId="7CB267A6" w14:textId="77777777" w:rsidR="008A4099" w:rsidRDefault="006A6EE2">
                            <w:pPr>
                              <w:pStyle w:val="BodyText"/>
                              <w:spacing w:before="242" w:line="352" w:lineRule="auto"/>
                              <w:ind w:left="108"/>
                              <w:rPr>
                                <w:color w:val="000000"/>
                              </w:rPr>
                            </w:pPr>
                            <w:r>
                              <w:rPr>
                                <w:color w:val="000000"/>
                              </w:rPr>
                              <w:t>That</w:t>
                            </w:r>
                            <w:r>
                              <w:rPr>
                                <w:color w:val="000000"/>
                                <w:spacing w:val="-12"/>
                              </w:rPr>
                              <w:t xml:space="preserve"> </w:t>
                            </w:r>
                            <w:r>
                              <w:rPr>
                                <w:color w:val="000000"/>
                              </w:rPr>
                              <w:t>a</w:t>
                            </w:r>
                            <w:r>
                              <w:rPr>
                                <w:color w:val="000000"/>
                                <w:spacing w:val="-10"/>
                              </w:rPr>
                              <w:t xml:space="preserve"> </w:t>
                            </w:r>
                            <w:r>
                              <w:rPr>
                                <w:color w:val="000000"/>
                              </w:rPr>
                              <w:t>phase-in</w:t>
                            </w:r>
                            <w:r>
                              <w:rPr>
                                <w:color w:val="000000"/>
                                <w:spacing w:val="-11"/>
                              </w:rPr>
                              <w:t xml:space="preserve"> </w:t>
                            </w:r>
                            <w:r>
                              <w:rPr>
                                <w:color w:val="000000"/>
                              </w:rPr>
                              <w:t>period</w:t>
                            </w:r>
                            <w:r>
                              <w:rPr>
                                <w:color w:val="000000"/>
                                <w:spacing w:val="-11"/>
                              </w:rPr>
                              <w:t xml:space="preserve"> </w:t>
                            </w:r>
                            <w:r>
                              <w:rPr>
                                <w:color w:val="000000"/>
                              </w:rPr>
                              <w:t>be</w:t>
                            </w:r>
                            <w:r>
                              <w:rPr>
                                <w:color w:val="000000"/>
                                <w:spacing w:val="-12"/>
                              </w:rPr>
                              <w:t xml:space="preserve"> </w:t>
                            </w:r>
                            <w:r>
                              <w:rPr>
                                <w:color w:val="000000"/>
                              </w:rPr>
                              <w:t>created</w:t>
                            </w:r>
                            <w:r>
                              <w:rPr>
                                <w:color w:val="000000"/>
                                <w:spacing w:val="-11"/>
                              </w:rPr>
                              <w:t xml:space="preserve"> </w:t>
                            </w:r>
                            <w:r>
                              <w:rPr>
                                <w:color w:val="000000"/>
                              </w:rPr>
                              <w:t>as</w:t>
                            </w:r>
                            <w:r>
                              <w:rPr>
                                <w:color w:val="000000"/>
                                <w:spacing w:val="-10"/>
                              </w:rPr>
                              <w:t xml:space="preserve"> </w:t>
                            </w:r>
                            <w:r>
                              <w:rPr>
                                <w:color w:val="000000"/>
                              </w:rPr>
                              <w:t>part</w:t>
                            </w:r>
                            <w:r>
                              <w:rPr>
                                <w:color w:val="000000"/>
                                <w:spacing w:val="-10"/>
                              </w:rPr>
                              <w:t xml:space="preserve"> </w:t>
                            </w:r>
                            <w:r>
                              <w:rPr>
                                <w:color w:val="000000"/>
                              </w:rPr>
                              <w:t>of</w:t>
                            </w:r>
                            <w:r>
                              <w:rPr>
                                <w:color w:val="000000"/>
                                <w:spacing w:val="-12"/>
                              </w:rPr>
                              <w:t xml:space="preserve"> </w:t>
                            </w:r>
                            <w:r>
                              <w:rPr>
                                <w:color w:val="000000"/>
                              </w:rPr>
                              <w:t>the</w:t>
                            </w:r>
                            <w:r>
                              <w:rPr>
                                <w:color w:val="000000"/>
                                <w:spacing w:val="-12"/>
                              </w:rPr>
                              <w:t xml:space="preserve"> </w:t>
                            </w:r>
                            <w:r>
                              <w:rPr>
                                <w:color w:val="000000"/>
                              </w:rPr>
                              <w:t>operation</w:t>
                            </w:r>
                            <w:r>
                              <w:rPr>
                                <w:color w:val="000000"/>
                                <w:spacing w:val="-11"/>
                              </w:rPr>
                              <w:t xml:space="preserve"> </w:t>
                            </w:r>
                            <w:r>
                              <w:rPr>
                                <w:color w:val="000000"/>
                              </w:rPr>
                              <w:t>of</w:t>
                            </w:r>
                            <w:r>
                              <w:rPr>
                                <w:color w:val="000000"/>
                                <w:spacing w:val="-12"/>
                              </w:rPr>
                              <w:t xml:space="preserve"> </w:t>
                            </w:r>
                            <w:r>
                              <w:rPr>
                                <w:color w:val="000000"/>
                              </w:rPr>
                              <w:t>the</w:t>
                            </w:r>
                            <w:r>
                              <w:rPr>
                                <w:color w:val="000000"/>
                                <w:spacing w:val="-10"/>
                              </w:rPr>
                              <w:t xml:space="preserve"> </w:t>
                            </w:r>
                            <w:r>
                              <w:rPr>
                                <w:color w:val="000000"/>
                              </w:rPr>
                              <w:t>Tasmanian</w:t>
                            </w:r>
                            <w:r>
                              <w:rPr>
                                <w:color w:val="000000"/>
                                <w:spacing w:val="-12"/>
                              </w:rPr>
                              <w:t xml:space="preserve"> </w:t>
                            </w:r>
                            <w:r>
                              <w:rPr>
                                <w:color w:val="000000"/>
                              </w:rPr>
                              <w:t>human</w:t>
                            </w:r>
                            <w:r>
                              <w:rPr>
                                <w:color w:val="000000"/>
                                <w:spacing w:val="-12"/>
                              </w:rPr>
                              <w:t xml:space="preserve"> </w:t>
                            </w:r>
                            <w:r>
                              <w:rPr>
                                <w:color w:val="000000"/>
                              </w:rPr>
                              <w:t>rights</w:t>
                            </w:r>
                            <w:r>
                              <w:rPr>
                                <w:color w:val="000000"/>
                                <w:spacing w:val="-10"/>
                              </w:rPr>
                              <w:t xml:space="preserve"> </w:t>
                            </w:r>
                            <w:r>
                              <w:rPr>
                                <w:color w:val="000000"/>
                              </w:rPr>
                              <w:t>enactment. The phase-in period should be over a two-year period.</w:t>
                            </w:r>
                          </w:p>
                        </w:txbxContent>
                      </wps:txbx>
                      <wps:bodyPr wrap="square" lIns="0" tIns="0" rIns="0" bIns="0" rtlCol="0">
                        <a:noAutofit/>
                      </wps:bodyPr>
                    </wps:wsp>
                  </a:graphicData>
                </a:graphic>
              </wp:anchor>
            </w:drawing>
          </mc:Choice>
          <mc:Fallback>
            <w:pict>
              <v:shape w14:anchorId="7CB266AF" id="Textbox 155" o:spid="_x0000_s1047" type="#_x0000_t202" style="position:absolute;margin-left:1in;margin-top:11.1pt;width:450.95pt;height:73.6pt;z-index:-1567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" fillcolor="#e8e8e8" stroked="f">
                <v:textbox inset="0,0,0,0">
                  <w:txbxContent>
                    <w:p w14:paraId="7CB267A5" w14:textId="77777777" w:rsidR="008A4099" w:rsidRDefault="006A6EE2">
                      <w:pPr>
                        <w:spacing w:before="219"/>
                        <w:ind w:left="108"/>
                        <w:rPr>
                          <w:b/>
                          <w:color w:val="000000"/>
                          <w:sz w:val="23"/>
                        </w:rPr>
                      </w:pPr>
                      <w:r>
                        <w:rPr>
                          <w:b/>
                          <w:color w:val="000000"/>
                          <w:sz w:val="23"/>
                        </w:rPr>
                        <w:t>Recommendation</w:t>
                      </w:r>
                      <w:r>
                        <w:rPr>
                          <w:b/>
                          <w:color w:val="000000"/>
                          <w:spacing w:val="-3"/>
                          <w:sz w:val="23"/>
                        </w:rPr>
                        <w:t xml:space="preserve"> </w:t>
                      </w:r>
                      <w:r>
                        <w:rPr>
                          <w:b/>
                          <w:color w:val="000000"/>
                          <w:sz w:val="23"/>
                        </w:rPr>
                        <w:t>21</w:t>
                      </w:r>
                      <w:r>
                        <w:rPr>
                          <w:b/>
                          <w:color w:val="000000"/>
                          <w:spacing w:val="-2"/>
                          <w:sz w:val="23"/>
                        </w:rPr>
                        <w:t xml:space="preserve"> </w:t>
                      </w:r>
                      <w:r>
                        <w:rPr>
                          <w:b/>
                          <w:color w:val="000000"/>
                          <w:sz w:val="23"/>
                        </w:rPr>
                        <w:t>–</w:t>
                      </w:r>
                      <w:r>
                        <w:rPr>
                          <w:b/>
                          <w:color w:val="000000"/>
                          <w:spacing w:val="-2"/>
                          <w:sz w:val="23"/>
                        </w:rPr>
                        <w:t xml:space="preserve"> Implementation</w:t>
                      </w:r>
                    </w:p>
                    <w:p w14:paraId="7CB267A6" w14:textId="77777777" w:rsidR="008A4099" w:rsidRDefault="006A6EE2">
                      <w:pPr>
                        <w:pStyle w:val="BodyText"/>
                        <w:spacing w:before="242" w:line="352" w:lineRule="auto"/>
                        <w:ind w:left="108"/>
                        <w:rPr>
                          <w:color w:val="000000"/>
                        </w:rPr>
                      </w:pPr>
                      <w:r>
                        <w:rPr>
                          <w:color w:val="000000"/>
                        </w:rPr>
                        <w:t>That</w:t>
                      </w:r>
                      <w:r>
                        <w:rPr>
                          <w:color w:val="000000"/>
                          <w:spacing w:val="-12"/>
                        </w:rPr>
                        <w:t xml:space="preserve"> </w:t>
                      </w:r>
                      <w:r>
                        <w:rPr>
                          <w:color w:val="000000"/>
                        </w:rPr>
                        <w:t>a</w:t>
                      </w:r>
                      <w:r>
                        <w:rPr>
                          <w:color w:val="000000"/>
                          <w:spacing w:val="-10"/>
                        </w:rPr>
                        <w:t xml:space="preserve"> </w:t>
                      </w:r>
                      <w:r>
                        <w:rPr>
                          <w:color w:val="000000"/>
                        </w:rPr>
                        <w:t>phase-in</w:t>
                      </w:r>
                      <w:r>
                        <w:rPr>
                          <w:color w:val="000000"/>
                          <w:spacing w:val="-11"/>
                        </w:rPr>
                        <w:t xml:space="preserve"> </w:t>
                      </w:r>
                      <w:r>
                        <w:rPr>
                          <w:color w:val="000000"/>
                        </w:rPr>
                        <w:t>period</w:t>
                      </w:r>
                      <w:r>
                        <w:rPr>
                          <w:color w:val="000000"/>
                          <w:spacing w:val="-11"/>
                        </w:rPr>
                        <w:t xml:space="preserve"> </w:t>
                      </w:r>
                      <w:r>
                        <w:rPr>
                          <w:color w:val="000000"/>
                        </w:rPr>
                        <w:t>be</w:t>
                      </w:r>
                      <w:r>
                        <w:rPr>
                          <w:color w:val="000000"/>
                          <w:spacing w:val="-12"/>
                        </w:rPr>
                        <w:t xml:space="preserve"> </w:t>
                      </w:r>
                      <w:r>
                        <w:rPr>
                          <w:color w:val="000000"/>
                        </w:rPr>
                        <w:t>created</w:t>
                      </w:r>
                      <w:r>
                        <w:rPr>
                          <w:color w:val="000000"/>
                          <w:spacing w:val="-11"/>
                        </w:rPr>
                        <w:t xml:space="preserve"> </w:t>
                      </w:r>
                      <w:r>
                        <w:rPr>
                          <w:color w:val="000000"/>
                        </w:rPr>
                        <w:t>as</w:t>
                      </w:r>
                      <w:r>
                        <w:rPr>
                          <w:color w:val="000000"/>
                          <w:spacing w:val="-10"/>
                        </w:rPr>
                        <w:t xml:space="preserve"> </w:t>
                      </w:r>
                      <w:r>
                        <w:rPr>
                          <w:color w:val="000000"/>
                        </w:rPr>
                        <w:t>part</w:t>
                      </w:r>
                      <w:r>
                        <w:rPr>
                          <w:color w:val="000000"/>
                          <w:spacing w:val="-10"/>
                        </w:rPr>
                        <w:t xml:space="preserve"> </w:t>
                      </w:r>
                      <w:r>
                        <w:rPr>
                          <w:color w:val="000000"/>
                        </w:rPr>
                        <w:t>of</w:t>
                      </w:r>
                      <w:r>
                        <w:rPr>
                          <w:color w:val="000000"/>
                          <w:spacing w:val="-12"/>
                        </w:rPr>
                        <w:t xml:space="preserve"> </w:t>
                      </w:r>
                      <w:r>
                        <w:rPr>
                          <w:color w:val="000000"/>
                        </w:rPr>
                        <w:t>the</w:t>
                      </w:r>
                      <w:r>
                        <w:rPr>
                          <w:color w:val="000000"/>
                          <w:spacing w:val="-12"/>
                        </w:rPr>
                        <w:t xml:space="preserve"> </w:t>
                      </w:r>
                      <w:r>
                        <w:rPr>
                          <w:color w:val="000000"/>
                        </w:rPr>
                        <w:t>operation</w:t>
                      </w:r>
                      <w:r>
                        <w:rPr>
                          <w:color w:val="000000"/>
                          <w:spacing w:val="-11"/>
                        </w:rPr>
                        <w:t xml:space="preserve"> </w:t>
                      </w:r>
                      <w:r>
                        <w:rPr>
                          <w:color w:val="000000"/>
                        </w:rPr>
                        <w:t>of</w:t>
                      </w:r>
                      <w:r>
                        <w:rPr>
                          <w:color w:val="000000"/>
                          <w:spacing w:val="-12"/>
                        </w:rPr>
                        <w:t xml:space="preserve"> </w:t>
                      </w:r>
                      <w:r>
                        <w:rPr>
                          <w:color w:val="000000"/>
                        </w:rPr>
                        <w:t>the</w:t>
                      </w:r>
                      <w:r>
                        <w:rPr>
                          <w:color w:val="000000"/>
                          <w:spacing w:val="-10"/>
                        </w:rPr>
                        <w:t xml:space="preserve"> </w:t>
                      </w:r>
                      <w:r>
                        <w:rPr>
                          <w:color w:val="000000"/>
                        </w:rPr>
                        <w:t>Tasmanian</w:t>
                      </w:r>
                      <w:r>
                        <w:rPr>
                          <w:color w:val="000000"/>
                          <w:spacing w:val="-12"/>
                        </w:rPr>
                        <w:t xml:space="preserve"> </w:t>
                      </w:r>
                      <w:r>
                        <w:rPr>
                          <w:color w:val="000000"/>
                        </w:rPr>
                        <w:t>human</w:t>
                      </w:r>
                      <w:r>
                        <w:rPr>
                          <w:color w:val="000000"/>
                          <w:spacing w:val="-12"/>
                        </w:rPr>
                        <w:t xml:space="preserve"> </w:t>
                      </w:r>
                      <w:r>
                        <w:rPr>
                          <w:color w:val="000000"/>
                        </w:rPr>
                        <w:t>rights</w:t>
                      </w:r>
                      <w:r>
                        <w:rPr>
                          <w:color w:val="000000"/>
                          <w:spacing w:val="-10"/>
                        </w:rPr>
                        <w:t xml:space="preserve"> </w:t>
                      </w:r>
                      <w:r>
                        <w:rPr>
                          <w:color w:val="000000"/>
                        </w:rPr>
                        <w:t>enactment. The phase-in period should be over a two-year period.</w:t>
                      </w:r>
                    </w:p>
                  </w:txbxContent>
                </v:textbox>
                <w10:wrap type="topAndBottom" anchorx="page"/>
              </v:shape>
            </w:pict>
          </mc:Fallback>
        </mc:AlternateContent>
      </w:r>
    </w:p>
    <w:p w14:paraId="7CB2632E" w14:textId="77777777" w:rsidR="008A4099" w:rsidRDefault="008A4099">
      <w:pPr>
        <w:pStyle w:val="BodyText"/>
        <w:rPr>
          <w:sz w:val="20"/>
        </w:rPr>
      </w:pPr>
    </w:p>
    <w:p w14:paraId="7CB2632F" w14:textId="77777777" w:rsidR="008A4099" w:rsidRDefault="008A4099">
      <w:pPr>
        <w:pStyle w:val="BodyText"/>
        <w:rPr>
          <w:sz w:val="20"/>
        </w:rPr>
      </w:pPr>
    </w:p>
    <w:p w14:paraId="7CB26330" w14:textId="77777777" w:rsidR="008A4099" w:rsidRDefault="008A4099">
      <w:pPr>
        <w:pStyle w:val="BodyText"/>
        <w:rPr>
          <w:sz w:val="20"/>
        </w:rPr>
      </w:pPr>
    </w:p>
    <w:p w14:paraId="7CB26331" w14:textId="77777777" w:rsidR="008A4099" w:rsidRDefault="008A4099">
      <w:pPr>
        <w:pStyle w:val="BodyText"/>
        <w:rPr>
          <w:sz w:val="20"/>
        </w:rPr>
      </w:pPr>
    </w:p>
    <w:p w14:paraId="7CB26332" w14:textId="77777777" w:rsidR="008A4099" w:rsidRDefault="008A4099">
      <w:pPr>
        <w:pStyle w:val="BodyText"/>
        <w:rPr>
          <w:sz w:val="20"/>
        </w:rPr>
      </w:pPr>
    </w:p>
    <w:p w14:paraId="7CB26333" w14:textId="77777777" w:rsidR="008A4099" w:rsidRDefault="008A4099">
      <w:pPr>
        <w:pStyle w:val="BodyText"/>
        <w:rPr>
          <w:sz w:val="20"/>
        </w:rPr>
      </w:pPr>
    </w:p>
    <w:p w14:paraId="7CB26334" w14:textId="77777777" w:rsidR="008A4099" w:rsidRDefault="008A4099">
      <w:pPr>
        <w:pStyle w:val="BodyText"/>
        <w:rPr>
          <w:sz w:val="20"/>
        </w:rPr>
      </w:pPr>
    </w:p>
    <w:p w14:paraId="7CB26335" w14:textId="77777777" w:rsidR="008A4099" w:rsidRDefault="008A4099">
      <w:pPr>
        <w:pStyle w:val="BodyText"/>
        <w:rPr>
          <w:sz w:val="20"/>
        </w:rPr>
      </w:pPr>
    </w:p>
    <w:p w14:paraId="7CB26336" w14:textId="77777777" w:rsidR="008A4099" w:rsidRDefault="008A4099">
      <w:pPr>
        <w:pStyle w:val="BodyText"/>
        <w:rPr>
          <w:sz w:val="20"/>
        </w:rPr>
      </w:pPr>
    </w:p>
    <w:p w14:paraId="7CB26337" w14:textId="77777777" w:rsidR="008A4099" w:rsidRDefault="008A4099">
      <w:pPr>
        <w:pStyle w:val="BodyText"/>
        <w:rPr>
          <w:sz w:val="20"/>
        </w:rPr>
      </w:pPr>
    </w:p>
    <w:p w14:paraId="7CB26338" w14:textId="77777777" w:rsidR="008A4099" w:rsidRDefault="008A4099">
      <w:pPr>
        <w:pStyle w:val="BodyText"/>
        <w:rPr>
          <w:sz w:val="20"/>
        </w:rPr>
      </w:pPr>
    </w:p>
    <w:p w14:paraId="7CB26339" w14:textId="77777777" w:rsidR="008A4099" w:rsidRDefault="008A4099">
      <w:pPr>
        <w:pStyle w:val="BodyText"/>
        <w:rPr>
          <w:sz w:val="20"/>
        </w:rPr>
      </w:pPr>
    </w:p>
    <w:p w14:paraId="7CB2633A" w14:textId="77777777" w:rsidR="008A4099" w:rsidRDefault="008A4099">
      <w:pPr>
        <w:pStyle w:val="BodyText"/>
        <w:rPr>
          <w:sz w:val="20"/>
        </w:rPr>
      </w:pPr>
    </w:p>
    <w:p w14:paraId="7CB2633B" w14:textId="77777777" w:rsidR="008A4099" w:rsidRDefault="008A4099">
      <w:pPr>
        <w:pStyle w:val="BodyText"/>
        <w:rPr>
          <w:sz w:val="20"/>
        </w:rPr>
      </w:pPr>
    </w:p>
    <w:p w14:paraId="7CB2633C" w14:textId="77777777" w:rsidR="008A4099" w:rsidRDefault="008A4099">
      <w:pPr>
        <w:pStyle w:val="BodyText"/>
        <w:rPr>
          <w:sz w:val="20"/>
        </w:rPr>
      </w:pPr>
    </w:p>
    <w:p w14:paraId="7CB2633D" w14:textId="77777777" w:rsidR="008A4099" w:rsidRDefault="008A4099">
      <w:pPr>
        <w:pStyle w:val="BodyText"/>
        <w:rPr>
          <w:sz w:val="20"/>
        </w:rPr>
      </w:pPr>
    </w:p>
    <w:p w14:paraId="7CB2633E" w14:textId="77777777" w:rsidR="008A4099" w:rsidRDefault="008A4099">
      <w:pPr>
        <w:pStyle w:val="BodyText"/>
        <w:rPr>
          <w:sz w:val="20"/>
        </w:rPr>
      </w:pPr>
    </w:p>
    <w:p w14:paraId="7CB2633F" w14:textId="77777777" w:rsidR="008A4099" w:rsidRDefault="008A4099">
      <w:pPr>
        <w:pStyle w:val="BodyText"/>
        <w:rPr>
          <w:sz w:val="20"/>
        </w:rPr>
      </w:pPr>
    </w:p>
    <w:p w14:paraId="7CB26340" w14:textId="77777777" w:rsidR="008A4099" w:rsidRDefault="008A4099">
      <w:pPr>
        <w:pStyle w:val="BodyText"/>
        <w:rPr>
          <w:sz w:val="20"/>
        </w:rPr>
      </w:pPr>
    </w:p>
    <w:p w14:paraId="7CB26341" w14:textId="77777777" w:rsidR="008A4099" w:rsidRDefault="008A4099">
      <w:pPr>
        <w:pStyle w:val="BodyText"/>
        <w:rPr>
          <w:sz w:val="20"/>
        </w:rPr>
      </w:pPr>
    </w:p>
    <w:p w14:paraId="7CB26342" w14:textId="77777777" w:rsidR="008A4099" w:rsidRDefault="008A4099">
      <w:pPr>
        <w:pStyle w:val="BodyText"/>
        <w:rPr>
          <w:sz w:val="20"/>
        </w:rPr>
      </w:pPr>
    </w:p>
    <w:p w14:paraId="7CB26343" w14:textId="77777777" w:rsidR="008A4099" w:rsidRDefault="008A4099">
      <w:pPr>
        <w:pStyle w:val="BodyText"/>
        <w:rPr>
          <w:sz w:val="20"/>
        </w:rPr>
      </w:pPr>
    </w:p>
    <w:p w14:paraId="7CB26344" w14:textId="77777777" w:rsidR="008A4099" w:rsidRDefault="008A4099">
      <w:pPr>
        <w:pStyle w:val="BodyText"/>
        <w:rPr>
          <w:sz w:val="20"/>
        </w:rPr>
      </w:pPr>
    </w:p>
    <w:p w14:paraId="7CB26345" w14:textId="77777777" w:rsidR="008A4099" w:rsidRDefault="008A4099">
      <w:pPr>
        <w:pStyle w:val="BodyText"/>
        <w:rPr>
          <w:sz w:val="20"/>
        </w:rPr>
      </w:pPr>
    </w:p>
    <w:p w14:paraId="7CB26346" w14:textId="77777777" w:rsidR="008A4099" w:rsidRDefault="008A4099">
      <w:pPr>
        <w:pStyle w:val="BodyText"/>
        <w:rPr>
          <w:sz w:val="20"/>
        </w:rPr>
      </w:pPr>
    </w:p>
    <w:p w14:paraId="7CB26347" w14:textId="77777777" w:rsidR="008A4099" w:rsidRDefault="008A4099">
      <w:pPr>
        <w:pStyle w:val="BodyText"/>
        <w:rPr>
          <w:sz w:val="20"/>
        </w:rPr>
      </w:pPr>
    </w:p>
    <w:p w14:paraId="7CB26348" w14:textId="77777777" w:rsidR="008A4099" w:rsidRDefault="008A4099">
      <w:pPr>
        <w:pStyle w:val="BodyText"/>
        <w:rPr>
          <w:sz w:val="20"/>
        </w:rPr>
      </w:pPr>
    </w:p>
    <w:p w14:paraId="7CB26349" w14:textId="77777777" w:rsidR="008A4099" w:rsidRDefault="006A6EE2">
      <w:pPr>
        <w:pStyle w:val="BodyText"/>
        <w:spacing w:before="7"/>
        <w:rPr>
          <w:sz w:val="20"/>
        </w:rPr>
      </w:pPr>
      <w:r>
        <w:rPr>
          <w:noProof/>
        </w:rPr>
        <mc:AlternateContent>
          <mc:Choice Requires="wps">
            <w:drawing>
              <wp:anchor distT="0" distB="0" distL="0" distR="0" simplePos="0" relativeHeight="487643136" behindDoc="1" locked="0" layoutInCell="1" allowOverlap="1" wp14:anchorId="7CB266B1" wp14:editId="7CB266B2">
                <wp:simplePos x="0" y="0"/>
                <wp:positionH relativeFrom="page">
                  <wp:posOffset>914704</wp:posOffset>
                </wp:positionH>
                <wp:positionV relativeFrom="paragraph">
                  <wp:posOffset>166273</wp:posOffset>
                </wp:positionV>
                <wp:extent cx="1829435" cy="762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AD53F7" id="Graphic 156" o:spid="_x0000_s1026" style="position:absolute;margin-left:1in;margin-top:13.1pt;width:144.05pt;height:.6pt;z-index:-156733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" path="m1829054,l,,,7619r1829054,l1829054,xe" fillcolor="black" stroked="f">
                <v:path arrowok="t"/>
                <w10:wrap type="topAndBottom" anchorx="page"/>
              </v:shape>
            </w:pict>
          </mc:Fallback>
        </mc:AlternateContent>
      </w:r>
    </w:p>
    <w:p w14:paraId="7CB2634A" w14:textId="77777777" w:rsidR="008A4099" w:rsidRDefault="006A6EE2">
      <w:pPr>
        <w:spacing w:before="112"/>
        <w:ind w:left="160"/>
        <w:rPr>
          <w:sz w:val="18"/>
        </w:rPr>
      </w:pPr>
      <w:r>
        <w:rPr>
          <w:sz w:val="18"/>
          <w:vertAlign w:val="superscript"/>
        </w:rPr>
        <w:t>525</w:t>
      </w:r>
      <w:r>
        <w:rPr>
          <w:spacing w:val="6"/>
          <w:sz w:val="18"/>
        </w:rPr>
        <w:t xml:space="preserve"> </w:t>
      </w:r>
      <w:r>
        <w:rPr>
          <w:sz w:val="18"/>
        </w:rPr>
        <w:t>Ibid</w:t>
      </w:r>
      <w:r>
        <w:rPr>
          <w:spacing w:val="6"/>
          <w:sz w:val="18"/>
        </w:rPr>
        <w:t xml:space="preserve"> </w:t>
      </w:r>
      <w:r>
        <w:rPr>
          <w:spacing w:val="-5"/>
          <w:sz w:val="18"/>
        </w:rPr>
        <w:t>9.</w:t>
      </w:r>
    </w:p>
    <w:p w14:paraId="7CB2634B" w14:textId="77777777" w:rsidR="008A4099" w:rsidRDefault="008A4099">
      <w:pPr>
        <w:rPr>
          <w:sz w:val="18"/>
        </w:rPr>
        <w:sectPr w:rsidR="008A4099" w:rsidSect="00D43B2D">
          <w:pgSz w:w="11910" w:h="16840"/>
          <w:pgMar w:top="980" w:right="760" w:bottom="940" w:left="1280" w:header="718" w:footer="753" w:gutter="0"/>
          <w:cols w:space="720"/>
        </w:sectPr>
      </w:pPr>
    </w:p>
    <w:p w14:paraId="7CB2634C" w14:textId="77777777" w:rsidR="008A4099" w:rsidRDefault="008A4099">
      <w:pPr>
        <w:pStyle w:val="BodyText"/>
        <w:spacing w:before="339"/>
        <w:rPr>
          <w:sz w:val="32"/>
        </w:rPr>
      </w:pPr>
    </w:p>
    <w:p w14:paraId="7CB2634D" w14:textId="77777777" w:rsidR="008A4099" w:rsidRDefault="006A6EE2">
      <w:pPr>
        <w:pStyle w:val="Heading2"/>
        <w:ind w:left="160" w:firstLine="0"/>
        <w:jc w:val="left"/>
      </w:pPr>
      <w:r>
        <w:t>Appendix</w:t>
      </w:r>
      <w:r>
        <w:rPr>
          <w:spacing w:val="-14"/>
        </w:rPr>
        <w:t xml:space="preserve"> </w:t>
      </w:r>
      <w:r>
        <w:rPr>
          <w:spacing w:val="-10"/>
        </w:rPr>
        <w:t>A</w:t>
      </w:r>
    </w:p>
    <w:p w14:paraId="7CB2634E" w14:textId="77777777" w:rsidR="008A4099" w:rsidRDefault="008A4099">
      <w:pPr>
        <w:pStyle w:val="BodyText"/>
        <w:spacing w:before="272"/>
        <w:rPr>
          <w:b/>
          <w:sz w:val="32"/>
        </w:rPr>
      </w:pPr>
    </w:p>
    <w:p w14:paraId="7CB2634F" w14:textId="77777777" w:rsidR="008A4099" w:rsidRDefault="006A6EE2">
      <w:pPr>
        <w:ind w:left="160"/>
        <w:rPr>
          <w:b/>
          <w:sz w:val="32"/>
        </w:rPr>
      </w:pPr>
      <w:r>
        <w:rPr>
          <w:b/>
          <w:sz w:val="32"/>
        </w:rPr>
        <w:t>TLRI</w:t>
      </w:r>
      <w:r>
        <w:rPr>
          <w:b/>
          <w:spacing w:val="-9"/>
          <w:sz w:val="32"/>
        </w:rPr>
        <w:t xml:space="preserve"> </w:t>
      </w:r>
      <w:r>
        <w:rPr>
          <w:b/>
          <w:sz w:val="32"/>
        </w:rPr>
        <w:t>2007</w:t>
      </w:r>
      <w:r>
        <w:rPr>
          <w:b/>
          <w:spacing w:val="-8"/>
          <w:sz w:val="32"/>
        </w:rPr>
        <w:t xml:space="preserve"> </w:t>
      </w:r>
      <w:r>
        <w:rPr>
          <w:b/>
          <w:sz w:val="32"/>
        </w:rPr>
        <w:t>Final</w:t>
      </w:r>
      <w:r>
        <w:rPr>
          <w:b/>
          <w:spacing w:val="-9"/>
          <w:sz w:val="32"/>
        </w:rPr>
        <w:t xml:space="preserve"> </w:t>
      </w:r>
      <w:r>
        <w:rPr>
          <w:b/>
          <w:sz w:val="32"/>
        </w:rPr>
        <w:t>Report:</w:t>
      </w:r>
      <w:r>
        <w:rPr>
          <w:b/>
          <w:spacing w:val="-8"/>
          <w:sz w:val="32"/>
        </w:rPr>
        <w:t xml:space="preserve"> </w:t>
      </w:r>
      <w:r>
        <w:rPr>
          <w:b/>
          <w:spacing w:val="-2"/>
          <w:sz w:val="32"/>
        </w:rPr>
        <w:t>Recommendations</w:t>
      </w:r>
    </w:p>
    <w:p w14:paraId="7CB26350" w14:textId="77777777" w:rsidR="008A4099" w:rsidRDefault="008A4099">
      <w:pPr>
        <w:pStyle w:val="BodyText"/>
        <w:spacing w:before="274"/>
        <w:rPr>
          <w:b/>
          <w:sz w:val="32"/>
        </w:rPr>
      </w:pPr>
    </w:p>
    <w:p w14:paraId="7CB26351" w14:textId="77777777" w:rsidR="008A4099" w:rsidRDefault="006A6EE2">
      <w:pPr>
        <w:pStyle w:val="Heading5"/>
      </w:pPr>
      <w:r>
        <w:t>Recommendation</w:t>
      </w:r>
      <w:r>
        <w:rPr>
          <w:spacing w:val="-6"/>
        </w:rPr>
        <w:t xml:space="preserve"> </w:t>
      </w:r>
      <w:r>
        <w:t>1</w:t>
      </w:r>
      <w:r>
        <w:rPr>
          <w:spacing w:val="-4"/>
        </w:rPr>
        <w:t xml:space="preserve"> </w:t>
      </w:r>
      <w:r>
        <w:t>–</w:t>
      </w:r>
      <w:r>
        <w:rPr>
          <w:spacing w:val="-4"/>
        </w:rPr>
        <w:t xml:space="preserve"> </w:t>
      </w:r>
      <w:r>
        <w:t>Enhanced</w:t>
      </w:r>
      <w:r>
        <w:rPr>
          <w:spacing w:val="-4"/>
        </w:rPr>
        <w:t xml:space="preserve"> </w:t>
      </w:r>
      <w:r>
        <w:t>protection</w:t>
      </w:r>
      <w:r>
        <w:rPr>
          <w:spacing w:val="-4"/>
        </w:rPr>
        <w:t xml:space="preserve"> </w:t>
      </w:r>
      <w:r>
        <w:t>of</w:t>
      </w:r>
      <w:r>
        <w:rPr>
          <w:spacing w:val="-4"/>
        </w:rPr>
        <w:t xml:space="preserve"> </w:t>
      </w:r>
      <w:r>
        <w:t>human</w:t>
      </w:r>
      <w:r>
        <w:rPr>
          <w:spacing w:val="-3"/>
        </w:rPr>
        <w:t xml:space="preserve"> </w:t>
      </w:r>
      <w:r>
        <w:rPr>
          <w:spacing w:val="-2"/>
        </w:rPr>
        <w:t>rights</w:t>
      </w:r>
    </w:p>
    <w:p w14:paraId="7CB26352" w14:textId="77777777" w:rsidR="008A4099" w:rsidRDefault="006A6EE2">
      <w:pPr>
        <w:pStyle w:val="BodyText"/>
        <w:spacing w:before="220"/>
        <w:ind w:left="160" w:right="680"/>
      </w:pPr>
      <w:r>
        <w:t>The Tasmanian Law Reform Institute recommends that the law be reformed to provide and promote specific, better and accessible protection for human rights.</w:t>
      </w:r>
    </w:p>
    <w:p w14:paraId="7CB26353" w14:textId="77777777" w:rsidR="008A4099" w:rsidRDefault="008A4099">
      <w:pPr>
        <w:pStyle w:val="BodyText"/>
        <w:spacing w:before="108"/>
      </w:pPr>
    </w:p>
    <w:p w14:paraId="7CB26354" w14:textId="77777777" w:rsidR="008A4099" w:rsidRDefault="006A6EE2">
      <w:pPr>
        <w:pStyle w:val="Heading5"/>
      </w:pPr>
      <w:r>
        <w:t>Recommendation</w:t>
      </w:r>
      <w:r>
        <w:rPr>
          <w:spacing w:val="-3"/>
        </w:rPr>
        <w:t xml:space="preserve"> </w:t>
      </w:r>
      <w:r>
        <w:t>2</w:t>
      </w:r>
      <w:r>
        <w:rPr>
          <w:spacing w:val="-3"/>
        </w:rPr>
        <w:t xml:space="preserve"> </w:t>
      </w:r>
      <w:r>
        <w:t>–</w:t>
      </w:r>
      <w:r>
        <w:rPr>
          <w:spacing w:val="-3"/>
        </w:rPr>
        <w:t xml:space="preserve"> </w:t>
      </w:r>
      <w:r>
        <w:t>A</w:t>
      </w:r>
      <w:r>
        <w:rPr>
          <w:spacing w:val="-4"/>
        </w:rPr>
        <w:t xml:space="preserve"> </w:t>
      </w:r>
      <w:r>
        <w:t>Tasmanian</w:t>
      </w:r>
      <w:r>
        <w:rPr>
          <w:spacing w:val="-3"/>
        </w:rPr>
        <w:t xml:space="preserve"> </w:t>
      </w:r>
      <w:r>
        <w:t>Charter</w:t>
      </w:r>
      <w:r>
        <w:rPr>
          <w:spacing w:val="-5"/>
        </w:rPr>
        <w:t xml:space="preserve"> </w:t>
      </w:r>
      <w:r>
        <w:t>of</w:t>
      </w:r>
      <w:r>
        <w:rPr>
          <w:spacing w:val="-5"/>
        </w:rPr>
        <w:t xml:space="preserve"> </w:t>
      </w:r>
      <w:r>
        <w:t>Human</w:t>
      </w:r>
      <w:r>
        <w:rPr>
          <w:spacing w:val="-2"/>
        </w:rPr>
        <w:t xml:space="preserve"> Rights</w:t>
      </w:r>
    </w:p>
    <w:p w14:paraId="7CB26355" w14:textId="77777777" w:rsidR="008A4099" w:rsidRDefault="006A6EE2">
      <w:pPr>
        <w:pStyle w:val="BodyText"/>
        <w:spacing w:before="220"/>
        <w:ind w:left="160" w:right="680"/>
      </w:pPr>
      <w:r>
        <w:t xml:space="preserve">The Tasmanian Law Reform Institute recommends the enactment of a Tasmanian Charter of Human </w:t>
      </w:r>
      <w:r>
        <w:rPr>
          <w:spacing w:val="-2"/>
        </w:rPr>
        <w:t>Rights.</w:t>
      </w:r>
    </w:p>
    <w:p w14:paraId="7CB26356" w14:textId="77777777" w:rsidR="008A4099" w:rsidRDefault="008A4099">
      <w:pPr>
        <w:pStyle w:val="BodyText"/>
        <w:spacing w:before="107"/>
      </w:pPr>
    </w:p>
    <w:p w14:paraId="7CB26357" w14:textId="77777777" w:rsidR="008A4099" w:rsidRDefault="006A6EE2">
      <w:pPr>
        <w:pStyle w:val="Heading5"/>
      </w:pPr>
      <w:r>
        <w:t>Recommendation</w:t>
      </w:r>
      <w:r>
        <w:rPr>
          <w:spacing w:val="-4"/>
        </w:rPr>
        <w:t xml:space="preserve"> </w:t>
      </w:r>
      <w:r>
        <w:t>3</w:t>
      </w:r>
      <w:r>
        <w:rPr>
          <w:spacing w:val="-3"/>
        </w:rPr>
        <w:t xml:space="preserve"> </w:t>
      </w:r>
      <w:r>
        <w:t>–</w:t>
      </w:r>
      <w:r>
        <w:rPr>
          <w:spacing w:val="-3"/>
        </w:rPr>
        <w:t xml:space="preserve"> </w:t>
      </w:r>
      <w:r>
        <w:t>Form</w:t>
      </w:r>
      <w:r>
        <w:rPr>
          <w:spacing w:val="-4"/>
        </w:rPr>
        <w:t xml:space="preserve"> </w:t>
      </w:r>
      <w:r>
        <w:t>of</w:t>
      </w:r>
      <w:r>
        <w:rPr>
          <w:spacing w:val="-3"/>
        </w:rPr>
        <w:t xml:space="preserve"> </w:t>
      </w:r>
      <w:r>
        <w:t>Tasmanian</w:t>
      </w:r>
      <w:r>
        <w:rPr>
          <w:spacing w:val="-3"/>
        </w:rPr>
        <w:t xml:space="preserve"> </w:t>
      </w:r>
      <w:r>
        <w:rPr>
          <w:spacing w:val="-2"/>
        </w:rPr>
        <w:t>Charter</w:t>
      </w:r>
    </w:p>
    <w:p w14:paraId="7CB26358" w14:textId="77777777" w:rsidR="008A4099" w:rsidRDefault="006A6EE2">
      <w:pPr>
        <w:pStyle w:val="ListParagraph"/>
        <w:numPr>
          <w:ilvl w:val="0"/>
          <w:numId w:val="2"/>
        </w:numPr>
        <w:tabs>
          <w:tab w:val="left" w:pos="729"/>
        </w:tabs>
        <w:spacing w:line="242" w:lineRule="auto"/>
        <w:ind w:right="681"/>
      </w:pPr>
      <w:r>
        <w:t>The Institute recommends that a Tasmanian Charter of Human Rights should be enacted as an ordinary statute.</w:t>
      </w:r>
    </w:p>
    <w:p w14:paraId="7CB26359" w14:textId="77777777" w:rsidR="008A4099" w:rsidRDefault="006A6EE2">
      <w:pPr>
        <w:pStyle w:val="ListParagraph"/>
        <w:numPr>
          <w:ilvl w:val="0"/>
          <w:numId w:val="2"/>
        </w:numPr>
        <w:tabs>
          <w:tab w:val="left" w:pos="729"/>
        </w:tabs>
        <w:spacing w:before="176" w:line="249" w:lineRule="auto"/>
        <w:ind w:right="677"/>
      </w:pPr>
      <w:r>
        <w:t>The Institute further recommends that prescribed reviews of the Charter should include an assessment</w:t>
      </w:r>
      <w:r>
        <w:rPr>
          <w:spacing w:val="-4"/>
        </w:rPr>
        <w:t xml:space="preserve"> </w:t>
      </w:r>
      <w:r>
        <w:t>of</w:t>
      </w:r>
      <w:r>
        <w:rPr>
          <w:spacing w:val="-4"/>
        </w:rPr>
        <w:t xml:space="preserve"> </w:t>
      </w:r>
      <w:r>
        <w:t>the</w:t>
      </w:r>
      <w:r>
        <w:rPr>
          <w:spacing w:val="-4"/>
        </w:rPr>
        <w:t xml:space="preserve"> </w:t>
      </w:r>
      <w:r>
        <w:t>success</w:t>
      </w:r>
      <w:r>
        <w:rPr>
          <w:spacing w:val="-6"/>
        </w:rPr>
        <w:t xml:space="preserve"> </w:t>
      </w:r>
      <w:r>
        <w:t>of</w:t>
      </w:r>
      <w:r>
        <w:rPr>
          <w:spacing w:val="-4"/>
        </w:rPr>
        <w:t xml:space="preserve"> </w:t>
      </w:r>
      <w:r>
        <w:t>this</w:t>
      </w:r>
      <w:r>
        <w:rPr>
          <w:spacing w:val="-7"/>
        </w:rPr>
        <w:t xml:space="preserve"> </w:t>
      </w:r>
      <w:r>
        <w:t>model</w:t>
      </w:r>
      <w:r>
        <w:rPr>
          <w:spacing w:val="-6"/>
        </w:rPr>
        <w:t xml:space="preserve"> </w:t>
      </w:r>
      <w:r>
        <w:t>and</w:t>
      </w:r>
      <w:r>
        <w:rPr>
          <w:spacing w:val="-7"/>
        </w:rPr>
        <w:t xml:space="preserve"> </w:t>
      </w:r>
      <w:r>
        <w:t>consideration</w:t>
      </w:r>
      <w:r>
        <w:rPr>
          <w:spacing w:val="-5"/>
        </w:rPr>
        <w:t xml:space="preserve"> </w:t>
      </w:r>
      <w:r>
        <w:t>of</w:t>
      </w:r>
      <w:r>
        <w:rPr>
          <w:spacing w:val="-6"/>
        </w:rPr>
        <w:t xml:space="preserve"> </w:t>
      </w:r>
      <w:r>
        <w:t>whether</w:t>
      </w:r>
      <w:r>
        <w:rPr>
          <w:spacing w:val="-6"/>
        </w:rPr>
        <w:t xml:space="preserve"> </w:t>
      </w:r>
      <w:r>
        <w:t>it</w:t>
      </w:r>
      <w:r>
        <w:rPr>
          <w:spacing w:val="-4"/>
        </w:rPr>
        <w:t xml:space="preserve"> </w:t>
      </w:r>
      <w:r>
        <w:t>should</w:t>
      </w:r>
      <w:r>
        <w:rPr>
          <w:spacing w:val="-7"/>
        </w:rPr>
        <w:t xml:space="preserve"> </w:t>
      </w:r>
      <w:r>
        <w:t>be</w:t>
      </w:r>
      <w:r>
        <w:rPr>
          <w:spacing w:val="-7"/>
        </w:rPr>
        <w:t xml:space="preserve"> </w:t>
      </w:r>
      <w:r>
        <w:t>replaced</w:t>
      </w:r>
      <w:r>
        <w:rPr>
          <w:spacing w:val="-7"/>
        </w:rPr>
        <w:t xml:space="preserve"> </w:t>
      </w:r>
      <w:r>
        <w:t>by</w:t>
      </w:r>
      <w:r>
        <w:rPr>
          <w:spacing w:val="-5"/>
        </w:rPr>
        <w:t xml:space="preserve"> </w:t>
      </w:r>
      <w:r>
        <w:t>an entrenched model or some other model.</w:t>
      </w:r>
    </w:p>
    <w:p w14:paraId="7CB2635A" w14:textId="77777777" w:rsidR="008A4099" w:rsidRDefault="008A4099">
      <w:pPr>
        <w:pStyle w:val="BodyText"/>
        <w:spacing w:before="118"/>
      </w:pPr>
    </w:p>
    <w:p w14:paraId="7CB2635B" w14:textId="77777777" w:rsidR="008A4099" w:rsidRDefault="006A6EE2">
      <w:pPr>
        <w:pStyle w:val="Heading5"/>
      </w:pPr>
      <w:r>
        <w:t>Recommendation</w:t>
      </w:r>
      <w:r>
        <w:rPr>
          <w:spacing w:val="-3"/>
        </w:rPr>
        <w:t xml:space="preserve"> </w:t>
      </w:r>
      <w:r>
        <w:t>4</w:t>
      </w:r>
      <w:r>
        <w:rPr>
          <w:spacing w:val="-3"/>
        </w:rPr>
        <w:t xml:space="preserve"> </w:t>
      </w:r>
      <w:r>
        <w:t>–</w:t>
      </w:r>
      <w:r>
        <w:rPr>
          <w:spacing w:val="-3"/>
        </w:rPr>
        <w:t xml:space="preserve"> </w:t>
      </w:r>
      <w:r>
        <w:t>Whose</w:t>
      </w:r>
      <w:r>
        <w:rPr>
          <w:spacing w:val="-3"/>
        </w:rPr>
        <w:t xml:space="preserve"> </w:t>
      </w:r>
      <w:r>
        <w:t>rights</w:t>
      </w:r>
      <w:r>
        <w:rPr>
          <w:spacing w:val="-3"/>
        </w:rPr>
        <w:t xml:space="preserve"> </w:t>
      </w:r>
      <w:r>
        <w:t>should</w:t>
      </w:r>
      <w:r>
        <w:rPr>
          <w:spacing w:val="-3"/>
        </w:rPr>
        <w:t xml:space="preserve"> </w:t>
      </w:r>
      <w:r>
        <w:t>be</w:t>
      </w:r>
      <w:r>
        <w:rPr>
          <w:spacing w:val="-3"/>
        </w:rPr>
        <w:t xml:space="preserve"> </w:t>
      </w:r>
      <w:r>
        <w:rPr>
          <w:spacing w:val="-2"/>
        </w:rPr>
        <w:t>protected?</w:t>
      </w:r>
    </w:p>
    <w:p w14:paraId="7CB2635C" w14:textId="77777777" w:rsidR="008A4099" w:rsidRDefault="006A6EE2">
      <w:pPr>
        <w:pStyle w:val="ListParagraph"/>
        <w:numPr>
          <w:ilvl w:val="0"/>
          <w:numId w:val="2"/>
        </w:numPr>
        <w:tabs>
          <w:tab w:val="left" w:pos="729"/>
        </w:tabs>
        <w:spacing w:before="223" w:line="252" w:lineRule="auto"/>
        <w:ind w:right="674"/>
      </w:pPr>
      <w:r>
        <w:t>The</w:t>
      </w:r>
      <w:r>
        <w:rPr>
          <w:spacing w:val="-7"/>
        </w:rPr>
        <w:t xml:space="preserve"> </w:t>
      </w:r>
      <w:r>
        <w:t>Tasmanian</w:t>
      </w:r>
      <w:r>
        <w:rPr>
          <w:spacing w:val="-9"/>
        </w:rPr>
        <w:t xml:space="preserve"> </w:t>
      </w:r>
      <w:r>
        <w:t>Law</w:t>
      </w:r>
      <w:r>
        <w:rPr>
          <w:spacing w:val="-8"/>
        </w:rPr>
        <w:t xml:space="preserve"> </w:t>
      </w:r>
      <w:r>
        <w:t>Reform</w:t>
      </w:r>
      <w:r>
        <w:rPr>
          <w:spacing w:val="-6"/>
        </w:rPr>
        <w:t xml:space="preserve"> </w:t>
      </w:r>
      <w:r>
        <w:t>Institute</w:t>
      </w:r>
      <w:r>
        <w:rPr>
          <w:spacing w:val="-9"/>
        </w:rPr>
        <w:t xml:space="preserve"> </w:t>
      </w:r>
      <w:r>
        <w:t>recommends</w:t>
      </w:r>
      <w:r>
        <w:rPr>
          <w:spacing w:val="-9"/>
        </w:rPr>
        <w:t xml:space="preserve"> </w:t>
      </w:r>
      <w:r>
        <w:t>that</w:t>
      </w:r>
      <w:r>
        <w:rPr>
          <w:spacing w:val="-6"/>
        </w:rPr>
        <w:t xml:space="preserve"> </w:t>
      </w:r>
      <w:r>
        <w:t>human</w:t>
      </w:r>
      <w:r>
        <w:rPr>
          <w:spacing w:val="-9"/>
        </w:rPr>
        <w:t xml:space="preserve"> </w:t>
      </w:r>
      <w:r>
        <w:t>rights</w:t>
      </w:r>
      <w:r>
        <w:rPr>
          <w:spacing w:val="-9"/>
        </w:rPr>
        <w:t xml:space="preserve"> </w:t>
      </w:r>
      <w:r>
        <w:t>protections</w:t>
      </w:r>
      <w:r>
        <w:rPr>
          <w:spacing w:val="-9"/>
        </w:rPr>
        <w:t xml:space="preserve"> </w:t>
      </w:r>
      <w:r>
        <w:t>in</w:t>
      </w:r>
      <w:r>
        <w:rPr>
          <w:spacing w:val="-7"/>
        </w:rPr>
        <w:t xml:space="preserve"> </w:t>
      </w:r>
      <w:r>
        <w:t>a</w:t>
      </w:r>
      <w:r>
        <w:rPr>
          <w:spacing w:val="-7"/>
        </w:rPr>
        <w:t xml:space="preserve"> </w:t>
      </w:r>
      <w:r>
        <w:t>Tasmanian Charter of Human Rights should apply to all people in Tasmania regardless of their status as Tasmanian</w:t>
      </w:r>
      <w:r>
        <w:rPr>
          <w:spacing w:val="-12"/>
        </w:rPr>
        <w:t xml:space="preserve"> </w:t>
      </w:r>
      <w:r>
        <w:t>citizens</w:t>
      </w:r>
      <w:r>
        <w:rPr>
          <w:spacing w:val="-11"/>
        </w:rPr>
        <w:t xml:space="preserve"> </w:t>
      </w:r>
      <w:r>
        <w:t>and</w:t>
      </w:r>
      <w:r>
        <w:rPr>
          <w:spacing w:val="-14"/>
        </w:rPr>
        <w:t xml:space="preserve"> </w:t>
      </w:r>
      <w:r>
        <w:t>residents.</w:t>
      </w:r>
      <w:r>
        <w:rPr>
          <w:spacing w:val="-12"/>
        </w:rPr>
        <w:t xml:space="preserve"> </w:t>
      </w:r>
      <w:r>
        <w:t>It</w:t>
      </w:r>
      <w:r>
        <w:rPr>
          <w:spacing w:val="-11"/>
        </w:rPr>
        <w:t xml:space="preserve"> </w:t>
      </w:r>
      <w:r>
        <w:t>should</w:t>
      </w:r>
      <w:r>
        <w:rPr>
          <w:spacing w:val="-12"/>
        </w:rPr>
        <w:t xml:space="preserve"> </w:t>
      </w:r>
      <w:r>
        <w:t>also</w:t>
      </w:r>
      <w:r>
        <w:rPr>
          <w:spacing w:val="-14"/>
        </w:rPr>
        <w:t xml:space="preserve"> </w:t>
      </w:r>
      <w:r>
        <w:t>apply</w:t>
      </w:r>
      <w:r>
        <w:rPr>
          <w:spacing w:val="-12"/>
        </w:rPr>
        <w:t xml:space="preserve"> </w:t>
      </w:r>
      <w:r>
        <w:t>to</w:t>
      </w:r>
      <w:r>
        <w:rPr>
          <w:spacing w:val="-12"/>
        </w:rPr>
        <w:t xml:space="preserve"> </w:t>
      </w:r>
      <w:r>
        <w:t>people</w:t>
      </w:r>
      <w:r>
        <w:rPr>
          <w:spacing w:val="-12"/>
        </w:rPr>
        <w:t xml:space="preserve"> </w:t>
      </w:r>
      <w:r>
        <w:t>who</w:t>
      </w:r>
      <w:r>
        <w:rPr>
          <w:spacing w:val="-12"/>
        </w:rPr>
        <w:t xml:space="preserve"> </w:t>
      </w:r>
      <w:r>
        <w:t>are</w:t>
      </w:r>
      <w:r>
        <w:rPr>
          <w:spacing w:val="-8"/>
        </w:rPr>
        <w:t xml:space="preserve"> </w:t>
      </w:r>
      <w:r>
        <w:t>not</w:t>
      </w:r>
      <w:r>
        <w:rPr>
          <w:spacing w:val="-11"/>
        </w:rPr>
        <w:t xml:space="preserve"> </w:t>
      </w:r>
      <w:r>
        <w:t>in</w:t>
      </w:r>
      <w:r>
        <w:rPr>
          <w:spacing w:val="-12"/>
        </w:rPr>
        <w:t xml:space="preserve"> </w:t>
      </w:r>
      <w:r>
        <w:t>Tasmania</w:t>
      </w:r>
      <w:r>
        <w:rPr>
          <w:spacing w:val="-12"/>
        </w:rPr>
        <w:t xml:space="preserve"> </w:t>
      </w:r>
      <w:r>
        <w:t>but</w:t>
      </w:r>
      <w:r>
        <w:rPr>
          <w:spacing w:val="-11"/>
        </w:rPr>
        <w:t xml:space="preserve"> </w:t>
      </w:r>
      <w:r>
        <w:t>who are affected by Tasmanian laws or decisions of Tasmanian public authorities.</w:t>
      </w:r>
    </w:p>
    <w:p w14:paraId="7CB2635D" w14:textId="77777777" w:rsidR="008A4099" w:rsidRDefault="006A6EE2">
      <w:pPr>
        <w:pStyle w:val="ListParagraph"/>
        <w:numPr>
          <w:ilvl w:val="0"/>
          <w:numId w:val="2"/>
        </w:numPr>
        <w:tabs>
          <w:tab w:val="left" w:pos="729"/>
        </w:tabs>
        <w:spacing w:before="169" w:line="242" w:lineRule="auto"/>
        <w:ind w:right="679"/>
      </w:pPr>
      <w:r>
        <w:t>The Tasmanian Charter should contain express provision to the effect that only human beings have human rights.</w:t>
      </w:r>
    </w:p>
    <w:p w14:paraId="7CB2635E" w14:textId="77777777" w:rsidR="008A4099" w:rsidRDefault="006A6EE2">
      <w:pPr>
        <w:pStyle w:val="ListParagraph"/>
        <w:numPr>
          <w:ilvl w:val="0"/>
          <w:numId w:val="2"/>
        </w:numPr>
        <w:tabs>
          <w:tab w:val="left" w:pos="729"/>
        </w:tabs>
        <w:spacing w:before="179" w:line="249" w:lineRule="auto"/>
        <w:ind w:right="679"/>
      </w:pPr>
      <w:r>
        <w:t xml:space="preserve">The Tasmanian Law Reform Institute recommends that corporations as defined by the </w:t>
      </w:r>
      <w:r>
        <w:rPr>
          <w:i/>
        </w:rPr>
        <w:t>Corporations Act 2001</w:t>
      </w:r>
      <w:r>
        <w:rPr>
          <w:vertAlign w:val="superscript"/>
        </w:rPr>
        <w:t>526</w:t>
      </w:r>
      <w:r>
        <w:t xml:space="preserve"> be expressly excluded from any human rights protection measures in the Tasmanian Charter.</w:t>
      </w:r>
    </w:p>
    <w:p w14:paraId="7CB2635F" w14:textId="77777777" w:rsidR="008A4099" w:rsidRDefault="008A4099">
      <w:pPr>
        <w:pStyle w:val="BodyText"/>
        <w:spacing w:before="115"/>
      </w:pPr>
    </w:p>
    <w:p w14:paraId="7CB26360" w14:textId="77777777" w:rsidR="008A4099" w:rsidRDefault="006A6EE2">
      <w:pPr>
        <w:pStyle w:val="Heading5"/>
      </w:pPr>
      <w:r>
        <w:t>Recommendation</w:t>
      </w:r>
      <w:r>
        <w:rPr>
          <w:spacing w:val="-4"/>
        </w:rPr>
        <w:t xml:space="preserve"> </w:t>
      </w:r>
      <w:r>
        <w:t>5</w:t>
      </w:r>
      <w:r>
        <w:rPr>
          <w:spacing w:val="-3"/>
        </w:rPr>
        <w:t xml:space="preserve"> </w:t>
      </w:r>
      <w:r>
        <w:t>–</w:t>
      </w:r>
      <w:r>
        <w:rPr>
          <w:spacing w:val="-3"/>
        </w:rPr>
        <w:t xml:space="preserve"> </w:t>
      </w:r>
      <w:r>
        <w:t>Statement</w:t>
      </w:r>
      <w:r>
        <w:rPr>
          <w:spacing w:val="-3"/>
        </w:rPr>
        <w:t xml:space="preserve"> </w:t>
      </w:r>
      <w:r>
        <w:t>of</w:t>
      </w:r>
      <w:r>
        <w:rPr>
          <w:spacing w:val="-5"/>
        </w:rPr>
        <w:t xml:space="preserve"> </w:t>
      </w:r>
      <w:r>
        <w:t>whom</w:t>
      </w:r>
      <w:r>
        <w:rPr>
          <w:spacing w:val="-5"/>
        </w:rPr>
        <w:t xml:space="preserve"> </w:t>
      </w:r>
      <w:r>
        <w:t>the</w:t>
      </w:r>
      <w:r>
        <w:rPr>
          <w:spacing w:val="-3"/>
        </w:rPr>
        <w:t xml:space="preserve"> </w:t>
      </w:r>
      <w:r>
        <w:t>Charter</w:t>
      </w:r>
      <w:r>
        <w:rPr>
          <w:spacing w:val="-3"/>
        </w:rPr>
        <w:t xml:space="preserve"> </w:t>
      </w:r>
      <w:r>
        <w:rPr>
          <w:spacing w:val="-2"/>
        </w:rPr>
        <w:t>binds</w:t>
      </w:r>
    </w:p>
    <w:p w14:paraId="7CB26361" w14:textId="77777777" w:rsidR="008A4099" w:rsidRDefault="006A6EE2">
      <w:pPr>
        <w:pStyle w:val="BodyText"/>
        <w:spacing w:before="223"/>
        <w:ind w:left="160"/>
      </w:pPr>
      <w:r>
        <w:t>A</w:t>
      </w:r>
      <w:r>
        <w:rPr>
          <w:spacing w:val="-5"/>
        </w:rPr>
        <w:t xml:space="preserve"> </w:t>
      </w:r>
      <w:r>
        <w:t>Tasmanian</w:t>
      </w:r>
      <w:r>
        <w:rPr>
          <w:spacing w:val="-3"/>
        </w:rPr>
        <w:t xml:space="preserve"> </w:t>
      </w:r>
      <w:r>
        <w:t>Charter</w:t>
      </w:r>
      <w:r>
        <w:rPr>
          <w:spacing w:val="-3"/>
        </w:rPr>
        <w:t xml:space="preserve"> </w:t>
      </w:r>
      <w:r>
        <w:t>of</w:t>
      </w:r>
      <w:r>
        <w:rPr>
          <w:spacing w:val="-3"/>
        </w:rPr>
        <w:t xml:space="preserve"> </w:t>
      </w:r>
      <w:r>
        <w:t>Rights</w:t>
      </w:r>
      <w:r>
        <w:rPr>
          <w:spacing w:val="-5"/>
        </w:rPr>
        <w:t xml:space="preserve"> </w:t>
      </w:r>
      <w:r>
        <w:t>should</w:t>
      </w:r>
      <w:r>
        <w:rPr>
          <w:spacing w:val="-3"/>
        </w:rPr>
        <w:t xml:space="preserve"> </w:t>
      </w:r>
      <w:r>
        <w:t>specify</w:t>
      </w:r>
      <w:r>
        <w:rPr>
          <w:spacing w:val="-3"/>
        </w:rPr>
        <w:t xml:space="preserve"> </w:t>
      </w:r>
      <w:r>
        <w:t>whom</w:t>
      </w:r>
      <w:r>
        <w:rPr>
          <w:spacing w:val="-5"/>
        </w:rPr>
        <w:t xml:space="preserve"> </w:t>
      </w:r>
      <w:r>
        <w:t>it</w:t>
      </w:r>
      <w:r>
        <w:rPr>
          <w:spacing w:val="-2"/>
        </w:rPr>
        <w:t xml:space="preserve"> binds.</w:t>
      </w:r>
    </w:p>
    <w:p w14:paraId="7CB26362" w14:textId="77777777" w:rsidR="008A4099" w:rsidRDefault="008A4099">
      <w:pPr>
        <w:pStyle w:val="BodyText"/>
        <w:rPr>
          <w:sz w:val="20"/>
        </w:rPr>
      </w:pPr>
    </w:p>
    <w:p w14:paraId="7CB26363" w14:textId="77777777" w:rsidR="008A4099" w:rsidRDefault="008A4099">
      <w:pPr>
        <w:pStyle w:val="BodyText"/>
        <w:rPr>
          <w:sz w:val="20"/>
        </w:rPr>
      </w:pPr>
    </w:p>
    <w:p w14:paraId="7CB26364" w14:textId="77777777" w:rsidR="008A4099" w:rsidRDefault="008A4099">
      <w:pPr>
        <w:pStyle w:val="BodyText"/>
        <w:rPr>
          <w:sz w:val="20"/>
        </w:rPr>
      </w:pPr>
    </w:p>
    <w:p w14:paraId="7CB26365" w14:textId="77777777" w:rsidR="008A4099" w:rsidRDefault="008A4099">
      <w:pPr>
        <w:pStyle w:val="BodyText"/>
        <w:rPr>
          <w:sz w:val="20"/>
        </w:rPr>
      </w:pPr>
    </w:p>
    <w:p w14:paraId="7CB26366" w14:textId="77777777" w:rsidR="008A4099" w:rsidRDefault="008A4099">
      <w:pPr>
        <w:pStyle w:val="BodyText"/>
        <w:rPr>
          <w:sz w:val="20"/>
        </w:rPr>
      </w:pPr>
    </w:p>
    <w:p w14:paraId="7CB26367" w14:textId="77777777" w:rsidR="008A4099" w:rsidRDefault="008A4099">
      <w:pPr>
        <w:pStyle w:val="BodyText"/>
        <w:rPr>
          <w:sz w:val="20"/>
        </w:rPr>
      </w:pPr>
    </w:p>
    <w:p w14:paraId="7CB26368" w14:textId="77777777" w:rsidR="008A4099" w:rsidRDefault="008A4099">
      <w:pPr>
        <w:pStyle w:val="BodyText"/>
        <w:rPr>
          <w:sz w:val="20"/>
        </w:rPr>
      </w:pPr>
    </w:p>
    <w:p w14:paraId="7CB26369" w14:textId="77777777" w:rsidR="008A4099" w:rsidRDefault="006A6EE2">
      <w:pPr>
        <w:pStyle w:val="BodyText"/>
        <w:spacing w:before="109"/>
        <w:rPr>
          <w:sz w:val="20"/>
        </w:rPr>
      </w:pPr>
      <w:r>
        <w:rPr>
          <w:noProof/>
        </w:rPr>
        <mc:AlternateContent>
          <mc:Choice Requires="wps">
            <w:drawing>
              <wp:anchor distT="0" distB="0" distL="0" distR="0" simplePos="0" relativeHeight="487643648" behindDoc="1" locked="0" layoutInCell="1" allowOverlap="1" wp14:anchorId="7CB266B3" wp14:editId="7CB266B4">
                <wp:simplePos x="0" y="0"/>
                <wp:positionH relativeFrom="page">
                  <wp:posOffset>914704</wp:posOffset>
                </wp:positionH>
                <wp:positionV relativeFrom="paragraph">
                  <wp:posOffset>230633</wp:posOffset>
                </wp:positionV>
                <wp:extent cx="1829435" cy="762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F1EC67" id="Graphic 163" o:spid="_x0000_s1026" style="position:absolute;margin-left:1in;margin-top:18.15pt;width:144.05pt;height:.6pt;z-index:-156728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" path="m1829054,l,,,7619r1829054,l1829054,xe" fillcolor="black" stroked="f">
                <v:path arrowok="t"/>
                <w10:wrap type="topAndBottom" anchorx="page"/>
              </v:shape>
            </w:pict>
          </mc:Fallback>
        </mc:AlternateContent>
      </w:r>
    </w:p>
    <w:p w14:paraId="7CB2636A" w14:textId="77777777" w:rsidR="008A4099" w:rsidRDefault="006A6EE2">
      <w:pPr>
        <w:spacing w:before="112"/>
        <w:ind w:left="160"/>
        <w:rPr>
          <w:sz w:val="18"/>
        </w:rPr>
      </w:pPr>
      <w:r>
        <w:rPr>
          <w:sz w:val="18"/>
          <w:vertAlign w:val="superscript"/>
        </w:rPr>
        <w:t>526</w:t>
      </w:r>
      <w:r>
        <w:rPr>
          <w:spacing w:val="1"/>
          <w:sz w:val="18"/>
        </w:rPr>
        <w:t xml:space="preserve"> </w:t>
      </w:r>
      <w:r>
        <w:rPr>
          <w:i/>
          <w:sz w:val="18"/>
        </w:rPr>
        <w:t>Corporations</w:t>
      </w:r>
      <w:r>
        <w:rPr>
          <w:i/>
          <w:spacing w:val="1"/>
          <w:sz w:val="18"/>
        </w:rPr>
        <w:t xml:space="preserve"> </w:t>
      </w:r>
      <w:r>
        <w:rPr>
          <w:i/>
          <w:sz w:val="18"/>
        </w:rPr>
        <w:t>Act 2001</w:t>
      </w:r>
      <w:r>
        <w:rPr>
          <w:i/>
          <w:spacing w:val="1"/>
          <w:sz w:val="18"/>
        </w:rPr>
        <w:t xml:space="preserve"> </w:t>
      </w:r>
      <w:r>
        <w:rPr>
          <w:sz w:val="18"/>
        </w:rPr>
        <w:t>(Cth) ss</w:t>
      </w:r>
      <w:r>
        <w:rPr>
          <w:spacing w:val="1"/>
          <w:sz w:val="18"/>
        </w:rPr>
        <w:t xml:space="preserve"> </w:t>
      </w:r>
      <w:r>
        <w:rPr>
          <w:sz w:val="18"/>
        </w:rPr>
        <w:t>9,</w:t>
      </w:r>
      <w:r>
        <w:rPr>
          <w:spacing w:val="1"/>
          <w:sz w:val="18"/>
        </w:rPr>
        <w:t xml:space="preserve"> </w:t>
      </w:r>
      <w:r>
        <w:rPr>
          <w:spacing w:val="-4"/>
          <w:sz w:val="18"/>
        </w:rPr>
        <w:t>57A.</w:t>
      </w:r>
    </w:p>
    <w:p w14:paraId="7CB2636B" w14:textId="77777777" w:rsidR="008A4099" w:rsidRDefault="008A4099">
      <w:pPr>
        <w:rPr>
          <w:sz w:val="18"/>
        </w:rPr>
        <w:sectPr w:rsidR="008A4099" w:rsidSect="00D43B2D">
          <w:headerReference w:type="even" r:id="rId157"/>
          <w:headerReference w:type="default" r:id="rId158"/>
          <w:footerReference w:type="even" r:id="rId159"/>
          <w:footerReference w:type="default" r:id="rId160"/>
          <w:pgSz w:w="11910" w:h="16840"/>
          <w:pgMar w:top="980" w:right="760" w:bottom="940" w:left="1280" w:header="718" w:footer="753" w:gutter="0"/>
          <w:pgNumType w:start="84"/>
          <w:cols w:space="720"/>
        </w:sectPr>
      </w:pPr>
    </w:p>
    <w:p w14:paraId="7CB2636C" w14:textId="77777777" w:rsidR="008A4099" w:rsidRDefault="008A4099">
      <w:pPr>
        <w:pStyle w:val="BodyText"/>
        <w:spacing w:before="196"/>
      </w:pPr>
    </w:p>
    <w:p w14:paraId="7CB2636D" w14:textId="77777777" w:rsidR="008A4099" w:rsidRDefault="006A6EE2">
      <w:pPr>
        <w:pStyle w:val="Heading5"/>
        <w:spacing w:before="1"/>
      </w:pPr>
      <w:r>
        <w:t>Recommendation</w:t>
      </w:r>
      <w:r>
        <w:rPr>
          <w:spacing w:val="-4"/>
        </w:rPr>
        <w:t xml:space="preserve"> </w:t>
      </w:r>
      <w:r>
        <w:t>6</w:t>
      </w:r>
      <w:r>
        <w:rPr>
          <w:spacing w:val="-4"/>
        </w:rPr>
        <w:t xml:space="preserve"> </w:t>
      </w:r>
      <w:r>
        <w:t>–</w:t>
      </w:r>
      <w:r>
        <w:rPr>
          <w:spacing w:val="-4"/>
        </w:rPr>
        <w:t xml:space="preserve"> </w:t>
      </w:r>
      <w:r>
        <w:t>Application</w:t>
      </w:r>
      <w:r>
        <w:rPr>
          <w:spacing w:val="-4"/>
        </w:rPr>
        <w:t xml:space="preserve"> </w:t>
      </w:r>
      <w:r>
        <w:t>to</w:t>
      </w:r>
      <w:r>
        <w:rPr>
          <w:spacing w:val="-5"/>
        </w:rPr>
        <w:t xml:space="preserve"> </w:t>
      </w:r>
      <w:r>
        <w:rPr>
          <w:spacing w:val="-2"/>
        </w:rPr>
        <w:t>Parliament</w:t>
      </w:r>
    </w:p>
    <w:p w14:paraId="7CB2636E" w14:textId="77777777" w:rsidR="008A4099" w:rsidRDefault="006A6EE2">
      <w:pPr>
        <w:pStyle w:val="ListParagraph"/>
        <w:numPr>
          <w:ilvl w:val="0"/>
          <w:numId w:val="2"/>
        </w:numPr>
        <w:tabs>
          <w:tab w:val="left" w:pos="729"/>
        </w:tabs>
        <w:spacing w:line="242" w:lineRule="auto"/>
        <w:ind w:right="681"/>
      </w:pPr>
      <w:r>
        <w:t>A</w:t>
      </w:r>
      <w:r>
        <w:rPr>
          <w:spacing w:val="-7"/>
        </w:rPr>
        <w:t xml:space="preserve"> </w:t>
      </w:r>
      <w:r>
        <w:t>Tasmanian</w:t>
      </w:r>
      <w:r>
        <w:rPr>
          <w:spacing w:val="-8"/>
        </w:rPr>
        <w:t xml:space="preserve"> </w:t>
      </w:r>
      <w:r>
        <w:t>Charter</w:t>
      </w:r>
      <w:r>
        <w:rPr>
          <w:spacing w:val="-5"/>
        </w:rPr>
        <w:t xml:space="preserve"> </w:t>
      </w:r>
      <w:r>
        <w:t>of</w:t>
      </w:r>
      <w:r>
        <w:rPr>
          <w:spacing w:val="-5"/>
        </w:rPr>
        <w:t xml:space="preserve"> </w:t>
      </w:r>
      <w:r>
        <w:t>Human</w:t>
      </w:r>
      <w:r>
        <w:rPr>
          <w:spacing w:val="-8"/>
        </w:rPr>
        <w:t xml:space="preserve"> </w:t>
      </w:r>
      <w:r>
        <w:t>Rights</w:t>
      </w:r>
      <w:r>
        <w:rPr>
          <w:spacing w:val="-8"/>
        </w:rPr>
        <w:t xml:space="preserve"> </w:t>
      </w:r>
      <w:r>
        <w:t>should</w:t>
      </w:r>
      <w:r>
        <w:rPr>
          <w:spacing w:val="-8"/>
        </w:rPr>
        <w:t xml:space="preserve"> </w:t>
      </w:r>
      <w:r>
        <w:t>not</w:t>
      </w:r>
      <w:r>
        <w:rPr>
          <w:spacing w:val="-5"/>
        </w:rPr>
        <w:t xml:space="preserve"> </w:t>
      </w:r>
      <w:r>
        <w:t>disturb</w:t>
      </w:r>
      <w:r>
        <w:rPr>
          <w:spacing w:val="-8"/>
        </w:rPr>
        <w:t xml:space="preserve"> </w:t>
      </w:r>
      <w:r>
        <w:t>the</w:t>
      </w:r>
      <w:r>
        <w:rPr>
          <w:spacing w:val="-8"/>
        </w:rPr>
        <w:t xml:space="preserve"> </w:t>
      </w:r>
      <w:r>
        <w:t>sovereignty</w:t>
      </w:r>
      <w:r>
        <w:rPr>
          <w:spacing w:val="-8"/>
        </w:rPr>
        <w:t xml:space="preserve"> </w:t>
      </w:r>
      <w:r>
        <w:t>of</w:t>
      </w:r>
      <w:r>
        <w:rPr>
          <w:spacing w:val="-5"/>
        </w:rPr>
        <w:t xml:space="preserve"> </w:t>
      </w:r>
      <w:r>
        <w:t>Parliament</w:t>
      </w:r>
      <w:r>
        <w:rPr>
          <w:spacing w:val="-7"/>
        </w:rPr>
        <w:t xml:space="preserve"> </w:t>
      </w:r>
      <w:r>
        <w:t>to</w:t>
      </w:r>
      <w:r>
        <w:rPr>
          <w:spacing w:val="-8"/>
        </w:rPr>
        <w:t xml:space="preserve"> </w:t>
      </w:r>
      <w:r>
        <w:t>enact laws that balance, limit or abrogate human rights.</w:t>
      </w:r>
    </w:p>
    <w:p w14:paraId="7CB2636F" w14:textId="77777777" w:rsidR="008A4099" w:rsidRDefault="006A6EE2">
      <w:pPr>
        <w:pStyle w:val="ListParagraph"/>
        <w:numPr>
          <w:ilvl w:val="0"/>
          <w:numId w:val="2"/>
        </w:numPr>
        <w:tabs>
          <w:tab w:val="left" w:pos="729"/>
        </w:tabs>
        <w:spacing w:before="176" w:line="249" w:lineRule="auto"/>
        <w:ind w:right="678"/>
      </w:pPr>
      <w:r>
        <w:t>A</w:t>
      </w:r>
      <w:r>
        <w:rPr>
          <w:spacing w:val="-14"/>
        </w:rPr>
        <w:t xml:space="preserve"> </w:t>
      </w:r>
      <w:r>
        <w:t>Tasmanian</w:t>
      </w:r>
      <w:r>
        <w:rPr>
          <w:spacing w:val="-12"/>
        </w:rPr>
        <w:t xml:space="preserve"> </w:t>
      </w:r>
      <w:r>
        <w:t>Charter</w:t>
      </w:r>
      <w:r>
        <w:rPr>
          <w:spacing w:val="-12"/>
        </w:rPr>
        <w:t xml:space="preserve"> </w:t>
      </w:r>
      <w:r>
        <w:t>of</w:t>
      </w:r>
      <w:r>
        <w:rPr>
          <w:spacing w:val="-12"/>
        </w:rPr>
        <w:t xml:space="preserve"> </w:t>
      </w:r>
      <w:r>
        <w:t>Human</w:t>
      </w:r>
      <w:r>
        <w:rPr>
          <w:spacing w:val="-13"/>
        </w:rPr>
        <w:t xml:space="preserve"> </w:t>
      </w:r>
      <w:r>
        <w:t>Rights</w:t>
      </w:r>
      <w:r>
        <w:rPr>
          <w:spacing w:val="-12"/>
        </w:rPr>
        <w:t xml:space="preserve"> </w:t>
      </w:r>
      <w:r>
        <w:t>should,</w:t>
      </w:r>
      <w:r>
        <w:rPr>
          <w:spacing w:val="-13"/>
        </w:rPr>
        <w:t xml:space="preserve"> </w:t>
      </w:r>
      <w:r>
        <w:t>however,</w:t>
      </w:r>
      <w:r>
        <w:rPr>
          <w:spacing w:val="-13"/>
        </w:rPr>
        <w:t xml:space="preserve"> </w:t>
      </w:r>
      <w:r>
        <w:t>bind</w:t>
      </w:r>
      <w:r>
        <w:rPr>
          <w:spacing w:val="-13"/>
        </w:rPr>
        <w:t xml:space="preserve"> </w:t>
      </w:r>
      <w:r>
        <w:t>Parliament</w:t>
      </w:r>
      <w:r>
        <w:rPr>
          <w:spacing w:val="-12"/>
        </w:rPr>
        <w:t xml:space="preserve"> </w:t>
      </w:r>
      <w:r>
        <w:t>when</w:t>
      </w:r>
      <w:r>
        <w:rPr>
          <w:spacing w:val="-14"/>
        </w:rPr>
        <w:t xml:space="preserve"> </w:t>
      </w:r>
      <w:r>
        <w:t>scrutinising</w:t>
      </w:r>
      <w:r>
        <w:rPr>
          <w:spacing w:val="-12"/>
        </w:rPr>
        <w:t xml:space="preserve"> </w:t>
      </w:r>
      <w:r>
        <w:t>Bills in relation to the production of statements of compatibility and when deciding whether to enact legislation that overrides or encroaches upon human rights.</w:t>
      </w:r>
    </w:p>
    <w:p w14:paraId="7CB26370" w14:textId="77777777" w:rsidR="008A4099" w:rsidRDefault="006A6EE2">
      <w:pPr>
        <w:pStyle w:val="ListParagraph"/>
        <w:numPr>
          <w:ilvl w:val="0"/>
          <w:numId w:val="2"/>
        </w:numPr>
        <w:tabs>
          <w:tab w:val="left" w:pos="729"/>
        </w:tabs>
        <w:spacing w:before="171" w:line="242" w:lineRule="auto"/>
        <w:ind w:right="672"/>
      </w:pPr>
      <w:r>
        <w:t>A Tasmanian Charter of Human Rights should also bind Parliament when it is performing non- legislative functions.</w:t>
      </w:r>
    </w:p>
    <w:p w14:paraId="7CB26371" w14:textId="77777777" w:rsidR="008A4099" w:rsidRDefault="008A4099">
      <w:pPr>
        <w:pStyle w:val="BodyText"/>
        <w:spacing w:before="122"/>
      </w:pPr>
    </w:p>
    <w:p w14:paraId="7CB26372" w14:textId="77777777" w:rsidR="008A4099" w:rsidRDefault="006A6EE2">
      <w:pPr>
        <w:pStyle w:val="Heading5"/>
        <w:spacing w:before="1"/>
      </w:pPr>
      <w:r>
        <w:t>Recommendation</w:t>
      </w:r>
      <w:r>
        <w:rPr>
          <w:spacing w:val="-4"/>
        </w:rPr>
        <w:t xml:space="preserve"> </w:t>
      </w:r>
      <w:r>
        <w:t>7</w:t>
      </w:r>
      <w:r>
        <w:rPr>
          <w:spacing w:val="-4"/>
        </w:rPr>
        <w:t xml:space="preserve"> </w:t>
      </w:r>
      <w:r>
        <w:t>–</w:t>
      </w:r>
      <w:r>
        <w:rPr>
          <w:spacing w:val="-4"/>
        </w:rPr>
        <w:t xml:space="preserve"> </w:t>
      </w:r>
      <w:r>
        <w:t>Application</w:t>
      </w:r>
      <w:r>
        <w:rPr>
          <w:spacing w:val="-3"/>
        </w:rPr>
        <w:t xml:space="preserve"> </w:t>
      </w:r>
      <w:r>
        <w:t>to</w:t>
      </w:r>
      <w:r>
        <w:rPr>
          <w:spacing w:val="-6"/>
        </w:rPr>
        <w:t xml:space="preserve"> </w:t>
      </w:r>
      <w:r>
        <w:t>public</w:t>
      </w:r>
      <w:r>
        <w:rPr>
          <w:spacing w:val="-3"/>
        </w:rPr>
        <w:t xml:space="preserve"> </w:t>
      </w:r>
      <w:r>
        <w:rPr>
          <w:spacing w:val="-2"/>
        </w:rPr>
        <w:t>authorities</w:t>
      </w:r>
    </w:p>
    <w:p w14:paraId="7CB26373" w14:textId="77777777" w:rsidR="008A4099" w:rsidRDefault="006A6EE2">
      <w:pPr>
        <w:pStyle w:val="ListParagraph"/>
        <w:numPr>
          <w:ilvl w:val="0"/>
          <w:numId w:val="2"/>
        </w:numPr>
        <w:tabs>
          <w:tab w:val="left" w:pos="729"/>
        </w:tabs>
        <w:spacing w:before="222" w:line="242" w:lineRule="auto"/>
        <w:ind w:right="679"/>
      </w:pPr>
      <w:r>
        <w:t>The</w:t>
      </w:r>
      <w:r>
        <w:rPr>
          <w:spacing w:val="-7"/>
        </w:rPr>
        <w:t xml:space="preserve"> </w:t>
      </w:r>
      <w:r>
        <w:t>Tasmanian</w:t>
      </w:r>
      <w:r>
        <w:rPr>
          <w:spacing w:val="-7"/>
        </w:rPr>
        <w:t xml:space="preserve"> </w:t>
      </w:r>
      <w:r>
        <w:t>Law</w:t>
      </w:r>
      <w:r>
        <w:rPr>
          <w:spacing w:val="-8"/>
        </w:rPr>
        <w:t xml:space="preserve"> </w:t>
      </w:r>
      <w:r>
        <w:t>Reform</w:t>
      </w:r>
      <w:r>
        <w:rPr>
          <w:spacing w:val="-6"/>
        </w:rPr>
        <w:t xml:space="preserve"> </w:t>
      </w:r>
      <w:r>
        <w:t>Institute</w:t>
      </w:r>
      <w:r>
        <w:rPr>
          <w:spacing w:val="-7"/>
        </w:rPr>
        <w:t xml:space="preserve"> </w:t>
      </w:r>
      <w:r>
        <w:t>recommends</w:t>
      </w:r>
      <w:r>
        <w:rPr>
          <w:spacing w:val="-6"/>
        </w:rPr>
        <w:t xml:space="preserve"> </w:t>
      </w:r>
      <w:r>
        <w:t>that</w:t>
      </w:r>
      <w:r>
        <w:rPr>
          <w:spacing w:val="-6"/>
        </w:rPr>
        <w:t xml:space="preserve"> </w:t>
      </w:r>
      <w:r>
        <w:t>the</w:t>
      </w:r>
      <w:r>
        <w:rPr>
          <w:spacing w:val="-7"/>
        </w:rPr>
        <w:t xml:space="preserve"> </w:t>
      </w:r>
      <w:r>
        <w:t>Tasmanian</w:t>
      </w:r>
      <w:r>
        <w:rPr>
          <w:spacing w:val="-7"/>
        </w:rPr>
        <w:t xml:space="preserve"> </w:t>
      </w:r>
      <w:r>
        <w:t>Charter</w:t>
      </w:r>
      <w:r>
        <w:rPr>
          <w:spacing w:val="-6"/>
        </w:rPr>
        <w:t xml:space="preserve"> </w:t>
      </w:r>
      <w:r>
        <w:t>of</w:t>
      </w:r>
      <w:r>
        <w:rPr>
          <w:spacing w:val="-9"/>
        </w:rPr>
        <w:t xml:space="preserve"> </w:t>
      </w:r>
      <w:r>
        <w:t>Human</w:t>
      </w:r>
      <w:r>
        <w:rPr>
          <w:spacing w:val="-7"/>
        </w:rPr>
        <w:t xml:space="preserve"> </w:t>
      </w:r>
      <w:r>
        <w:t>Rights initially should bind only ‘public authorities’.</w:t>
      </w:r>
    </w:p>
    <w:p w14:paraId="7CB26374" w14:textId="77777777" w:rsidR="008A4099" w:rsidRDefault="006A6EE2">
      <w:pPr>
        <w:pStyle w:val="ListParagraph"/>
        <w:numPr>
          <w:ilvl w:val="0"/>
          <w:numId w:val="2"/>
        </w:numPr>
        <w:tabs>
          <w:tab w:val="left" w:pos="729"/>
        </w:tabs>
        <w:spacing w:before="177" w:line="252" w:lineRule="auto"/>
        <w:ind w:right="675"/>
      </w:pPr>
      <w:r>
        <w:t>The Institute further recommends that, in prescribed reviews of the Charter, the issue of who should be bound by the Charter should be revisited and consideration given to extending its application to private bodies and individuals. A narrowing of its application should not be an objective of such reviews.</w:t>
      </w:r>
    </w:p>
    <w:p w14:paraId="7CB26375" w14:textId="77777777" w:rsidR="008A4099" w:rsidRDefault="008A4099">
      <w:pPr>
        <w:pStyle w:val="BodyText"/>
        <w:spacing w:before="117"/>
      </w:pPr>
    </w:p>
    <w:p w14:paraId="7CB26376" w14:textId="77777777" w:rsidR="008A4099" w:rsidRDefault="006A6EE2">
      <w:pPr>
        <w:pStyle w:val="Heading5"/>
        <w:spacing w:before="1"/>
      </w:pPr>
      <w:r>
        <w:t>Recommendation</w:t>
      </w:r>
      <w:r>
        <w:rPr>
          <w:spacing w:val="-3"/>
        </w:rPr>
        <w:t xml:space="preserve"> </w:t>
      </w:r>
      <w:r>
        <w:t>8</w:t>
      </w:r>
      <w:r>
        <w:rPr>
          <w:spacing w:val="-3"/>
        </w:rPr>
        <w:t xml:space="preserve"> </w:t>
      </w:r>
      <w:r>
        <w:t>–</w:t>
      </w:r>
      <w:r>
        <w:rPr>
          <w:spacing w:val="-3"/>
        </w:rPr>
        <w:t xml:space="preserve"> </w:t>
      </w:r>
      <w:r>
        <w:t>What</w:t>
      </w:r>
      <w:r>
        <w:rPr>
          <w:spacing w:val="-3"/>
        </w:rPr>
        <w:t xml:space="preserve"> </w:t>
      </w:r>
      <w:r>
        <w:t>is</w:t>
      </w:r>
      <w:r>
        <w:rPr>
          <w:spacing w:val="-3"/>
        </w:rPr>
        <w:t xml:space="preserve"> </w:t>
      </w:r>
      <w:r>
        <w:t>a</w:t>
      </w:r>
      <w:r>
        <w:rPr>
          <w:spacing w:val="-3"/>
        </w:rPr>
        <w:t xml:space="preserve"> </w:t>
      </w:r>
      <w:r>
        <w:t>‘public</w:t>
      </w:r>
      <w:r>
        <w:rPr>
          <w:spacing w:val="-3"/>
        </w:rPr>
        <w:t xml:space="preserve"> </w:t>
      </w:r>
      <w:r>
        <w:rPr>
          <w:spacing w:val="-2"/>
        </w:rPr>
        <w:t>authority’?</w:t>
      </w:r>
    </w:p>
    <w:p w14:paraId="7CB26377" w14:textId="77777777" w:rsidR="008A4099" w:rsidRDefault="006A6EE2">
      <w:pPr>
        <w:pStyle w:val="ListParagraph"/>
        <w:numPr>
          <w:ilvl w:val="0"/>
          <w:numId w:val="2"/>
        </w:numPr>
        <w:tabs>
          <w:tab w:val="left" w:pos="729"/>
        </w:tabs>
        <w:spacing w:before="219" w:line="256" w:lineRule="auto"/>
        <w:ind w:right="677"/>
      </w:pPr>
      <w:r>
        <w:t>The</w:t>
      </w:r>
      <w:r>
        <w:rPr>
          <w:spacing w:val="-14"/>
        </w:rPr>
        <w:t xml:space="preserve"> </w:t>
      </w:r>
      <w:r>
        <w:t>definition</w:t>
      </w:r>
      <w:r>
        <w:rPr>
          <w:spacing w:val="-14"/>
        </w:rPr>
        <w:t xml:space="preserve"> </w:t>
      </w:r>
      <w:r>
        <w:t>of</w:t>
      </w:r>
      <w:r>
        <w:rPr>
          <w:spacing w:val="-14"/>
        </w:rPr>
        <w:t xml:space="preserve"> </w:t>
      </w:r>
      <w:r>
        <w:t>‘public</w:t>
      </w:r>
      <w:r>
        <w:rPr>
          <w:spacing w:val="-13"/>
        </w:rPr>
        <w:t xml:space="preserve"> </w:t>
      </w:r>
      <w:r>
        <w:t>authority’</w:t>
      </w:r>
      <w:r>
        <w:rPr>
          <w:spacing w:val="-14"/>
        </w:rPr>
        <w:t xml:space="preserve"> </w:t>
      </w:r>
      <w:r>
        <w:t>should</w:t>
      </w:r>
      <w:r>
        <w:rPr>
          <w:spacing w:val="-14"/>
        </w:rPr>
        <w:t xml:space="preserve"> </w:t>
      </w:r>
      <w:r>
        <w:t>include</w:t>
      </w:r>
      <w:r>
        <w:rPr>
          <w:spacing w:val="-14"/>
        </w:rPr>
        <w:t xml:space="preserve"> </w:t>
      </w:r>
      <w:r>
        <w:t>tribunals,</w:t>
      </w:r>
      <w:r>
        <w:rPr>
          <w:spacing w:val="-13"/>
        </w:rPr>
        <w:t xml:space="preserve"> </w:t>
      </w:r>
      <w:r>
        <w:t>the</w:t>
      </w:r>
      <w:r>
        <w:rPr>
          <w:spacing w:val="-14"/>
        </w:rPr>
        <w:t xml:space="preserve"> </w:t>
      </w:r>
      <w:r>
        <w:t>courts,</w:t>
      </w:r>
      <w:r>
        <w:rPr>
          <w:spacing w:val="-14"/>
        </w:rPr>
        <w:t xml:space="preserve"> </w:t>
      </w:r>
      <w:r>
        <w:t>government</w:t>
      </w:r>
      <w:r>
        <w:rPr>
          <w:spacing w:val="-14"/>
        </w:rPr>
        <w:t xml:space="preserve"> </w:t>
      </w:r>
      <w:r>
        <w:t>departments, public officials, statutory authorities, government business enterprises, State owned companies, Tasmania Police, local government, Ministers, members of Parliamentary Committees when acting in an administrative capacity, anyone whom Parliament declares to be a public authority for</w:t>
      </w:r>
      <w:r>
        <w:rPr>
          <w:spacing w:val="-5"/>
        </w:rPr>
        <w:t xml:space="preserve"> </w:t>
      </w:r>
      <w:r>
        <w:t>the</w:t>
      </w:r>
      <w:r>
        <w:rPr>
          <w:spacing w:val="-6"/>
        </w:rPr>
        <w:t xml:space="preserve"> </w:t>
      </w:r>
      <w:r>
        <w:t>purposes</w:t>
      </w:r>
      <w:r>
        <w:rPr>
          <w:spacing w:val="-3"/>
        </w:rPr>
        <w:t xml:space="preserve"> </w:t>
      </w:r>
      <w:r>
        <w:t>of</w:t>
      </w:r>
      <w:r>
        <w:rPr>
          <w:spacing w:val="-5"/>
        </w:rPr>
        <w:t xml:space="preserve"> </w:t>
      </w:r>
      <w:r>
        <w:t>the</w:t>
      </w:r>
      <w:r>
        <w:rPr>
          <w:spacing w:val="-6"/>
        </w:rPr>
        <w:t xml:space="preserve"> </w:t>
      </w:r>
      <w:r>
        <w:t>Charter</w:t>
      </w:r>
      <w:r>
        <w:rPr>
          <w:spacing w:val="-5"/>
        </w:rPr>
        <w:t xml:space="preserve"> </w:t>
      </w:r>
      <w:r>
        <w:t>and</w:t>
      </w:r>
      <w:r>
        <w:rPr>
          <w:spacing w:val="-6"/>
        </w:rPr>
        <w:t xml:space="preserve"> </w:t>
      </w:r>
      <w:r>
        <w:t>an</w:t>
      </w:r>
      <w:r>
        <w:rPr>
          <w:spacing w:val="-6"/>
        </w:rPr>
        <w:t xml:space="preserve"> </w:t>
      </w:r>
      <w:r>
        <w:t>entity</w:t>
      </w:r>
      <w:r>
        <w:rPr>
          <w:spacing w:val="-4"/>
        </w:rPr>
        <w:t xml:space="preserve"> </w:t>
      </w:r>
      <w:r>
        <w:t>whose</w:t>
      </w:r>
      <w:r>
        <w:rPr>
          <w:spacing w:val="-5"/>
        </w:rPr>
        <w:t xml:space="preserve"> </w:t>
      </w:r>
      <w:r>
        <w:t>functions</w:t>
      </w:r>
      <w:r>
        <w:rPr>
          <w:spacing w:val="-5"/>
        </w:rPr>
        <w:t xml:space="preserve"> </w:t>
      </w:r>
      <w:r>
        <w:t>are</w:t>
      </w:r>
      <w:r>
        <w:rPr>
          <w:spacing w:val="-6"/>
        </w:rPr>
        <w:t xml:space="preserve"> </w:t>
      </w:r>
      <w:r>
        <w:t>or</w:t>
      </w:r>
      <w:r>
        <w:rPr>
          <w:spacing w:val="-5"/>
        </w:rPr>
        <w:t xml:space="preserve"> </w:t>
      </w:r>
      <w:r>
        <w:t>include</w:t>
      </w:r>
      <w:r>
        <w:rPr>
          <w:spacing w:val="-6"/>
        </w:rPr>
        <w:t xml:space="preserve"> </w:t>
      </w:r>
      <w:r>
        <w:t>functions</w:t>
      </w:r>
      <w:r>
        <w:rPr>
          <w:spacing w:val="-3"/>
        </w:rPr>
        <w:t xml:space="preserve"> </w:t>
      </w:r>
      <w:r>
        <w:t>of</w:t>
      </w:r>
      <w:r>
        <w:rPr>
          <w:spacing w:val="-5"/>
        </w:rPr>
        <w:t xml:space="preserve"> </w:t>
      </w:r>
      <w:r>
        <w:t>a</w:t>
      </w:r>
      <w:r>
        <w:rPr>
          <w:spacing w:val="-6"/>
        </w:rPr>
        <w:t xml:space="preserve"> </w:t>
      </w:r>
      <w:r>
        <w:t>public nature,</w:t>
      </w:r>
      <w:r>
        <w:rPr>
          <w:spacing w:val="-4"/>
        </w:rPr>
        <w:t xml:space="preserve"> </w:t>
      </w:r>
      <w:r>
        <w:t>when</w:t>
      </w:r>
      <w:r>
        <w:rPr>
          <w:spacing w:val="-7"/>
        </w:rPr>
        <w:t xml:space="preserve"> </w:t>
      </w:r>
      <w:r>
        <w:t>it</w:t>
      </w:r>
      <w:r>
        <w:rPr>
          <w:spacing w:val="-4"/>
        </w:rPr>
        <w:t xml:space="preserve"> </w:t>
      </w:r>
      <w:r>
        <w:t>is</w:t>
      </w:r>
      <w:r>
        <w:rPr>
          <w:spacing w:val="-4"/>
        </w:rPr>
        <w:t xml:space="preserve"> </w:t>
      </w:r>
      <w:r>
        <w:t>exercising</w:t>
      </w:r>
      <w:r>
        <w:rPr>
          <w:spacing w:val="-5"/>
        </w:rPr>
        <w:t xml:space="preserve"> </w:t>
      </w:r>
      <w:r>
        <w:t>those</w:t>
      </w:r>
      <w:r>
        <w:rPr>
          <w:spacing w:val="-4"/>
        </w:rPr>
        <w:t xml:space="preserve"> </w:t>
      </w:r>
      <w:r>
        <w:t>functions</w:t>
      </w:r>
      <w:r>
        <w:rPr>
          <w:spacing w:val="-4"/>
        </w:rPr>
        <w:t xml:space="preserve"> </w:t>
      </w:r>
      <w:r>
        <w:t>on</w:t>
      </w:r>
      <w:r>
        <w:rPr>
          <w:spacing w:val="-5"/>
        </w:rPr>
        <w:t xml:space="preserve"> </w:t>
      </w:r>
      <w:r>
        <w:t>behalf</w:t>
      </w:r>
      <w:r>
        <w:rPr>
          <w:spacing w:val="-6"/>
        </w:rPr>
        <w:t xml:space="preserve"> </w:t>
      </w:r>
      <w:r>
        <w:t>of</w:t>
      </w:r>
      <w:r>
        <w:rPr>
          <w:spacing w:val="-4"/>
        </w:rPr>
        <w:t xml:space="preserve"> </w:t>
      </w:r>
      <w:r>
        <w:t>the</w:t>
      </w:r>
      <w:r>
        <w:rPr>
          <w:spacing w:val="-4"/>
        </w:rPr>
        <w:t xml:space="preserve"> </w:t>
      </w:r>
      <w:r>
        <w:t>State</w:t>
      </w:r>
      <w:r>
        <w:rPr>
          <w:spacing w:val="-4"/>
        </w:rPr>
        <w:t xml:space="preserve"> </w:t>
      </w:r>
      <w:r>
        <w:t>or</w:t>
      </w:r>
      <w:r>
        <w:rPr>
          <w:spacing w:val="-6"/>
        </w:rPr>
        <w:t xml:space="preserve"> </w:t>
      </w:r>
      <w:r>
        <w:t>a</w:t>
      </w:r>
      <w:r>
        <w:rPr>
          <w:spacing w:val="-4"/>
        </w:rPr>
        <w:t xml:space="preserve"> </w:t>
      </w:r>
      <w:r>
        <w:t>public</w:t>
      </w:r>
      <w:r>
        <w:rPr>
          <w:spacing w:val="-4"/>
        </w:rPr>
        <w:t xml:space="preserve"> </w:t>
      </w:r>
      <w:r>
        <w:t>authority</w:t>
      </w:r>
      <w:r>
        <w:rPr>
          <w:spacing w:val="-5"/>
        </w:rPr>
        <w:t xml:space="preserve"> </w:t>
      </w:r>
      <w:r>
        <w:t>(whether under contract or otherwise).</w:t>
      </w:r>
    </w:p>
    <w:p w14:paraId="7CB26378" w14:textId="77777777" w:rsidR="008A4099" w:rsidRDefault="006A6EE2">
      <w:pPr>
        <w:pStyle w:val="ListParagraph"/>
        <w:numPr>
          <w:ilvl w:val="0"/>
          <w:numId w:val="2"/>
        </w:numPr>
        <w:tabs>
          <w:tab w:val="left" w:pos="729"/>
        </w:tabs>
        <w:spacing w:before="159" w:line="254" w:lineRule="auto"/>
        <w:ind w:right="675"/>
      </w:pPr>
      <w:r>
        <w:t>As a precautionary measure, the Institute suggests that the Charter should specify that if the extension of the Charter’s obligations to courts and tribunals is judged to be an invalid exercise of the Tasmanian Parliament’s legislative power, it is the intention of Parliament that the remainder</w:t>
      </w:r>
      <w:r>
        <w:rPr>
          <w:spacing w:val="-8"/>
        </w:rPr>
        <w:t xml:space="preserve"> </w:t>
      </w:r>
      <w:r>
        <w:t>of</w:t>
      </w:r>
      <w:r>
        <w:rPr>
          <w:spacing w:val="-9"/>
        </w:rPr>
        <w:t xml:space="preserve"> </w:t>
      </w:r>
      <w:r>
        <w:t>the</w:t>
      </w:r>
      <w:r>
        <w:rPr>
          <w:spacing w:val="-7"/>
        </w:rPr>
        <w:t xml:space="preserve"> </w:t>
      </w:r>
      <w:r>
        <w:t>Charter,</w:t>
      </w:r>
      <w:r>
        <w:rPr>
          <w:spacing w:val="-10"/>
        </w:rPr>
        <w:t xml:space="preserve"> </w:t>
      </w:r>
      <w:r>
        <w:t>including</w:t>
      </w:r>
      <w:r>
        <w:rPr>
          <w:spacing w:val="-10"/>
        </w:rPr>
        <w:t xml:space="preserve"> </w:t>
      </w:r>
      <w:r>
        <w:t>its</w:t>
      </w:r>
      <w:r>
        <w:rPr>
          <w:spacing w:val="-6"/>
        </w:rPr>
        <w:t xml:space="preserve"> </w:t>
      </w:r>
      <w:r>
        <w:t>application</w:t>
      </w:r>
      <w:r>
        <w:rPr>
          <w:spacing w:val="-7"/>
        </w:rPr>
        <w:t xml:space="preserve"> </w:t>
      </w:r>
      <w:r>
        <w:t>to</w:t>
      </w:r>
      <w:r>
        <w:rPr>
          <w:spacing w:val="-10"/>
        </w:rPr>
        <w:t xml:space="preserve"> </w:t>
      </w:r>
      <w:r>
        <w:t>other</w:t>
      </w:r>
      <w:r>
        <w:rPr>
          <w:spacing w:val="-6"/>
        </w:rPr>
        <w:t xml:space="preserve"> </w:t>
      </w:r>
      <w:r>
        <w:t>arms</w:t>
      </w:r>
      <w:r>
        <w:rPr>
          <w:spacing w:val="-6"/>
        </w:rPr>
        <w:t xml:space="preserve"> </w:t>
      </w:r>
      <w:r>
        <w:t>of</w:t>
      </w:r>
      <w:r>
        <w:rPr>
          <w:spacing w:val="-6"/>
        </w:rPr>
        <w:t xml:space="preserve"> </w:t>
      </w:r>
      <w:r>
        <w:t>Government,</w:t>
      </w:r>
      <w:r>
        <w:rPr>
          <w:spacing w:val="-10"/>
        </w:rPr>
        <w:t xml:space="preserve"> </w:t>
      </w:r>
      <w:r>
        <w:t>is</w:t>
      </w:r>
      <w:r>
        <w:rPr>
          <w:spacing w:val="-9"/>
        </w:rPr>
        <w:t xml:space="preserve"> </w:t>
      </w:r>
      <w:r>
        <w:t>to</w:t>
      </w:r>
      <w:r>
        <w:rPr>
          <w:spacing w:val="-7"/>
        </w:rPr>
        <w:t xml:space="preserve"> </w:t>
      </w:r>
      <w:r>
        <w:t>continue</w:t>
      </w:r>
      <w:r>
        <w:rPr>
          <w:spacing w:val="-9"/>
        </w:rPr>
        <w:t xml:space="preserve"> </w:t>
      </w:r>
      <w:r>
        <w:t xml:space="preserve">to </w:t>
      </w:r>
      <w:r>
        <w:rPr>
          <w:spacing w:val="-2"/>
        </w:rPr>
        <w:t>operate.</w:t>
      </w:r>
    </w:p>
    <w:p w14:paraId="7CB26379" w14:textId="77777777" w:rsidR="008A4099" w:rsidRDefault="006A6EE2">
      <w:pPr>
        <w:pStyle w:val="ListParagraph"/>
        <w:numPr>
          <w:ilvl w:val="0"/>
          <w:numId w:val="2"/>
        </w:numPr>
        <w:tabs>
          <w:tab w:val="left" w:pos="729"/>
        </w:tabs>
        <w:spacing w:before="164" w:line="256" w:lineRule="auto"/>
        <w:ind w:right="672"/>
      </w:pPr>
      <w:r>
        <w:t xml:space="preserve">Statutory guidance should be provided as to when an entity is performing functions of a public nature. This guidance should be in the same terms as is provided by s 4(2) of the Victorian </w:t>
      </w:r>
      <w:r>
        <w:rPr>
          <w:i/>
        </w:rPr>
        <w:t xml:space="preserve">Charter of Human Rights and Responsibilities 2006 </w:t>
      </w:r>
      <w:r>
        <w:t>but should additionally include a non- exhaustive</w:t>
      </w:r>
      <w:r>
        <w:rPr>
          <w:spacing w:val="-12"/>
        </w:rPr>
        <w:t xml:space="preserve"> </w:t>
      </w:r>
      <w:r>
        <w:t>list</w:t>
      </w:r>
      <w:r>
        <w:rPr>
          <w:spacing w:val="-11"/>
        </w:rPr>
        <w:t xml:space="preserve"> </w:t>
      </w:r>
      <w:r>
        <w:t>of</w:t>
      </w:r>
      <w:r>
        <w:rPr>
          <w:spacing w:val="-11"/>
        </w:rPr>
        <w:t xml:space="preserve"> </w:t>
      </w:r>
      <w:r>
        <w:t>functions</w:t>
      </w:r>
      <w:r>
        <w:rPr>
          <w:spacing w:val="-11"/>
        </w:rPr>
        <w:t xml:space="preserve"> </w:t>
      </w:r>
      <w:r>
        <w:t>considered</w:t>
      </w:r>
      <w:r>
        <w:rPr>
          <w:spacing w:val="-12"/>
        </w:rPr>
        <w:t xml:space="preserve"> </w:t>
      </w:r>
      <w:r>
        <w:t>to</w:t>
      </w:r>
      <w:r>
        <w:rPr>
          <w:spacing w:val="-12"/>
        </w:rPr>
        <w:t xml:space="preserve"> </w:t>
      </w:r>
      <w:r>
        <w:t>be</w:t>
      </w:r>
      <w:r>
        <w:rPr>
          <w:spacing w:val="-12"/>
        </w:rPr>
        <w:t xml:space="preserve"> </w:t>
      </w:r>
      <w:r>
        <w:t>of</w:t>
      </w:r>
      <w:r>
        <w:rPr>
          <w:spacing w:val="-11"/>
        </w:rPr>
        <w:t xml:space="preserve"> </w:t>
      </w:r>
      <w:r>
        <w:t>a</w:t>
      </w:r>
      <w:r>
        <w:rPr>
          <w:spacing w:val="-12"/>
        </w:rPr>
        <w:t xml:space="preserve"> </w:t>
      </w:r>
      <w:r>
        <w:t>public</w:t>
      </w:r>
      <w:r>
        <w:rPr>
          <w:spacing w:val="-12"/>
        </w:rPr>
        <w:t xml:space="preserve"> </w:t>
      </w:r>
      <w:r>
        <w:t>nature.</w:t>
      </w:r>
      <w:r>
        <w:rPr>
          <w:spacing w:val="-12"/>
        </w:rPr>
        <w:t xml:space="preserve"> </w:t>
      </w:r>
      <w:r>
        <w:t>This</w:t>
      </w:r>
      <w:r>
        <w:rPr>
          <w:spacing w:val="-11"/>
        </w:rPr>
        <w:t xml:space="preserve"> </w:t>
      </w:r>
      <w:r>
        <w:t>list</w:t>
      </w:r>
      <w:r>
        <w:rPr>
          <w:spacing w:val="-13"/>
        </w:rPr>
        <w:t xml:space="preserve"> </w:t>
      </w:r>
      <w:r>
        <w:t>should</w:t>
      </w:r>
      <w:r>
        <w:rPr>
          <w:spacing w:val="-12"/>
        </w:rPr>
        <w:t xml:space="preserve"> </w:t>
      </w:r>
      <w:r>
        <w:t>include:</w:t>
      </w:r>
      <w:r>
        <w:rPr>
          <w:spacing w:val="-11"/>
        </w:rPr>
        <w:t xml:space="preserve"> </w:t>
      </w:r>
      <w:r>
        <w:t>operation of detention/correctional facilities; provision of essential services, (gas, electricity, water); provision of emergency services; provision of government controlled health care or medical services; provision of government educational services; provision of public transport; and provision of public housing.</w:t>
      </w:r>
    </w:p>
    <w:p w14:paraId="7CB2637A" w14:textId="77777777" w:rsidR="008A4099" w:rsidRDefault="006A6EE2">
      <w:pPr>
        <w:pStyle w:val="ListParagraph"/>
        <w:numPr>
          <w:ilvl w:val="0"/>
          <w:numId w:val="2"/>
        </w:numPr>
        <w:tabs>
          <w:tab w:val="left" w:pos="729"/>
        </w:tabs>
        <w:spacing w:before="162" w:line="254" w:lineRule="auto"/>
        <w:ind w:right="675"/>
      </w:pPr>
      <w:r>
        <w:t>Non-government schools</w:t>
      </w:r>
      <w:r>
        <w:rPr>
          <w:spacing w:val="-2"/>
        </w:rPr>
        <w:t xml:space="preserve"> </w:t>
      </w:r>
      <w:r>
        <w:t>and health</w:t>
      </w:r>
      <w:r>
        <w:rPr>
          <w:spacing w:val="-2"/>
        </w:rPr>
        <w:t xml:space="preserve"> </w:t>
      </w:r>
      <w:r>
        <w:t>services</w:t>
      </w:r>
      <w:r>
        <w:rPr>
          <w:spacing w:val="-2"/>
        </w:rPr>
        <w:t xml:space="preserve"> </w:t>
      </w:r>
      <w:r>
        <w:t>should not</w:t>
      </w:r>
      <w:r>
        <w:rPr>
          <w:spacing w:val="-1"/>
        </w:rPr>
        <w:t xml:space="preserve"> </w:t>
      </w:r>
      <w:r>
        <w:t>initially</w:t>
      </w:r>
      <w:r>
        <w:rPr>
          <w:spacing w:val="-2"/>
        </w:rPr>
        <w:t xml:space="preserve"> </w:t>
      </w:r>
      <w:r>
        <w:t>be</w:t>
      </w:r>
      <w:r>
        <w:rPr>
          <w:spacing w:val="-2"/>
        </w:rPr>
        <w:t xml:space="preserve"> </w:t>
      </w:r>
      <w:r>
        <w:t>included</w:t>
      </w:r>
      <w:r>
        <w:rPr>
          <w:spacing w:val="-2"/>
        </w:rPr>
        <w:t xml:space="preserve"> </w:t>
      </w:r>
      <w:r>
        <w:t>in</w:t>
      </w:r>
      <w:r>
        <w:rPr>
          <w:spacing w:val="-2"/>
        </w:rPr>
        <w:t xml:space="preserve"> </w:t>
      </w:r>
      <w:r>
        <w:t>the definition</w:t>
      </w:r>
      <w:r>
        <w:rPr>
          <w:spacing w:val="-3"/>
        </w:rPr>
        <w:t xml:space="preserve"> </w:t>
      </w:r>
      <w:r>
        <w:t>of ‘public authority’, but in reviews of the Charter consideration should be given to extending the definition of ‘public authority’ to include private businesses and enterprises that receive public funding</w:t>
      </w:r>
      <w:r>
        <w:rPr>
          <w:spacing w:val="-14"/>
        </w:rPr>
        <w:t xml:space="preserve"> </w:t>
      </w:r>
      <w:r>
        <w:t>and</w:t>
      </w:r>
      <w:r>
        <w:rPr>
          <w:spacing w:val="-14"/>
        </w:rPr>
        <w:t xml:space="preserve"> </w:t>
      </w:r>
      <w:r>
        <w:t>that</w:t>
      </w:r>
      <w:r>
        <w:rPr>
          <w:spacing w:val="-14"/>
        </w:rPr>
        <w:t xml:space="preserve"> </w:t>
      </w:r>
      <w:r>
        <w:t>carry</w:t>
      </w:r>
      <w:r>
        <w:rPr>
          <w:spacing w:val="-13"/>
        </w:rPr>
        <w:t xml:space="preserve"> </w:t>
      </w:r>
      <w:r>
        <w:t>out</w:t>
      </w:r>
      <w:r>
        <w:rPr>
          <w:spacing w:val="-14"/>
        </w:rPr>
        <w:t xml:space="preserve"> </w:t>
      </w:r>
      <w:r>
        <w:t>functions</w:t>
      </w:r>
      <w:r>
        <w:rPr>
          <w:spacing w:val="-14"/>
        </w:rPr>
        <w:t xml:space="preserve"> </w:t>
      </w:r>
      <w:r>
        <w:t>that</w:t>
      </w:r>
      <w:r>
        <w:rPr>
          <w:spacing w:val="-14"/>
        </w:rPr>
        <w:t xml:space="preserve"> </w:t>
      </w:r>
      <w:r>
        <w:t>have</w:t>
      </w:r>
      <w:r>
        <w:rPr>
          <w:spacing w:val="-13"/>
        </w:rPr>
        <w:t xml:space="preserve"> </w:t>
      </w:r>
      <w:r>
        <w:t>a</w:t>
      </w:r>
      <w:r>
        <w:rPr>
          <w:spacing w:val="-14"/>
        </w:rPr>
        <w:t xml:space="preserve"> </w:t>
      </w:r>
      <w:r>
        <w:t>public</w:t>
      </w:r>
      <w:r>
        <w:rPr>
          <w:spacing w:val="-14"/>
        </w:rPr>
        <w:t xml:space="preserve"> </w:t>
      </w:r>
      <w:r>
        <w:t>benefit,</w:t>
      </w:r>
      <w:r>
        <w:rPr>
          <w:spacing w:val="-13"/>
        </w:rPr>
        <w:t xml:space="preserve"> </w:t>
      </w:r>
      <w:r>
        <w:t>including</w:t>
      </w:r>
      <w:r>
        <w:rPr>
          <w:spacing w:val="-14"/>
        </w:rPr>
        <w:t xml:space="preserve"> </w:t>
      </w:r>
      <w:r>
        <w:t>non-government</w:t>
      </w:r>
      <w:r>
        <w:rPr>
          <w:spacing w:val="-12"/>
        </w:rPr>
        <w:t xml:space="preserve"> </w:t>
      </w:r>
      <w:r>
        <w:t>schools and private health services.</w:t>
      </w:r>
    </w:p>
    <w:p w14:paraId="7CB2637B" w14:textId="77777777" w:rsidR="008A4099" w:rsidRDefault="008A4099">
      <w:pPr>
        <w:spacing w:line="254" w:lineRule="auto"/>
        <w:jc w:val="both"/>
        <w:sectPr w:rsidR="008A4099" w:rsidSect="00D43B2D">
          <w:pgSz w:w="11910" w:h="16840"/>
          <w:pgMar w:top="980" w:right="760" w:bottom="940" w:left="1280" w:header="718" w:footer="753" w:gutter="0"/>
          <w:cols w:space="720"/>
        </w:sectPr>
      </w:pPr>
    </w:p>
    <w:p w14:paraId="7CB2637C" w14:textId="77777777" w:rsidR="008A4099" w:rsidRDefault="008A4099">
      <w:pPr>
        <w:pStyle w:val="BodyText"/>
        <w:spacing w:before="196"/>
      </w:pPr>
    </w:p>
    <w:p w14:paraId="7CB2637D" w14:textId="77777777" w:rsidR="008A4099" w:rsidRDefault="006A6EE2">
      <w:pPr>
        <w:pStyle w:val="ListParagraph"/>
        <w:numPr>
          <w:ilvl w:val="0"/>
          <w:numId w:val="2"/>
        </w:numPr>
        <w:tabs>
          <w:tab w:val="left" w:pos="729"/>
        </w:tabs>
        <w:spacing w:before="1" w:line="254" w:lineRule="auto"/>
        <w:ind w:right="677"/>
      </w:pPr>
      <w:r>
        <w:t>To avoid problems associated with the doctrine of the unity of the common law, and to enable courts</w:t>
      </w:r>
      <w:r>
        <w:rPr>
          <w:spacing w:val="-4"/>
        </w:rPr>
        <w:t xml:space="preserve"> </w:t>
      </w:r>
      <w:r>
        <w:t>to</w:t>
      </w:r>
      <w:r>
        <w:rPr>
          <w:spacing w:val="-2"/>
        </w:rPr>
        <w:t xml:space="preserve"> </w:t>
      </w:r>
      <w:r>
        <w:t>be</w:t>
      </w:r>
      <w:r>
        <w:rPr>
          <w:spacing w:val="-4"/>
        </w:rPr>
        <w:t xml:space="preserve"> </w:t>
      </w:r>
      <w:r>
        <w:t>bound</w:t>
      </w:r>
      <w:r>
        <w:rPr>
          <w:spacing w:val="-5"/>
        </w:rPr>
        <w:t xml:space="preserve"> </w:t>
      </w:r>
      <w:r>
        <w:t>by</w:t>
      </w:r>
      <w:r>
        <w:rPr>
          <w:spacing w:val="-2"/>
        </w:rPr>
        <w:t xml:space="preserve"> </w:t>
      </w:r>
      <w:r>
        <w:t>a</w:t>
      </w:r>
      <w:r>
        <w:rPr>
          <w:spacing w:val="-4"/>
        </w:rPr>
        <w:t xml:space="preserve"> </w:t>
      </w:r>
      <w:r>
        <w:t>Tasmanian</w:t>
      </w:r>
      <w:r>
        <w:rPr>
          <w:spacing w:val="-2"/>
        </w:rPr>
        <w:t xml:space="preserve"> </w:t>
      </w:r>
      <w:r>
        <w:t>Charter,</w:t>
      </w:r>
      <w:r>
        <w:rPr>
          <w:spacing w:val="-2"/>
        </w:rPr>
        <w:t xml:space="preserve"> </w:t>
      </w:r>
      <w:r>
        <w:t>it</w:t>
      </w:r>
      <w:r>
        <w:rPr>
          <w:spacing w:val="-1"/>
        </w:rPr>
        <w:t xml:space="preserve"> </w:t>
      </w:r>
      <w:r>
        <w:t>should</w:t>
      </w:r>
      <w:r>
        <w:rPr>
          <w:spacing w:val="-5"/>
        </w:rPr>
        <w:t xml:space="preserve"> </w:t>
      </w:r>
      <w:r>
        <w:t>contain</w:t>
      </w:r>
      <w:r>
        <w:rPr>
          <w:spacing w:val="-2"/>
        </w:rPr>
        <w:t xml:space="preserve"> </w:t>
      </w:r>
      <w:r>
        <w:t>explicit</w:t>
      </w:r>
      <w:r>
        <w:rPr>
          <w:spacing w:val="-1"/>
        </w:rPr>
        <w:t xml:space="preserve"> </w:t>
      </w:r>
      <w:r>
        <w:t>provision</w:t>
      </w:r>
      <w:r>
        <w:rPr>
          <w:spacing w:val="-5"/>
        </w:rPr>
        <w:t xml:space="preserve"> </w:t>
      </w:r>
      <w:r>
        <w:t>to</w:t>
      </w:r>
      <w:r>
        <w:rPr>
          <w:spacing w:val="-5"/>
        </w:rPr>
        <w:t xml:space="preserve"> </w:t>
      </w:r>
      <w:r>
        <w:t>the</w:t>
      </w:r>
      <w:r>
        <w:rPr>
          <w:spacing w:val="-2"/>
        </w:rPr>
        <w:t xml:space="preserve"> </w:t>
      </w:r>
      <w:r>
        <w:t>effect</w:t>
      </w:r>
      <w:r>
        <w:rPr>
          <w:spacing w:val="-1"/>
        </w:rPr>
        <w:t xml:space="preserve"> </w:t>
      </w:r>
      <w:r>
        <w:t>that all non-statutory law, including the substantive and adjectival (procedural) law, is amended by the Charter so as to conform to human rights as defined and limited in the Charter, and that any conflict with Charter rights is to be resolved in favour of the Charter.</w:t>
      </w:r>
    </w:p>
    <w:p w14:paraId="7CB2637E" w14:textId="77777777" w:rsidR="008A4099" w:rsidRDefault="006A6EE2">
      <w:pPr>
        <w:pStyle w:val="ListParagraph"/>
        <w:numPr>
          <w:ilvl w:val="0"/>
          <w:numId w:val="2"/>
        </w:numPr>
        <w:tabs>
          <w:tab w:val="left" w:pos="729"/>
        </w:tabs>
        <w:spacing w:before="165" w:line="249" w:lineRule="auto"/>
        <w:ind w:right="678"/>
      </w:pPr>
      <w:r>
        <w:t>If the immediately preceding recommendation is not enacted, courts should, nevertheless, be included</w:t>
      </w:r>
      <w:r>
        <w:rPr>
          <w:spacing w:val="-9"/>
        </w:rPr>
        <w:t xml:space="preserve"> </w:t>
      </w:r>
      <w:r>
        <w:t>within</w:t>
      </w:r>
      <w:r>
        <w:rPr>
          <w:spacing w:val="-10"/>
        </w:rPr>
        <w:t xml:space="preserve"> </w:t>
      </w:r>
      <w:r>
        <w:t>the</w:t>
      </w:r>
      <w:r>
        <w:rPr>
          <w:spacing w:val="-9"/>
        </w:rPr>
        <w:t xml:space="preserve"> </w:t>
      </w:r>
      <w:r>
        <w:t>definition</w:t>
      </w:r>
      <w:r>
        <w:rPr>
          <w:spacing w:val="-7"/>
        </w:rPr>
        <w:t xml:space="preserve"> </w:t>
      </w:r>
      <w:r>
        <w:t>of</w:t>
      </w:r>
      <w:r>
        <w:rPr>
          <w:spacing w:val="-9"/>
        </w:rPr>
        <w:t xml:space="preserve"> </w:t>
      </w:r>
      <w:r>
        <w:t>‘public</w:t>
      </w:r>
      <w:r>
        <w:rPr>
          <w:spacing w:val="-9"/>
        </w:rPr>
        <w:t xml:space="preserve"> </w:t>
      </w:r>
      <w:r>
        <w:t>authority’</w:t>
      </w:r>
      <w:r>
        <w:rPr>
          <w:spacing w:val="-9"/>
        </w:rPr>
        <w:t xml:space="preserve"> </w:t>
      </w:r>
      <w:r>
        <w:t>and</w:t>
      </w:r>
      <w:r>
        <w:rPr>
          <w:spacing w:val="-10"/>
        </w:rPr>
        <w:t xml:space="preserve"> </w:t>
      </w:r>
      <w:r>
        <w:t>be</w:t>
      </w:r>
      <w:r>
        <w:rPr>
          <w:spacing w:val="-9"/>
        </w:rPr>
        <w:t xml:space="preserve"> </w:t>
      </w:r>
      <w:r>
        <w:t>bound</w:t>
      </w:r>
      <w:r>
        <w:rPr>
          <w:spacing w:val="-10"/>
        </w:rPr>
        <w:t xml:space="preserve"> </w:t>
      </w:r>
      <w:r>
        <w:t>by</w:t>
      </w:r>
      <w:r>
        <w:rPr>
          <w:spacing w:val="-10"/>
        </w:rPr>
        <w:t xml:space="preserve"> </w:t>
      </w:r>
      <w:r>
        <w:t>the</w:t>
      </w:r>
      <w:r>
        <w:rPr>
          <w:spacing w:val="-7"/>
        </w:rPr>
        <w:t xml:space="preserve"> </w:t>
      </w:r>
      <w:r>
        <w:t>Charter</w:t>
      </w:r>
      <w:r>
        <w:rPr>
          <w:spacing w:val="-6"/>
        </w:rPr>
        <w:t xml:space="preserve"> </w:t>
      </w:r>
      <w:r>
        <w:t>except</w:t>
      </w:r>
      <w:r>
        <w:rPr>
          <w:spacing w:val="-8"/>
        </w:rPr>
        <w:t xml:space="preserve"> </w:t>
      </w:r>
      <w:r>
        <w:t>and</w:t>
      </w:r>
      <w:r>
        <w:rPr>
          <w:spacing w:val="-10"/>
        </w:rPr>
        <w:t xml:space="preserve"> </w:t>
      </w:r>
      <w:r>
        <w:t>to</w:t>
      </w:r>
      <w:r>
        <w:rPr>
          <w:spacing w:val="-10"/>
        </w:rPr>
        <w:t xml:space="preserve"> </w:t>
      </w:r>
      <w:r>
        <w:t>the extent that they are exercising their function of developing the common law.</w:t>
      </w:r>
    </w:p>
    <w:p w14:paraId="7CB2637F" w14:textId="77777777" w:rsidR="008A4099" w:rsidRDefault="008A4099">
      <w:pPr>
        <w:pStyle w:val="BodyText"/>
        <w:spacing w:before="117"/>
      </w:pPr>
    </w:p>
    <w:p w14:paraId="7CB26380" w14:textId="77777777" w:rsidR="008A4099" w:rsidRDefault="006A6EE2">
      <w:pPr>
        <w:pStyle w:val="Heading5"/>
      </w:pPr>
      <w:r>
        <w:t>Recommendation</w:t>
      </w:r>
      <w:r>
        <w:rPr>
          <w:spacing w:val="-6"/>
        </w:rPr>
        <w:t xml:space="preserve"> </w:t>
      </w:r>
      <w:r>
        <w:t>9</w:t>
      </w:r>
      <w:r>
        <w:rPr>
          <w:spacing w:val="-4"/>
        </w:rPr>
        <w:t xml:space="preserve"> </w:t>
      </w:r>
      <w:r>
        <w:t>–</w:t>
      </w:r>
      <w:r>
        <w:rPr>
          <w:spacing w:val="-6"/>
        </w:rPr>
        <w:t xml:space="preserve"> </w:t>
      </w:r>
      <w:r>
        <w:t>Obligations</w:t>
      </w:r>
      <w:r>
        <w:rPr>
          <w:spacing w:val="-4"/>
        </w:rPr>
        <w:t xml:space="preserve"> </w:t>
      </w:r>
      <w:r>
        <w:t>of</w:t>
      </w:r>
      <w:r>
        <w:rPr>
          <w:spacing w:val="-4"/>
        </w:rPr>
        <w:t xml:space="preserve"> </w:t>
      </w:r>
      <w:r>
        <w:t>public</w:t>
      </w:r>
      <w:r>
        <w:rPr>
          <w:spacing w:val="-3"/>
        </w:rPr>
        <w:t xml:space="preserve"> </w:t>
      </w:r>
      <w:r>
        <w:rPr>
          <w:spacing w:val="-2"/>
        </w:rPr>
        <w:t>authorities</w:t>
      </w:r>
    </w:p>
    <w:p w14:paraId="7CB26381" w14:textId="77777777" w:rsidR="008A4099" w:rsidRDefault="006A6EE2">
      <w:pPr>
        <w:pStyle w:val="ListParagraph"/>
        <w:numPr>
          <w:ilvl w:val="0"/>
          <w:numId w:val="2"/>
        </w:numPr>
        <w:tabs>
          <w:tab w:val="left" w:pos="729"/>
        </w:tabs>
        <w:spacing w:before="223" w:line="252" w:lineRule="auto"/>
        <w:ind w:right="674"/>
      </w:pPr>
      <w:r>
        <w:t xml:space="preserve">All ‘public authorities’ should be required to act in a way that is compatible with human rights and, when making decisions, to give proper consideration to relevant human rights unless otherwise required by particular legislation. The approach of the Victorian </w:t>
      </w:r>
      <w:r>
        <w:rPr>
          <w:i/>
        </w:rPr>
        <w:t>Charter of Human Rights</w:t>
      </w:r>
      <w:r>
        <w:rPr>
          <w:i/>
          <w:spacing w:val="-11"/>
        </w:rPr>
        <w:t xml:space="preserve"> </w:t>
      </w:r>
      <w:r>
        <w:rPr>
          <w:i/>
        </w:rPr>
        <w:t>and</w:t>
      </w:r>
      <w:r>
        <w:rPr>
          <w:i/>
          <w:spacing w:val="-14"/>
        </w:rPr>
        <w:t xml:space="preserve"> </w:t>
      </w:r>
      <w:r>
        <w:rPr>
          <w:i/>
        </w:rPr>
        <w:t>Responsibilities</w:t>
      </w:r>
      <w:r>
        <w:rPr>
          <w:i/>
          <w:spacing w:val="-12"/>
        </w:rPr>
        <w:t xml:space="preserve"> </w:t>
      </w:r>
      <w:r>
        <w:rPr>
          <w:i/>
        </w:rPr>
        <w:t>2006</w:t>
      </w:r>
      <w:r>
        <w:rPr>
          <w:i/>
          <w:spacing w:val="-12"/>
        </w:rPr>
        <w:t xml:space="preserve"> </w:t>
      </w:r>
      <w:r>
        <w:t>in</w:t>
      </w:r>
      <w:r>
        <w:rPr>
          <w:spacing w:val="-12"/>
        </w:rPr>
        <w:t xml:space="preserve"> </w:t>
      </w:r>
      <w:r>
        <w:t>this</w:t>
      </w:r>
      <w:r>
        <w:rPr>
          <w:spacing w:val="-14"/>
        </w:rPr>
        <w:t xml:space="preserve"> </w:t>
      </w:r>
      <w:r>
        <w:t>regard</w:t>
      </w:r>
      <w:r>
        <w:rPr>
          <w:spacing w:val="-14"/>
        </w:rPr>
        <w:t xml:space="preserve"> </w:t>
      </w:r>
      <w:r>
        <w:t>could</w:t>
      </w:r>
      <w:r>
        <w:rPr>
          <w:spacing w:val="-11"/>
        </w:rPr>
        <w:t xml:space="preserve"> </w:t>
      </w:r>
      <w:r>
        <w:t>usefully</w:t>
      </w:r>
      <w:r>
        <w:rPr>
          <w:spacing w:val="-14"/>
        </w:rPr>
        <w:t xml:space="preserve"> </w:t>
      </w:r>
      <w:r>
        <w:t>be</w:t>
      </w:r>
      <w:r>
        <w:rPr>
          <w:spacing w:val="-12"/>
        </w:rPr>
        <w:t xml:space="preserve"> </w:t>
      </w:r>
      <w:r>
        <w:t>adopted</w:t>
      </w:r>
      <w:r>
        <w:rPr>
          <w:spacing w:val="-14"/>
        </w:rPr>
        <w:t xml:space="preserve"> </w:t>
      </w:r>
      <w:r>
        <w:t>in</w:t>
      </w:r>
      <w:r>
        <w:rPr>
          <w:spacing w:val="-12"/>
        </w:rPr>
        <w:t xml:space="preserve"> </w:t>
      </w:r>
      <w:r>
        <w:t>a</w:t>
      </w:r>
      <w:r>
        <w:rPr>
          <w:spacing w:val="-12"/>
        </w:rPr>
        <w:t xml:space="preserve"> </w:t>
      </w:r>
      <w:r>
        <w:t>Tasmanian</w:t>
      </w:r>
      <w:r>
        <w:rPr>
          <w:spacing w:val="-14"/>
        </w:rPr>
        <w:t xml:space="preserve"> </w:t>
      </w:r>
      <w:r>
        <w:t>Charter.</w:t>
      </w:r>
    </w:p>
    <w:p w14:paraId="7CB26382" w14:textId="77777777" w:rsidR="008A4099" w:rsidRDefault="006A6EE2">
      <w:pPr>
        <w:pStyle w:val="ListParagraph"/>
        <w:numPr>
          <w:ilvl w:val="0"/>
          <w:numId w:val="2"/>
        </w:numPr>
        <w:tabs>
          <w:tab w:val="left" w:pos="728"/>
        </w:tabs>
        <w:spacing w:before="170"/>
        <w:ind w:left="728" w:hanging="285"/>
        <w:jc w:val="left"/>
      </w:pPr>
      <w:r>
        <w:t>In</w:t>
      </w:r>
      <w:r>
        <w:rPr>
          <w:spacing w:val="-5"/>
        </w:rPr>
        <w:t xml:space="preserve"> </w:t>
      </w:r>
      <w:r>
        <w:t>this</w:t>
      </w:r>
      <w:r>
        <w:rPr>
          <w:spacing w:val="-4"/>
        </w:rPr>
        <w:t xml:space="preserve"> </w:t>
      </w:r>
      <w:r>
        <w:t>context,</w:t>
      </w:r>
      <w:r>
        <w:rPr>
          <w:spacing w:val="-3"/>
        </w:rPr>
        <w:t xml:space="preserve"> </w:t>
      </w:r>
      <w:r>
        <w:t>‘to</w:t>
      </w:r>
      <w:r>
        <w:rPr>
          <w:spacing w:val="-2"/>
        </w:rPr>
        <w:t xml:space="preserve"> </w:t>
      </w:r>
      <w:r>
        <w:t>act’</w:t>
      </w:r>
      <w:r>
        <w:rPr>
          <w:spacing w:val="-3"/>
        </w:rPr>
        <w:t xml:space="preserve"> </w:t>
      </w:r>
      <w:r>
        <w:t>should</w:t>
      </w:r>
      <w:r>
        <w:rPr>
          <w:spacing w:val="-2"/>
        </w:rPr>
        <w:t xml:space="preserve"> </w:t>
      </w:r>
      <w:r>
        <w:t>be</w:t>
      </w:r>
      <w:r>
        <w:rPr>
          <w:spacing w:val="-5"/>
        </w:rPr>
        <w:t xml:space="preserve"> </w:t>
      </w:r>
      <w:r>
        <w:t>defined</w:t>
      </w:r>
      <w:r>
        <w:rPr>
          <w:spacing w:val="-2"/>
        </w:rPr>
        <w:t xml:space="preserve"> </w:t>
      </w:r>
      <w:r>
        <w:t>as</w:t>
      </w:r>
      <w:r>
        <w:rPr>
          <w:spacing w:val="-4"/>
        </w:rPr>
        <w:t xml:space="preserve"> </w:t>
      </w:r>
      <w:r>
        <w:t>including</w:t>
      </w:r>
      <w:r>
        <w:rPr>
          <w:spacing w:val="-6"/>
        </w:rPr>
        <w:t xml:space="preserve"> </w:t>
      </w:r>
      <w:r>
        <w:t>‘failure</w:t>
      </w:r>
      <w:r>
        <w:rPr>
          <w:spacing w:val="-4"/>
        </w:rPr>
        <w:t xml:space="preserve"> </w:t>
      </w:r>
      <w:r>
        <w:t>to</w:t>
      </w:r>
      <w:r>
        <w:rPr>
          <w:spacing w:val="-2"/>
        </w:rPr>
        <w:t xml:space="preserve"> act’.</w:t>
      </w:r>
    </w:p>
    <w:p w14:paraId="7CB26383" w14:textId="77777777" w:rsidR="008A4099" w:rsidRDefault="006A6EE2">
      <w:pPr>
        <w:pStyle w:val="ListParagraph"/>
        <w:numPr>
          <w:ilvl w:val="0"/>
          <w:numId w:val="2"/>
        </w:numPr>
        <w:tabs>
          <w:tab w:val="left" w:pos="729"/>
        </w:tabs>
        <w:spacing w:before="163" w:line="252" w:lineRule="auto"/>
        <w:ind w:right="677"/>
      </w:pPr>
      <w:r>
        <w:t>The operation of the Charter should be phased in over an 18-month period to enable adequate time</w:t>
      </w:r>
      <w:r>
        <w:rPr>
          <w:spacing w:val="-7"/>
        </w:rPr>
        <w:t xml:space="preserve"> </w:t>
      </w:r>
      <w:r>
        <w:t>for</w:t>
      </w:r>
      <w:r>
        <w:rPr>
          <w:spacing w:val="-4"/>
        </w:rPr>
        <w:t xml:space="preserve"> </w:t>
      </w:r>
      <w:r>
        <w:t>educational</w:t>
      </w:r>
      <w:r>
        <w:rPr>
          <w:spacing w:val="-4"/>
        </w:rPr>
        <w:t xml:space="preserve"> </w:t>
      </w:r>
      <w:r>
        <w:t>programs</w:t>
      </w:r>
      <w:r>
        <w:rPr>
          <w:spacing w:val="-6"/>
        </w:rPr>
        <w:t xml:space="preserve"> </w:t>
      </w:r>
      <w:r>
        <w:t>to</w:t>
      </w:r>
      <w:r>
        <w:rPr>
          <w:spacing w:val="-7"/>
        </w:rPr>
        <w:t xml:space="preserve"> </w:t>
      </w:r>
      <w:r>
        <w:t>be</w:t>
      </w:r>
      <w:r>
        <w:rPr>
          <w:spacing w:val="-7"/>
        </w:rPr>
        <w:t xml:space="preserve"> </w:t>
      </w:r>
      <w:r>
        <w:t>undertaken</w:t>
      </w:r>
      <w:r>
        <w:rPr>
          <w:spacing w:val="-7"/>
        </w:rPr>
        <w:t xml:space="preserve"> </w:t>
      </w:r>
      <w:r>
        <w:t>by</w:t>
      </w:r>
      <w:r>
        <w:rPr>
          <w:spacing w:val="-7"/>
        </w:rPr>
        <w:t xml:space="preserve"> </w:t>
      </w:r>
      <w:r>
        <w:t>public</w:t>
      </w:r>
      <w:r>
        <w:rPr>
          <w:spacing w:val="-7"/>
        </w:rPr>
        <w:t xml:space="preserve"> </w:t>
      </w:r>
      <w:r>
        <w:t>authorities</w:t>
      </w:r>
      <w:r>
        <w:rPr>
          <w:spacing w:val="-4"/>
        </w:rPr>
        <w:t xml:space="preserve"> </w:t>
      </w:r>
      <w:r>
        <w:t>with</w:t>
      </w:r>
      <w:r>
        <w:rPr>
          <w:spacing w:val="-7"/>
        </w:rPr>
        <w:t xml:space="preserve"> </w:t>
      </w:r>
      <w:r>
        <w:t>respect</w:t>
      </w:r>
      <w:r>
        <w:rPr>
          <w:spacing w:val="-6"/>
        </w:rPr>
        <w:t xml:space="preserve"> </w:t>
      </w:r>
      <w:r>
        <w:t>to</w:t>
      </w:r>
      <w:r>
        <w:rPr>
          <w:spacing w:val="-5"/>
        </w:rPr>
        <w:t xml:space="preserve"> </w:t>
      </w:r>
      <w:r>
        <w:t>their</w:t>
      </w:r>
      <w:r>
        <w:rPr>
          <w:spacing w:val="-4"/>
        </w:rPr>
        <w:t xml:space="preserve"> </w:t>
      </w:r>
      <w:r>
        <w:t>human rights obligations and also to provide sufficient opportunity for the review, and adjustment if necessary, of existing practices.</w:t>
      </w:r>
    </w:p>
    <w:p w14:paraId="7CB26384" w14:textId="77777777" w:rsidR="008A4099" w:rsidRDefault="008A4099">
      <w:pPr>
        <w:pStyle w:val="BodyText"/>
        <w:spacing w:before="117"/>
      </w:pPr>
    </w:p>
    <w:p w14:paraId="7CB26385" w14:textId="77777777" w:rsidR="008A4099" w:rsidRDefault="006A6EE2">
      <w:pPr>
        <w:pStyle w:val="Heading5"/>
        <w:spacing w:before="1"/>
      </w:pPr>
      <w:r>
        <w:t>Recommendation</w:t>
      </w:r>
      <w:r>
        <w:rPr>
          <w:spacing w:val="-4"/>
        </w:rPr>
        <w:t xml:space="preserve"> </w:t>
      </w:r>
      <w:r>
        <w:t>10</w:t>
      </w:r>
      <w:r>
        <w:rPr>
          <w:spacing w:val="-3"/>
        </w:rPr>
        <w:t xml:space="preserve"> </w:t>
      </w:r>
      <w:r>
        <w:t>–</w:t>
      </w:r>
      <w:r>
        <w:rPr>
          <w:spacing w:val="-3"/>
        </w:rPr>
        <w:t xml:space="preserve"> </w:t>
      </w:r>
      <w:r>
        <w:t>Role</w:t>
      </w:r>
      <w:r>
        <w:rPr>
          <w:spacing w:val="-3"/>
        </w:rPr>
        <w:t xml:space="preserve"> </w:t>
      </w:r>
      <w:r>
        <w:t>of</w:t>
      </w:r>
      <w:r>
        <w:rPr>
          <w:spacing w:val="-3"/>
        </w:rPr>
        <w:t xml:space="preserve"> </w:t>
      </w:r>
      <w:r>
        <w:rPr>
          <w:spacing w:val="-2"/>
        </w:rPr>
        <w:t>Parliament</w:t>
      </w:r>
    </w:p>
    <w:p w14:paraId="7CB26386" w14:textId="77777777" w:rsidR="008A4099" w:rsidRDefault="006A6EE2">
      <w:pPr>
        <w:pStyle w:val="ListParagraph"/>
        <w:numPr>
          <w:ilvl w:val="0"/>
          <w:numId w:val="2"/>
        </w:numPr>
        <w:tabs>
          <w:tab w:val="left" w:pos="729"/>
        </w:tabs>
        <w:spacing w:before="219" w:line="249" w:lineRule="auto"/>
        <w:ind w:right="681"/>
      </w:pPr>
      <w:r>
        <w:t>Members of Parliament who propose to introduce new</w:t>
      </w:r>
      <w:r>
        <w:rPr>
          <w:spacing w:val="-3"/>
        </w:rPr>
        <w:t xml:space="preserve"> </w:t>
      </w:r>
      <w:r>
        <w:t>legislation should be required to provide reasoned</w:t>
      </w:r>
      <w:r>
        <w:rPr>
          <w:spacing w:val="-8"/>
        </w:rPr>
        <w:t xml:space="preserve"> </w:t>
      </w:r>
      <w:r>
        <w:t>statements</w:t>
      </w:r>
      <w:r>
        <w:rPr>
          <w:spacing w:val="-8"/>
        </w:rPr>
        <w:t xml:space="preserve"> </w:t>
      </w:r>
      <w:r>
        <w:t>of</w:t>
      </w:r>
      <w:r>
        <w:rPr>
          <w:spacing w:val="-7"/>
        </w:rPr>
        <w:t xml:space="preserve"> </w:t>
      </w:r>
      <w:r>
        <w:t>compatibility</w:t>
      </w:r>
      <w:r>
        <w:rPr>
          <w:spacing w:val="-8"/>
        </w:rPr>
        <w:t xml:space="preserve"> </w:t>
      </w:r>
      <w:r>
        <w:t>to</w:t>
      </w:r>
      <w:r>
        <w:rPr>
          <w:spacing w:val="-6"/>
        </w:rPr>
        <w:t xml:space="preserve"> </w:t>
      </w:r>
      <w:r>
        <w:t>Parliament</w:t>
      </w:r>
      <w:r>
        <w:rPr>
          <w:spacing w:val="-5"/>
        </w:rPr>
        <w:t xml:space="preserve"> </w:t>
      </w:r>
      <w:r>
        <w:t>concerning</w:t>
      </w:r>
      <w:r>
        <w:rPr>
          <w:spacing w:val="-8"/>
        </w:rPr>
        <w:t xml:space="preserve"> </w:t>
      </w:r>
      <w:r>
        <w:t>its</w:t>
      </w:r>
      <w:r>
        <w:rPr>
          <w:spacing w:val="-5"/>
        </w:rPr>
        <w:t xml:space="preserve"> </w:t>
      </w:r>
      <w:r>
        <w:t>compliance</w:t>
      </w:r>
      <w:r>
        <w:rPr>
          <w:spacing w:val="-5"/>
        </w:rPr>
        <w:t xml:space="preserve"> </w:t>
      </w:r>
      <w:r>
        <w:t>with</w:t>
      </w:r>
      <w:r>
        <w:rPr>
          <w:spacing w:val="-8"/>
        </w:rPr>
        <w:t xml:space="preserve"> </w:t>
      </w:r>
      <w:r>
        <w:t>human</w:t>
      </w:r>
      <w:r>
        <w:rPr>
          <w:spacing w:val="-6"/>
        </w:rPr>
        <w:t xml:space="preserve"> </w:t>
      </w:r>
      <w:r>
        <w:t>rights standards. These statements should address the following issues:</w:t>
      </w:r>
    </w:p>
    <w:p w14:paraId="7CB26387" w14:textId="77777777" w:rsidR="008A4099" w:rsidRDefault="006A6EE2">
      <w:pPr>
        <w:pStyle w:val="ListParagraph"/>
        <w:numPr>
          <w:ilvl w:val="1"/>
          <w:numId w:val="2"/>
        </w:numPr>
        <w:tabs>
          <w:tab w:val="left" w:pos="1578"/>
        </w:tabs>
        <w:spacing w:before="232"/>
        <w:ind w:hanging="566"/>
        <w:jc w:val="left"/>
      </w:pPr>
      <w:r>
        <w:t>the</w:t>
      </w:r>
      <w:r>
        <w:rPr>
          <w:spacing w:val="-5"/>
        </w:rPr>
        <w:t xml:space="preserve"> </w:t>
      </w:r>
      <w:r>
        <w:t>purpose</w:t>
      </w:r>
      <w:r>
        <w:rPr>
          <w:spacing w:val="-3"/>
        </w:rPr>
        <w:t xml:space="preserve"> </w:t>
      </w:r>
      <w:r>
        <w:t>of</w:t>
      </w:r>
      <w:r>
        <w:rPr>
          <w:spacing w:val="-3"/>
        </w:rPr>
        <w:t xml:space="preserve"> </w:t>
      </w:r>
      <w:r>
        <w:t>the</w:t>
      </w:r>
      <w:r>
        <w:rPr>
          <w:spacing w:val="-2"/>
        </w:rPr>
        <w:t xml:space="preserve"> </w:t>
      </w:r>
      <w:r>
        <w:rPr>
          <w:spacing w:val="-4"/>
        </w:rPr>
        <w:t>Bill;</w:t>
      </w:r>
    </w:p>
    <w:p w14:paraId="7CB26388" w14:textId="77777777" w:rsidR="008A4099" w:rsidRDefault="006A6EE2">
      <w:pPr>
        <w:pStyle w:val="ListParagraph"/>
        <w:numPr>
          <w:ilvl w:val="1"/>
          <w:numId w:val="2"/>
        </w:numPr>
        <w:tabs>
          <w:tab w:val="left" w:pos="1578"/>
        </w:tabs>
        <w:spacing w:before="221"/>
        <w:ind w:hanging="566"/>
        <w:jc w:val="left"/>
      </w:pPr>
      <w:r>
        <w:t>the</w:t>
      </w:r>
      <w:r>
        <w:rPr>
          <w:spacing w:val="-5"/>
        </w:rPr>
        <w:t xml:space="preserve"> </w:t>
      </w:r>
      <w:r>
        <w:t>proposed</w:t>
      </w:r>
      <w:r>
        <w:rPr>
          <w:spacing w:val="-6"/>
        </w:rPr>
        <w:t xml:space="preserve"> </w:t>
      </w:r>
      <w:r>
        <w:t>legislation’s</w:t>
      </w:r>
      <w:r>
        <w:rPr>
          <w:spacing w:val="-3"/>
        </w:rPr>
        <w:t xml:space="preserve"> </w:t>
      </w:r>
      <w:r>
        <w:t>effect</w:t>
      </w:r>
      <w:r>
        <w:rPr>
          <w:spacing w:val="-2"/>
        </w:rPr>
        <w:t xml:space="preserve"> </w:t>
      </w:r>
      <w:r>
        <w:t>upon</w:t>
      </w:r>
      <w:r>
        <w:rPr>
          <w:spacing w:val="-3"/>
        </w:rPr>
        <w:t xml:space="preserve"> </w:t>
      </w:r>
      <w:r>
        <w:t>any</w:t>
      </w:r>
      <w:r>
        <w:rPr>
          <w:spacing w:val="-3"/>
        </w:rPr>
        <w:t xml:space="preserve"> </w:t>
      </w:r>
      <w:r>
        <w:t>human</w:t>
      </w:r>
      <w:r>
        <w:rPr>
          <w:spacing w:val="-5"/>
        </w:rPr>
        <w:t xml:space="preserve"> </w:t>
      </w:r>
      <w:r>
        <w:t>rights</w:t>
      </w:r>
      <w:r>
        <w:rPr>
          <w:spacing w:val="-3"/>
        </w:rPr>
        <w:t xml:space="preserve"> </w:t>
      </w:r>
      <w:r>
        <w:t>in</w:t>
      </w:r>
      <w:r>
        <w:rPr>
          <w:spacing w:val="-6"/>
        </w:rPr>
        <w:t xml:space="preserve"> </w:t>
      </w:r>
      <w:r>
        <w:t>the</w:t>
      </w:r>
      <w:r>
        <w:rPr>
          <w:spacing w:val="-2"/>
        </w:rPr>
        <w:t xml:space="preserve"> Charter;</w:t>
      </w:r>
    </w:p>
    <w:p w14:paraId="7CB26389" w14:textId="77777777" w:rsidR="008A4099" w:rsidRDefault="006A6EE2">
      <w:pPr>
        <w:pStyle w:val="ListParagraph"/>
        <w:numPr>
          <w:ilvl w:val="1"/>
          <w:numId w:val="2"/>
        </w:numPr>
        <w:tabs>
          <w:tab w:val="left" w:pos="1576"/>
          <w:tab w:val="left" w:pos="1578"/>
        </w:tabs>
        <w:spacing w:before="223" w:line="252" w:lineRule="auto"/>
        <w:ind w:right="682"/>
      </w:pPr>
      <w:r>
        <w:t>any limitation placed upon any human right in the Charter by the Bill, the importance and purpose of this limitation, the nature and extent of this limitation, the relation between the limitation and its purpose and whether there is any less restrictive means to achieve that purpose.</w:t>
      </w:r>
    </w:p>
    <w:p w14:paraId="7CB2638A" w14:textId="77777777" w:rsidR="008A4099" w:rsidRDefault="006A6EE2">
      <w:pPr>
        <w:pStyle w:val="ListParagraph"/>
        <w:numPr>
          <w:ilvl w:val="0"/>
          <w:numId w:val="2"/>
        </w:numPr>
        <w:tabs>
          <w:tab w:val="left" w:pos="729"/>
        </w:tabs>
        <w:spacing w:before="229" w:line="249" w:lineRule="auto"/>
        <w:ind w:right="674"/>
      </w:pPr>
      <w:r>
        <w:t>To encourage a whole of legislature approach to human rights protection, responsibility for the provision of statements of compatibility should rest with all Members of Parliament who introduce new legislation.</w:t>
      </w:r>
    </w:p>
    <w:p w14:paraId="7CB2638B" w14:textId="77777777" w:rsidR="008A4099" w:rsidRDefault="006A6EE2">
      <w:pPr>
        <w:pStyle w:val="ListParagraph"/>
        <w:numPr>
          <w:ilvl w:val="0"/>
          <w:numId w:val="2"/>
        </w:numPr>
        <w:tabs>
          <w:tab w:val="left" w:pos="728"/>
        </w:tabs>
        <w:spacing w:before="172"/>
        <w:ind w:left="728" w:hanging="285"/>
        <w:jc w:val="left"/>
      </w:pPr>
      <w:r>
        <w:t>Statements</w:t>
      </w:r>
      <w:r>
        <w:rPr>
          <w:spacing w:val="-7"/>
        </w:rPr>
        <w:t xml:space="preserve"> </w:t>
      </w:r>
      <w:r>
        <w:t>of</w:t>
      </w:r>
      <w:r>
        <w:rPr>
          <w:spacing w:val="-6"/>
        </w:rPr>
        <w:t xml:space="preserve"> </w:t>
      </w:r>
      <w:r>
        <w:t>compatibility</w:t>
      </w:r>
      <w:r>
        <w:rPr>
          <w:spacing w:val="-7"/>
        </w:rPr>
        <w:t xml:space="preserve"> </w:t>
      </w:r>
      <w:r>
        <w:t>should</w:t>
      </w:r>
      <w:r>
        <w:rPr>
          <w:spacing w:val="-5"/>
        </w:rPr>
        <w:t xml:space="preserve"> </w:t>
      </w:r>
      <w:r>
        <w:t>accompany</w:t>
      </w:r>
      <w:r>
        <w:rPr>
          <w:spacing w:val="-6"/>
        </w:rPr>
        <w:t xml:space="preserve"> </w:t>
      </w:r>
      <w:r>
        <w:t>all</w:t>
      </w:r>
      <w:r>
        <w:rPr>
          <w:spacing w:val="-4"/>
        </w:rPr>
        <w:t xml:space="preserve"> </w:t>
      </w:r>
      <w:r>
        <w:t>subordinate</w:t>
      </w:r>
      <w:r>
        <w:rPr>
          <w:spacing w:val="-7"/>
        </w:rPr>
        <w:t xml:space="preserve"> </w:t>
      </w:r>
      <w:r>
        <w:t>legislation</w:t>
      </w:r>
      <w:r>
        <w:rPr>
          <w:spacing w:val="-4"/>
        </w:rPr>
        <w:t xml:space="preserve"> </w:t>
      </w:r>
      <w:r>
        <w:t>tabled</w:t>
      </w:r>
      <w:r>
        <w:rPr>
          <w:spacing w:val="-5"/>
        </w:rPr>
        <w:t xml:space="preserve"> </w:t>
      </w:r>
      <w:r>
        <w:t>in</w:t>
      </w:r>
      <w:r>
        <w:rPr>
          <w:spacing w:val="-7"/>
        </w:rPr>
        <w:t xml:space="preserve"> </w:t>
      </w:r>
      <w:r>
        <w:rPr>
          <w:spacing w:val="-2"/>
        </w:rPr>
        <w:t>Parliament.</w:t>
      </w:r>
    </w:p>
    <w:p w14:paraId="7CB2638C" w14:textId="77777777" w:rsidR="008A4099" w:rsidRDefault="006A6EE2">
      <w:pPr>
        <w:pStyle w:val="ListParagraph"/>
        <w:numPr>
          <w:ilvl w:val="0"/>
          <w:numId w:val="2"/>
        </w:numPr>
        <w:tabs>
          <w:tab w:val="left" w:pos="729"/>
        </w:tabs>
        <w:spacing w:before="163"/>
        <w:ind w:right="678"/>
      </w:pPr>
      <w:r>
        <w:t>A</w:t>
      </w:r>
      <w:r>
        <w:rPr>
          <w:spacing w:val="-16"/>
        </w:rPr>
        <w:t xml:space="preserve"> </w:t>
      </w:r>
      <w:r>
        <w:t>Parliamentary</w:t>
      </w:r>
      <w:r>
        <w:rPr>
          <w:spacing w:val="-14"/>
        </w:rPr>
        <w:t xml:space="preserve"> </w:t>
      </w:r>
      <w:r>
        <w:t>Joint</w:t>
      </w:r>
      <w:r>
        <w:rPr>
          <w:spacing w:val="-14"/>
        </w:rPr>
        <w:t xml:space="preserve"> </w:t>
      </w:r>
      <w:r>
        <w:t>Standing</w:t>
      </w:r>
      <w:r>
        <w:rPr>
          <w:spacing w:val="-13"/>
        </w:rPr>
        <w:t xml:space="preserve"> </w:t>
      </w:r>
      <w:r>
        <w:t>Committee</w:t>
      </w:r>
      <w:r>
        <w:rPr>
          <w:spacing w:val="-14"/>
        </w:rPr>
        <w:t xml:space="preserve"> </w:t>
      </w:r>
      <w:r>
        <w:t>to</w:t>
      </w:r>
      <w:r>
        <w:rPr>
          <w:spacing w:val="-14"/>
        </w:rPr>
        <w:t xml:space="preserve"> </w:t>
      </w:r>
      <w:r>
        <w:t>be</w:t>
      </w:r>
      <w:r>
        <w:rPr>
          <w:spacing w:val="-14"/>
        </w:rPr>
        <w:t xml:space="preserve"> </w:t>
      </w:r>
      <w:r>
        <w:t>called</w:t>
      </w:r>
      <w:r>
        <w:rPr>
          <w:spacing w:val="-13"/>
        </w:rPr>
        <w:t xml:space="preserve"> </w:t>
      </w:r>
      <w:r>
        <w:t>the</w:t>
      </w:r>
      <w:r>
        <w:rPr>
          <w:spacing w:val="-14"/>
        </w:rPr>
        <w:t xml:space="preserve"> </w:t>
      </w:r>
      <w:r>
        <w:t>Parliamentary</w:t>
      </w:r>
      <w:r>
        <w:rPr>
          <w:spacing w:val="-14"/>
        </w:rPr>
        <w:t xml:space="preserve"> </w:t>
      </w:r>
      <w:r>
        <w:t>Human</w:t>
      </w:r>
      <w:r>
        <w:rPr>
          <w:spacing w:val="-14"/>
        </w:rPr>
        <w:t xml:space="preserve"> </w:t>
      </w:r>
      <w:r>
        <w:t>Rights</w:t>
      </w:r>
      <w:r>
        <w:rPr>
          <w:spacing w:val="-13"/>
        </w:rPr>
        <w:t xml:space="preserve"> </w:t>
      </w:r>
      <w:r>
        <w:t>Scrutiny Committee should be established and charged with responsibility for:</w:t>
      </w:r>
    </w:p>
    <w:p w14:paraId="7CB2638D" w14:textId="77777777" w:rsidR="008A4099" w:rsidRDefault="006A6EE2">
      <w:pPr>
        <w:pStyle w:val="ListParagraph"/>
        <w:numPr>
          <w:ilvl w:val="0"/>
          <w:numId w:val="1"/>
        </w:numPr>
        <w:tabs>
          <w:tab w:val="left" w:pos="1576"/>
          <w:tab w:val="left" w:pos="1578"/>
        </w:tabs>
        <w:spacing w:before="181" w:line="259" w:lineRule="auto"/>
        <w:ind w:right="679"/>
        <w:jc w:val="both"/>
      </w:pPr>
      <w:r>
        <w:t>Considering</w:t>
      </w:r>
      <w:r>
        <w:rPr>
          <w:spacing w:val="-5"/>
        </w:rPr>
        <w:t xml:space="preserve"> </w:t>
      </w:r>
      <w:r>
        <w:t>and</w:t>
      </w:r>
      <w:r>
        <w:rPr>
          <w:spacing w:val="-4"/>
        </w:rPr>
        <w:t xml:space="preserve"> </w:t>
      </w:r>
      <w:r>
        <w:t>reporting</w:t>
      </w:r>
      <w:r>
        <w:rPr>
          <w:spacing w:val="-5"/>
        </w:rPr>
        <w:t xml:space="preserve"> </w:t>
      </w:r>
      <w:r>
        <w:t>on</w:t>
      </w:r>
      <w:r>
        <w:rPr>
          <w:spacing w:val="-5"/>
        </w:rPr>
        <w:t xml:space="preserve"> </w:t>
      </w:r>
      <w:r>
        <w:t>the</w:t>
      </w:r>
      <w:r>
        <w:rPr>
          <w:spacing w:val="-4"/>
        </w:rPr>
        <w:t xml:space="preserve"> </w:t>
      </w:r>
      <w:r>
        <w:t>human</w:t>
      </w:r>
      <w:r>
        <w:rPr>
          <w:spacing w:val="-4"/>
        </w:rPr>
        <w:t xml:space="preserve"> </w:t>
      </w:r>
      <w:r>
        <w:t>rights</w:t>
      </w:r>
      <w:r>
        <w:rPr>
          <w:spacing w:val="-4"/>
        </w:rPr>
        <w:t xml:space="preserve"> </w:t>
      </w:r>
      <w:r>
        <w:t>compliance</w:t>
      </w:r>
      <w:r>
        <w:rPr>
          <w:spacing w:val="-4"/>
        </w:rPr>
        <w:t xml:space="preserve"> </w:t>
      </w:r>
      <w:r>
        <w:t>of</w:t>
      </w:r>
      <w:r>
        <w:rPr>
          <w:spacing w:val="-4"/>
        </w:rPr>
        <w:t xml:space="preserve"> </w:t>
      </w:r>
      <w:r>
        <w:t>all</w:t>
      </w:r>
      <w:r>
        <w:rPr>
          <w:spacing w:val="-4"/>
        </w:rPr>
        <w:t xml:space="preserve"> </w:t>
      </w:r>
      <w:r>
        <w:t>Bills</w:t>
      </w:r>
      <w:r>
        <w:rPr>
          <w:spacing w:val="-4"/>
        </w:rPr>
        <w:t xml:space="preserve"> </w:t>
      </w:r>
      <w:r>
        <w:t>and</w:t>
      </w:r>
      <w:r>
        <w:rPr>
          <w:spacing w:val="-4"/>
        </w:rPr>
        <w:t xml:space="preserve"> </w:t>
      </w:r>
      <w:r>
        <w:t>subordinate legislation and with responsibility for reporting on human rights issues raised by</w:t>
      </w:r>
      <w:r>
        <w:rPr>
          <w:spacing w:val="-3"/>
        </w:rPr>
        <w:t xml:space="preserve"> </w:t>
      </w:r>
      <w:r>
        <w:t xml:space="preserve">Bills </w:t>
      </w:r>
      <w:r>
        <w:rPr>
          <w:spacing w:val="-2"/>
        </w:rPr>
        <w:t>generally.</w:t>
      </w:r>
    </w:p>
    <w:p w14:paraId="7CB2638E" w14:textId="77777777" w:rsidR="008A4099" w:rsidRDefault="006A6EE2">
      <w:pPr>
        <w:pStyle w:val="ListParagraph"/>
        <w:numPr>
          <w:ilvl w:val="0"/>
          <w:numId w:val="1"/>
        </w:numPr>
        <w:tabs>
          <w:tab w:val="left" w:pos="1576"/>
          <w:tab w:val="left" w:pos="1578"/>
        </w:tabs>
        <w:spacing w:before="160" w:line="259" w:lineRule="auto"/>
        <w:ind w:right="679"/>
        <w:jc w:val="both"/>
      </w:pPr>
      <w:r>
        <w:t>The</w:t>
      </w:r>
      <w:r>
        <w:rPr>
          <w:spacing w:val="-11"/>
        </w:rPr>
        <w:t xml:space="preserve"> </w:t>
      </w:r>
      <w:r>
        <w:t>Committee</w:t>
      </w:r>
      <w:r>
        <w:rPr>
          <w:spacing w:val="-10"/>
        </w:rPr>
        <w:t xml:space="preserve"> </w:t>
      </w:r>
      <w:r>
        <w:t>may</w:t>
      </w:r>
      <w:r>
        <w:rPr>
          <w:spacing w:val="-10"/>
        </w:rPr>
        <w:t xml:space="preserve"> </w:t>
      </w:r>
      <w:r>
        <w:t>also</w:t>
      </w:r>
      <w:r>
        <w:rPr>
          <w:spacing w:val="-10"/>
        </w:rPr>
        <w:t xml:space="preserve"> </w:t>
      </w:r>
      <w:r>
        <w:t>consider</w:t>
      </w:r>
      <w:r>
        <w:rPr>
          <w:spacing w:val="-10"/>
        </w:rPr>
        <w:t xml:space="preserve"> </w:t>
      </w:r>
      <w:r>
        <w:t>other</w:t>
      </w:r>
      <w:r>
        <w:rPr>
          <w:spacing w:val="-9"/>
        </w:rPr>
        <w:t xml:space="preserve"> </w:t>
      </w:r>
      <w:r>
        <w:t>questions</w:t>
      </w:r>
      <w:r>
        <w:rPr>
          <w:spacing w:val="-10"/>
        </w:rPr>
        <w:t xml:space="preserve"> </w:t>
      </w:r>
      <w:r>
        <w:t>arising</w:t>
      </w:r>
      <w:r>
        <w:rPr>
          <w:spacing w:val="-11"/>
        </w:rPr>
        <w:t xml:space="preserve"> </w:t>
      </w:r>
      <w:r>
        <w:t>under</w:t>
      </w:r>
      <w:r>
        <w:rPr>
          <w:spacing w:val="-12"/>
        </w:rPr>
        <w:t xml:space="preserve"> </w:t>
      </w:r>
      <w:r>
        <w:t>the</w:t>
      </w:r>
      <w:r>
        <w:rPr>
          <w:spacing w:val="-10"/>
        </w:rPr>
        <w:t xml:space="preserve"> </w:t>
      </w:r>
      <w:r>
        <w:t>Tasmanian</w:t>
      </w:r>
      <w:r>
        <w:rPr>
          <w:spacing w:val="-11"/>
        </w:rPr>
        <w:t xml:space="preserve"> </w:t>
      </w:r>
      <w:r>
        <w:t>Charter that are referred to it by either House of Parliament.</w:t>
      </w:r>
    </w:p>
    <w:p w14:paraId="7CB2638F" w14:textId="77777777" w:rsidR="008A4099" w:rsidRDefault="008A4099">
      <w:pPr>
        <w:spacing w:line="259" w:lineRule="auto"/>
        <w:jc w:val="both"/>
        <w:sectPr w:rsidR="008A4099" w:rsidSect="00D43B2D">
          <w:pgSz w:w="11910" w:h="16840"/>
          <w:pgMar w:top="980" w:right="760" w:bottom="940" w:left="1280" w:header="718" w:footer="753" w:gutter="0"/>
          <w:cols w:space="720"/>
        </w:sectPr>
      </w:pPr>
    </w:p>
    <w:p w14:paraId="7CB26390" w14:textId="77777777" w:rsidR="008A4099" w:rsidRDefault="008A4099">
      <w:pPr>
        <w:pStyle w:val="BodyText"/>
        <w:spacing w:before="196"/>
      </w:pPr>
    </w:p>
    <w:p w14:paraId="7CB26391" w14:textId="77777777" w:rsidR="008A4099" w:rsidRDefault="006A6EE2">
      <w:pPr>
        <w:pStyle w:val="ListParagraph"/>
        <w:numPr>
          <w:ilvl w:val="0"/>
          <w:numId w:val="1"/>
        </w:numPr>
        <w:tabs>
          <w:tab w:val="left" w:pos="1576"/>
          <w:tab w:val="left" w:pos="1578"/>
        </w:tabs>
        <w:spacing w:before="1" w:line="259" w:lineRule="auto"/>
        <w:ind w:right="678"/>
        <w:jc w:val="both"/>
      </w:pPr>
      <w:r>
        <w:t>The</w:t>
      </w:r>
      <w:r>
        <w:rPr>
          <w:spacing w:val="-10"/>
        </w:rPr>
        <w:t xml:space="preserve"> </w:t>
      </w:r>
      <w:r>
        <w:t>Committee</w:t>
      </w:r>
      <w:r>
        <w:rPr>
          <w:spacing w:val="-11"/>
        </w:rPr>
        <w:t xml:space="preserve"> </w:t>
      </w:r>
      <w:r>
        <w:t>should</w:t>
      </w:r>
      <w:r>
        <w:rPr>
          <w:spacing w:val="-10"/>
        </w:rPr>
        <w:t xml:space="preserve"> </w:t>
      </w:r>
      <w:r>
        <w:t>be</w:t>
      </w:r>
      <w:r>
        <w:rPr>
          <w:spacing w:val="-9"/>
        </w:rPr>
        <w:t xml:space="preserve"> </w:t>
      </w:r>
      <w:r>
        <w:t>constituted</w:t>
      </w:r>
      <w:r>
        <w:rPr>
          <w:spacing w:val="-12"/>
        </w:rPr>
        <w:t xml:space="preserve"> </w:t>
      </w:r>
      <w:r>
        <w:t>across</w:t>
      </w:r>
      <w:r>
        <w:rPr>
          <w:spacing w:val="-11"/>
        </w:rPr>
        <w:t xml:space="preserve"> </w:t>
      </w:r>
      <w:r>
        <w:t>party</w:t>
      </w:r>
      <w:r>
        <w:rPr>
          <w:spacing w:val="-12"/>
        </w:rPr>
        <w:t xml:space="preserve"> </w:t>
      </w:r>
      <w:r>
        <w:t>lines</w:t>
      </w:r>
      <w:r>
        <w:rPr>
          <w:spacing w:val="-11"/>
        </w:rPr>
        <w:t xml:space="preserve"> </w:t>
      </w:r>
      <w:r>
        <w:t>and</w:t>
      </w:r>
      <w:r>
        <w:rPr>
          <w:spacing w:val="-9"/>
        </w:rPr>
        <w:t xml:space="preserve"> </w:t>
      </w:r>
      <w:r>
        <w:t>consist</w:t>
      </w:r>
      <w:r>
        <w:rPr>
          <w:spacing w:val="-10"/>
        </w:rPr>
        <w:t xml:space="preserve"> </w:t>
      </w:r>
      <w:r>
        <w:t>of</w:t>
      </w:r>
      <w:r>
        <w:rPr>
          <w:spacing w:val="-11"/>
        </w:rPr>
        <w:t xml:space="preserve"> </w:t>
      </w:r>
      <w:r>
        <w:t>members</w:t>
      </w:r>
      <w:r>
        <w:rPr>
          <w:spacing w:val="-11"/>
        </w:rPr>
        <w:t xml:space="preserve"> </w:t>
      </w:r>
      <w:r>
        <w:t>of</w:t>
      </w:r>
      <w:r>
        <w:rPr>
          <w:spacing w:val="-11"/>
        </w:rPr>
        <w:t xml:space="preserve"> </w:t>
      </w:r>
      <w:r>
        <w:t xml:space="preserve">both Houses of Parliament. No party should have dominant representation on the </w:t>
      </w:r>
      <w:r>
        <w:rPr>
          <w:spacing w:val="-2"/>
        </w:rPr>
        <w:t>Committee.</w:t>
      </w:r>
    </w:p>
    <w:p w14:paraId="7CB26392" w14:textId="77777777" w:rsidR="008A4099" w:rsidRDefault="006A6EE2">
      <w:pPr>
        <w:pStyle w:val="ListParagraph"/>
        <w:numPr>
          <w:ilvl w:val="0"/>
          <w:numId w:val="1"/>
        </w:numPr>
        <w:tabs>
          <w:tab w:val="left" w:pos="1576"/>
          <w:tab w:val="left" w:pos="1578"/>
        </w:tabs>
        <w:spacing w:before="159" w:line="259" w:lineRule="auto"/>
        <w:ind w:right="683"/>
        <w:jc w:val="both"/>
      </w:pPr>
      <w:r>
        <w:t>The Committee should also inquire into and report on courts’ declarations of incompatibility within three months of the declaration being laid before Parliament.</w:t>
      </w:r>
    </w:p>
    <w:p w14:paraId="7CB26393" w14:textId="77777777" w:rsidR="008A4099" w:rsidRDefault="006A6EE2">
      <w:pPr>
        <w:pStyle w:val="ListParagraph"/>
        <w:numPr>
          <w:ilvl w:val="0"/>
          <w:numId w:val="1"/>
        </w:numPr>
        <w:tabs>
          <w:tab w:val="left" w:pos="1576"/>
          <w:tab w:val="left" w:pos="1578"/>
        </w:tabs>
        <w:spacing w:before="160" w:line="259" w:lineRule="auto"/>
        <w:ind w:right="679"/>
        <w:jc w:val="both"/>
      </w:pPr>
      <w:r>
        <w:t>The</w:t>
      </w:r>
      <w:r>
        <w:rPr>
          <w:spacing w:val="-7"/>
        </w:rPr>
        <w:t xml:space="preserve"> </w:t>
      </w:r>
      <w:r>
        <w:t>Committee</w:t>
      </w:r>
      <w:r>
        <w:rPr>
          <w:spacing w:val="-7"/>
        </w:rPr>
        <w:t xml:space="preserve"> </w:t>
      </w:r>
      <w:r>
        <w:t>should</w:t>
      </w:r>
      <w:r>
        <w:rPr>
          <w:spacing w:val="-10"/>
        </w:rPr>
        <w:t xml:space="preserve"> </w:t>
      </w:r>
      <w:r>
        <w:t>be</w:t>
      </w:r>
      <w:r>
        <w:rPr>
          <w:spacing w:val="-7"/>
        </w:rPr>
        <w:t xml:space="preserve"> </w:t>
      </w:r>
      <w:r>
        <w:t>adequately</w:t>
      </w:r>
      <w:r>
        <w:rPr>
          <w:spacing w:val="-7"/>
        </w:rPr>
        <w:t xml:space="preserve"> </w:t>
      </w:r>
      <w:r>
        <w:t>resourced</w:t>
      </w:r>
      <w:r>
        <w:rPr>
          <w:spacing w:val="-7"/>
        </w:rPr>
        <w:t xml:space="preserve"> </w:t>
      </w:r>
      <w:r>
        <w:t>and</w:t>
      </w:r>
      <w:r>
        <w:rPr>
          <w:spacing w:val="-7"/>
        </w:rPr>
        <w:t xml:space="preserve"> </w:t>
      </w:r>
      <w:r>
        <w:t>supported</w:t>
      </w:r>
      <w:r>
        <w:rPr>
          <w:spacing w:val="-7"/>
        </w:rPr>
        <w:t xml:space="preserve"> </w:t>
      </w:r>
      <w:r>
        <w:t>so</w:t>
      </w:r>
      <w:r>
        <w:rPr>
          <w:spacing w:val="-9"/>
        </w:rPr>
        <w:t xml:space="preserve"> </w:t>
      </w:r>
      <w:r>
        <w:t>that</w:t>
      </w:r>
      <w:r>
        <w:rPr>
          <w:spacing w:val="-6"/>
        </w:rPr>
        <w:t xml:space="preserve"> </w:t>
      </w:r>
      <w:r>
        <w:t>it</w:t>
      </w:r>
      <w:r>
        <w:rPr>
          <w:spacing w:val="-6"/>
        </w:rPr>
        <w:t xml:space="preserve"> </w:t>
      </w:r>
      <w:r>
        <w:t>can</w:t>
      </w:r>
      <w:r>
        <w:rPr>
          <w:spacing w:val="-10"/>
        </w:rPr>
        <w:t xml:space="preserve"> </w:t>
      </w:r>
      <w:r>
        <w:t>effectively perform its functions under the Charter.</w:t>
      </w:r>
    </w:p>
    <w:p w14:paraId="7CB26394" w14:textId="77777777" w:rsidR="008A4099" w:rsidRDefault="006A6EE2">
      <w:pPr>
        <w:pStyle w:val="ListParagraph"/>
        <w:numPr>
          <w:ilvl w:val="0"/>
          <w:numId w:val="2"/>
        </w:numPr>
        <w:tabs>
          <w:tab w:val="left" w:pos="729"/>
        </w:tabs>
        <w:spacing w:before="159" w:line="249" w:lineRule="auto"/>
        <w:ind w:right="684"/>
      </w:pPr>
      <w:r>
        <w:t>Where courts have issued a declaration of incompatibility in respect of legislation the Minister administering the legislation, having been notified of the declaration by the Registrar of the Supreme Court, should:</w:t>
      </w:r>
    </w:p>
    <w:p w14:paraId="7CB26395" w14:textId="77777777" w:rsidR="008A4099" w:rsidRDefault="006A6EE2">
      <w:pPr>
        <w:pStyle w:val="ListParagraph"/>
        <w:numPr>
          <w:ilvl w:val="1"/>
          <w:numId w:val="2"/>
        </w:numPr>
        <w:tabs>
          <w:tab w:val="left" w:pos="1578"/>
        </w:tabs>
        <w:spacing w:before="171"/>
        <w:ind w:hanging="566"/>
        <w:jc w:val="left"/>
      </w:pPr>
      <w:r>
        <w:t>within</w:t>
      </w:r>
      <w:r>
        <w:rPr>
          <w:spacing w:val="-5"/>
        </w:rPr>
        <w:t xml:space="preserve"> </w:t>
      </w:r>
      <w:r>
        <w:t>six</w:t>
      </w:r>
      <w:r>
        <w:rPr>
          <w:spacing w:val="-2"/>
        </w:rPr>
        <w:t xml:space="preserve"> </w:t>
      </w:r>
      <w:r>
        <w:t>sitting</w:t>
      </w:r>
      <w:r>
        <w:rPr>
          <w:spacing w:val="-2"/>
        </w:rPr>
        <w:t xml:space="preserve"> </w:t>
      </w:r>
      <w:r>
        <w:t>days</w:t>
      </w:r>
      <w:r>
        <w:rPr>
          <w:spacing w:val="-2"/>
        </w:rPr>
        <w:t xml:space="preserve"> </w:t>
      </w:r>
      <w:r>
        <w:t>of</w:t>
      </w:r>
      <w:r>
        <w:rPr>
          <w:spacing w:val="-4"/>
        </w:rPr>
        <w:t xml:space="preserve"> </w:t>
      </w:r>
      <w:r>
        <w:t>receiving</w:t>
      </w:r>
      <w:r>
        <w:rPr>
          <w:spacing w:val="-5"/>
        </w:rPr>
        <w:t xml:space="preserve"> </w:t>
      </w:r>
      <w:r>
        <w:t>the</w:t>
      </w:r>
      <w:r>
        <w:rPr>
          <w:spacing w:val="-4"/>
        </w:rPr>
        <w:t xml:space="preserve"> </w:t>
      </w:r>
      <w:r>
        <w:t>declaration</w:t>
      </w:r>
      <w:r>
        <w:rPr>
          <w:spacing w:val="-2"/>
        </w:rPr>
        <w:t xml:space="preserve"> </w:t>
      </w:r>
      <w:r>
        <w:t>present</w:t>
      </w:r>
      <w:r>
        <w:rPr>
          <w:spacing w:val="-2"/>
        </w:rPr>
        <w:t xml:space="preserve"> </w:t>
      </w:r>
      <w:r>
        <w:t>a</w:t>
      </w:r>
      <w:r>
        <w:rPr>
          <w:spacing w:val="-4"/>
        </w:rPr>
        <w:t xml:space="preserve"> </w:t>
      </w:r>
      <w:r>
        <w:t>copy</w:t>
      </w:r>
      <w:r>
        <w:rPr>
          <w:spacing w:val="-4"/>
        </w:rPr>
        <w:t xml:space="preserve"> </w:t>
      </w:r>
      <w:r>
        <w:t>of</w:t>
      </w:r>
      <w:r>
        <w:rPr>
          <w:spacing w:val="-4"/>
        </w:rPr>
        <w:t xml:space="preserve"> </w:t>
      </w:r>
      <w:r>
        <w:t>it</w:t>
      </w:r>
      <w:r>
        <w:rPr>
          <w:spacing w:val="-4"/>
        </w:rPr>
        <w:t xml:space="preserve"> </w:t>
      </w:r>
      <w:r>
        <w:t>to</w:t>
      </w:r>
      <w:r>
        <w:rPr>
          <w:spacing w:val="-2"/>
        </w:rPr>
        <w:t xml:space="preserve"> Parliament;</w:t>
      </w:r>
    </w:p>
    <w:p w14:paraId="7CB26396" w14:textId="77777777" w:rsidR="008A4099" w:rsidRDefault="006A6EE2">
      <w:pPr>
        <w:pStyle w:val="ListParagraph"/>
        <w:numPr>
          <w:ilvl w:val="1"/>
          <w:numId w:val="2"/>
        </w:numPr>
        <w:tabs>
          <w:tab w:val="left" w:pos="1576"/>
          <w:tab w:val="left" w:pos="1578"/>
        </w:tabs>
        <w:spacing w:before="123" w:line="242" w:lineRule="auto"/>
        <w:ind w:right="683"/>
      </w:pPr>
      <w:r>
        <w:t>within seven days of receiving it refer the declaration to the Parliamentary Human Rights Scrutiny Committee;</w:t>
      </w:r>
    </w:p>
    <w:p w14:paraId="7CB26397" w14:textId="77777777" w:rsidR="008A4099" w:rsidRDefault="006A6EE2">
      <w:pPr>
        <w:pStyle w:val="ListParagraph"/>
        <w:numPr>
          <w:ilvl w:val="1"/>
          <w:numId w:val="2"/>
        </w:numPr>
        <w:tabs>
          <w:tab w:val="left" w:pos="1576"/>
          <w:tab w:val="left" w:pos="1578"/>
        </w:tabs>
        <w:spacing w:before="135" w:line="249" w:lineRule="auto"/>
        <w:ind w:right="679"/>
      </w:pPr>
      <w:r>
        <w:t>within six months of receiving the declaration, present a written report to Parliament, responding</w:t>
      </w:r>
      <w:r>
        <w:rPr>
          <w:spacing w:val="-5"/>
        </w:rPr>
        <w:t xml:space="preserve"> </w:t>
      </w:r>
      <w:r>
        <w:t>to</w:t>
      </w:r>
      <w:r>
        <w:rPr>
          <w:spacing w:val="-7"/>
        </w:rPr>
        <w:t xml:space="preserve"> </w:t>
      </w:r>
      <w:r>
        <w:t>the</w:t>
      </w:r>
      <w:r>
        <w:rPr>
          <w:spacing w:val="-5"/>
        </w:rPr>
        <w:t xml:space="preserve"> </w:t>
      </w:r>
      <w:r>
        <w:t>declaration.</w:t>
      </w:r>
      <w:r>
        <w:rPr>
          <w:spacing w:val="-5"/>
        </w:rPr>
        <w:t xml:space="preserve"> </w:t>
      </w:r>
      <w:r>
        <w:t>This</w:t>
      </w:r>
      <w:r>
        <w:rPr>
          <w:spacing w:val="-5"/>
        </w:rPr>
        <w:t xml:space="preserve"> </w:t>
      </w:r>
      <w:r>
        <w:t>report</w:t>
      </w:r>
      <w:r>
        <w:rPr>
          <w:spacing w:val="-5"/>
        </w:rPr>
        <w:t xml:space="preserve"> </w:t>
      </w:r>
      <w:r>
        <w:t>should</w:t>
      </w:r>
      <w:r>
        <w:rPr>
          <w:spacing w:val="-5"/>
        </w:rPr>
        <w:t xml:space="preserve"> </w:t>
      </w:r>
      <w:r>
        <w:t>also</w:t>
      </w:r>
      <w:r>
        <w:rPr>
          <w:spacing w:val="-5"/>
        </w:rPr>
        <w:t xml:space="preserve"> </w:t>
      </w:r>
      <w:r>
        <w:t>be</w:t>
      </w:r>
      <w:r>
        <w:rPr>
          <w:spacing w:val="-5"/>
        </w:rPr>
        <w:t xml:space="preserve"> </w:t>
      </w:r>
      <w:r>
        <w:t>provided</w:t>
      </w:r>
      <w:r>
        <w:rPr>
          <w:spacing w:val="-7"/>
        </w:rPr>
        <w:t xml:space="preserve"> </w:t>
      </w:r>
      <w:r>
        <w:t>to</w:t>
      </w:r>
      <w:r>
        <w:rPr>
          <w:spacing w:val="-5"/>
        </w:rPr>
        <w:t xml:space="preserve"> </w:t>
      </w:r>
      <w:r>
        <w:t>the</w:t>
      </w:r>
      <w:r>
        <w:rPr>
          <w:spacing w:val="-5"/>
        </w:rPr>
        <w:t xml:space="preserve"> </w:t>
      </w:r>
      <w:r>
        <w:t>Parliamentary Human Rights Scrutiny Committee.</w:t>
      </w:r>
    </w:p>
    <w:p w14:paraId="7CB26398" w14:textId="77777777" w:rsidR="008A4099" w:rsidRDefault="006A6EE2">
      <w:pPr>
        <w:pStyle w:val="ListParagraph"/>
        <w:numPr>
          <w:ilvl w:val="0"/>
          <w:numId w:val="2"/>
        </w:numPr>
        <w:tabs>
          <w:tab w:val="left" w:pos="729"/>
        </w:tabs>
        <w:spacing w:before="133"/>
        <w:ind w:right="678"/>
      </w:pPr>
      <w:r>
        <w:t>Parliament</w:t>
      </w:r>
      <w:r>
        <w:rPr>
          <w:spacing w:val="-12"/>
        </w:rPr>
        <w:t xml:space="preserve"> </w:t>
      </w:r>
      <w:r>
        <w:t>should</w:t>
      </w:r>
      <w:r>
        <w:rPr>
          <w:spacing w:val="-14"/>
        </w:rPr>
        <w:t xml:space="preserve"> </w:t>
      </w:r>
      <w:r>
        <w:t>respond</w:t>
      </w:r>
      <w:r>
        <w:rPr>
          <w:spacing w:val="-12"/>
        </w:rPr>
        <w:t xml:space="preserve"> </w:t>
      </w:r>
      <w:r>
        <w:t>to</w:t>
      </w:r>
      <w:r>
        <w:rPr>
          <w:spacing w:val="-12"/>
        </w:rPr>
        <w:t xml:space="preserve"> </w:t>
      </w:r>
      <w:r>
        <w:t>courts’</w:t>
      </w:r>
      <w:r>
        <w:rPr>
          <w:spacing w:val="-11"/>
        </w:rPr>
        <w:t xml:space="preserve"> </w:t>
      </w:r>
      <w:r>
        <w:t>declarations</w:t>
      </w:r>
      <w:r>
        <w:rPr>
          <w:spacing w:val="-11"/>
        </w:rPr>
        <w:t xml:space="preserve"> </w:t>
      </w:r>
      <w:r>
        <w:t>of</w:t>
      </w:r>
      <w:r>
        <w:rPr>
          <w:spacing w:val="-11"/>
        </w:rPr>
        <w:t xml:space="preserve"> </w:t>
      </w:r>
      <w:r>
        <w:t>incompatibility</w:t>
      </w:r>
      <w:r>
        <w:rPr>
          <w:spacing w:val="-12"/>
        </w:rPr>
        <w:t xml:space="preserve"> </w:t>
      </w:r>
      <w:r>
        <w:t>within</w:t>
      </w:r>
      <w:r>
        <w:rPr>
          <w:spacing w:val="-14"/>
        </w:rPr>
        <w:t xml:space="preserve"> </w:t>
      </w:r>
      <w:r>
        <w:t>seven</w:t>
      </w:r>
      <w:r>
        <w:rPr>
          <w:spacing w:val="-14"/>
        </w:rPr>
        <w:t xml:space="preserve"> </w:t>
      </w:r>
      <w:r>
        <w:t>months</w:t>
      </w:r>
      <w:r>
        <w:rPr>
          <w:spacing w:val="-11"/>
        </w:rPr>
        <w:t xml:space="preserve"> </w:t>
      </w:r>
      <w:r>
        <w:t>of</w:t>
      </w:r>
      <w:r>
        <w:rPr>
          <w:spacing w:val="-11"/>
        </w:rPr>
        <w:t xml:space="preserve"> </w:t>
      </w:r>
      <w:r>
        <w:t>their being tabled in Parliament by amending, repealing or explicitly confirming the legislation.</w:t>
      </w:r>
    </w:p>
    <w:p w14:paraId="7CB26399" w14:textId="77777777" w:rsidR="008A4099" w:rsidRDefault="006A6EE2">
      <w:pPr>
        <w:pStyle w:val="ListParagraph"/>
        <w:numPr>
          <w:ilvl w:val="0"/>
          <w:numId w:val="2"/>
        </w:numPr>
        <w:tabs>
          <w:tab w:val="left" w:pos="729"/>
        </w:tabs>
        <w:spacing w:before="181" w:line="254" w:lineRule="auto"/>
        <w:ind w:right="676"/>
      </w:pPr>
      <w:r>
        <w:t>If Parliament does not amend, repeal or confirm the legislation within seven months after the tabling</w:t>
      </w:r>
      <w:r>
        <w:rPr>
          <w:spacing w:val="-3"/>
        </w:rPr>
        <w:t xml:space="preserve"> </w:t>
      </w:r>
      <w:r>
        <w:t>of</w:t>
      </w:r>
      <w:r>
        <w:rPr>
          <w:spacing w:val="-2"/>
        </w:rPr>
        <w:t xml:space="preserve"> </w:t>
      </w:r>
      <w:r>
        <w:t>a declaration of</w:t>
      </w:r>
      <w:r>
        <w:rPr>
          <w:spacing w:val="-2"/>
        </w:rPr>
        <w:t xml:space="preserve"> </w:t>
      </w:r>
      <w:r>
        <w:t>incompatibility,</w:t>
      </w:r>
      <w:r>
        <w:rPr>
          <w:spacing w:val="-3"/>
        </w:rPr>
        <w:t xml:space="preserve"> </w:t>
      </w:r>
      <w:r>
        <w:t>the legislation should,</w:t>
      </w:r>
      <w:r>
        <w:rPr>
          <w:spacing w:val="-2"/>
        </w:rPr>
        <w:t xml:space="preserve"> </w:t>
      </w:r>
      <w:r>
        <w:t>as at</w:t>
      </w:r>
      <w:r>
        <w:rPr>
          <w:spacing w:val="-1"/>
        </w:rPr>
        <w:t xml:space="preserve"> </w:t>
      </w:r>
      <w:r>
        <w:t>the date of</w:t>
      </w:r>
      <w:r>
        <w:rPr>
          <w:spacing w:val="-2"/>
        </w:rPr>
        <w:t xml:space="preserve"> </w:t>
      </w:r>
      <w:r>
        <w:t>the expiration of the seven-month period, be inoperative to the extent of its incompatibility with the Charter. The</w:t>
      </w:r>
      <w:r>
        <w:rPr>
          <w:spacing w:val="-7"/>
        </w:rPr>
        <w:t xml:space="preserve"> </w:t>
      </w:r>
      <w:r>
        <w:t>effect</w:t>
      </w:r>
      <w:r>
        <w:rPr>
          <w:spacing w:val="-6"/>
        </w:rPr>
        <w:t xml:space="preserve"> </w:t>
      </w:r>
      <w:r>
        <w:t>of</w:t>
      </w:r>
      <w:r>
        <w:rPr>
          <w:spacing w:val="-6"/>
        </w:rPr>
        <w:t xml:space="preserve"> </w:t>
      </w:r>
      <w:r>
        <w:t>this</w:t>
      </w:r>
      <w:r>
        <w:rPr>
          <w:spacing w:val="-6"/>
        </w:rPr>
        <w:t xml:space="preserve"> </w:t>
      </w:r>
      <w:r>
        <w:t>should</w:t>
      </w:r>
      <w:r>
        <w:rPr>
          <w:spacing w:val="-7"/>
        </w:rPr>
        <w:t xml:space="preserve"> </w:t>
      </w:r>
      <w:r>
        <w:t>be</w:t>
      </w:r>
      <w:r>
        <w:rPr>
          <w:spacing w:val="-7"/>
        </w:rPr>
        <w:t xml:space="preserve"> </w:t>
      </w:r>
      <w:r>
        <w:t>the</w:t>
      </w:r>
      <w:r>
        <w:rPr>
          <w:spacing w:val="-7"/>
        </w:rPr>
        <w:t xml:space="preserve"> </w:t>
      </w:r>
      <w:r>
        <w:t>same</w:t>
      </w:r>
      <w:r>
        <w:rPr>
          <w:spacing w:val="-7"/>
        </w:rPr>
        <w:t xml:space="preserve"> </w:t>
      </w:r>
      <w:r>
        <w:t>as</w:t>
      </w:r>
      <w:r>
        <w:rPr>
          <w:spacing w:val="-6"/>
        </w:rPr>
        <w:t xml:space="preserve"> </w:t>
      </w:r>
      <w:r>
        <w:t>a</w:t>
      </w:r>
      <w:r>
        <w:rPr>
          <w:spacing w:val="-7"/>
        </w:rPr>
        <w:t xml:space="preserve"> </w:t>
      </w:r>
      <w:r>
        <w:t>partial</w:t>
      </w:r>
      <w:r>
        <w:rPr>
          <w:spacing w:val="-6"/>
        </w:rPr>
        <w:t xml:space="preserve"> </w:t>
      </w:r>
      <w:r>
        <w:t>or,</w:t>
      </w:r>
      <w:r>
        <w:rPr>
          <w:spacing w:val="-7"/>
        </w:rPr>
        <w:t xml:space="preserve"> </w:t>
      </w:r>
      <w:r>
        <w:t>where</w:t>
      </w:r>
      <w:r>
        <w:rPr>
          <w:spacing w:val="-7"/>
        </w:rPr>
        <w:t xml:space="preserve"> </w:t>
      </w:r>
      <w:r>
        <w:t>relevant,</w:t>
      </w:r>
      <w:r>
        <w:rPr>
          <w:spacing w:val="-7"/>
        </w:rPr>
        <w:t xml:space="preserve"> </w:t>
      </w:r>
      <w:r>
        <w:t>total</w:t>
      </w:r>
      <w:r>
        <w:rPr>
          <w:spacing w:val="-8"/>
        </w:rPr>
        <w:t xml:space="preserve"> </w:t>
      </w:r>
      <w:r>
        <w:t>repeal</w:t>
      </w:r>
      <w:r>
        <w:rPr>
          <w:spacing w:val="-6"/>
        </w:rPr>
        <w:t xml:space="preserve"> </w:t>
      </w:r>
      <w:r>
        <w:t>of</w:t>
      </w:r>
      <w:r>
        <w:rPr>
          <w:spacing w:val="-6"/>
        </w:rPr>
        <w:t xml:space="preserve"> </w:t>
      </w:r>
      <w:r>
        <w:t>the</w:t>
      </w:r>
      <w:r>
        <w:rPr>
          <w:spacing w:val="-7"/>
        </w:rPr>
        <w:t xml:space="preserve"> </w:t>
      </w:r>
      <w:r>
        <w:t>legislation and its inoperability should not be retrospective.</w:t>
      </w:r>
    </w:p>
    <w:p w14:paraId="7CB2639A" w14:textId="77777777" w:rsidR="008A4099" w:rsidRDefault="006A6EE2">
      <w:pPr>
        <w:pStyle w:val="ListParagraph"/>
        <w:numPr>
          <w:ilvl w:val="0"/>
          <w:numId w:val="2"/>
        </w:numPr>
        <w:tabs>
          <w:tab w:val="left" w:pos="729"/>
        </w:tabs>
        <w:spacing w:before="166" w:line="242" w:lineRule="auto"/>
        <w:ind w:right="683"/>
      </w:pPr>
      <w:r>
        <w:t xml:space="preserve">Where Parliament wishes to confirm the legislation it should enact an override clause in the </w:t>
      </w:r>
      <w:r>
        <w:rPr>
          <w:spacing w:val="-2"/>
        </w:rPr>
        <w:t>legislation.</w:t>
      </w:r>
    </w:p>
    <w:p w14:paraId="7CB2639B" w14:textId="77777777" w:rsidR="008A4099" w:rsidRDefault="006A6EE2">
      <w:pPr>
        <w:pStyle w:val="ListParagraph"/>
        <w:numPr>
          <w:ilvl w:val="0"/>
          <w:numId w:val="2"/>
        </w:numPr>
        <w:tabs>
          <w:tab w:val="left" w:pos="729"/>
        </w:tabs>
        <w:spacing w:before="176" w:line="249" w:lineRule="auto"/>
        <w:ind w:right="681"/>
      </w:pPr>
      <w:r>
        <w:t>Override clauses should be enacted only in response to courts’ declarations of incompatibility. There should be no provision for Parliament to enact override legislation/clauses in other situations. Enactment of override clauses should be subject to other strict limitations:</w:t>
      </w:r>
    </w:p>
    <w:p w14:paraId="7CB2639C" w14:textId="77777777" w:rsidR="008A4099" w:rsidRDefault="006A6EE2">
      <w:pPr>
        <w:pStyle w:val="ListParagraph"/>
        <w:numPr>
          <w:ilvl w:val="1"/>
          <w:numId w:val="2"/>
        </w:numPr>
        <w:tabs>
          <w:tab w:val="left" w:pos="1239"/>
        </w:tabs>
        <w:spacing w:before="171"/>
        <w:ind w:left="1239" w:hanging="359"/>
      </w:pPr>
      <w:r>
        <w:t>Non-derogable</w:t>
      </w:r>
      <w:r>
        <w:rPr>
          <w:spacing w:val="-6"/>
        </w:rPr>
        <w:t xml:space="preserve"> </w:t>
      </w:r>
      <w:r>
        <w:t>rights</w:t>
      </w:r>
      <w:r>
        <w:rPr>
          <w:spacing w:val="-6"/>
        </w:rPr>
        <w:t xml:space="preserve"> </w:t>
      </w:r>
      <w:r>
        <w:t>should</w:t>
      </w:r>
      <w:r>
        <w:rPr>
          <w:spacing w:val="-3"/>
        </w:rPr>
        <w:t xml:space="preserve"> </w:t>
      </w:r>
      <w:r>
        <w:t>be</w:t>
      </w:r>
      <w:r>
        <w:rPr>
          <w:spacing w:val="-4"/>
        </w:rPr>
        <w:t xml:space="preserve"> </w:t>
      </w:r>
      <w:r>
        <w:t>excluded</w:t>
      </w:r>
      <w:r>
        <w:rPr>
          <w:spacing w:val="-4"/>
        </w:rPr>
        <w:t xml:space="preserve"> </w:t>
      </w:r>
      <w:r>
        <w:t>from</w:t>
      </w:r>
      <w:r>
        <w:rPr>
          <w:spacing w:val="-3"/>
        </w:rPr>
        <w:t xml:space="preserve"> </w:t>
      </w:r>
      <w:r>
        <w:t>their</w:t>
      </w:r>
      <w:r>
        <w:rPr>
          <w:spacing w:val="-3"/>
        </w:rPr>
        <w:t xml:space="preserve"> </w:t>
      </w:r>
      <w:r>
        <w:rPr>
          <w:spacing w:val="-2"/>
        </w:rPr>
        <w:t>operation.</w:t>
      </w:r>
    </w:p>
    <w:p w14:paraId="7CB2639D" w14:textId="77777777" w:rsidR="008A4099" w:rsidRDefault="006A6EE2">
      <w:pPr>
        <w:pStyle w:val="ListParagraph"/>
        <w:numPr>
          <w:ilvl w:val="1"/>
          <w:numId w:val="2"/>
        </w:numPr>
        <w:tabs>
          <w:tab w:val="left" w:pos="1239"/>
        </w:tabs>
        <w:spacing w:before="142"/>
        <w:ind w:left="1239" w:hanging="359"/>
      </w:pPr>
      <w:r>
        <w:t>The</w:t>
      </w:r>
      <w:r>
        <w:rPr>
          <w:spacing w:val="-9"/>
        </w:rPr>
        <w:t xml:space="preserve"> </w:t>
      </w:r>
      <w:r>
        <w:t>power</w:t>
      </w:r>
      <w:r>
        <w:rPr>
          <w:spacing w:val="-7"/>
        </w:rPr>
        <w:t xml:space="preserve"> </w:t>
      </w:r>
      <w:r>
        <w:t>to</w:t>
      </w:r>
      <w:r>
        <w:rPr>
          <w:spacing w:val="-7"/>
        </w:rPr>
        <w:t xml:space="preserve"> </w:t>
      </w:r>
      <w:r>
        <w:t>enact</w:t>
      </w:r>
      <w:r>
        <w:rPr>
          <w:spacing w:val="-6"/>
        </w:rPr>
        <w:t xml:space="preserve"> </w:t>
      </w:r>
      <w:r>
        <w:t>override</w:t>
      </w:r>
      <w:r>
        <w:rPr>
          <w:spacing w:val="-6"/>
        </w:rPr>
        <w:t xml:space="preserve"> </w:t>
      </w:r>
      <w:r>
        <w:t>declarations</w:t>
      </w:r>
      <w:r>
        <w:rPr>
          <w:spacing w:val="-6"/>
        </w:rPr>
        <w:t xml:space="preserve"> </w:t>
      </w:r>
      <w:r>
        <w:t>should</w:t>
      </w:r>
      <w:r>
        <w:rPr>
          <w:spacing w:val="-7"/>
        </w:rPr>
        <w:t xml:space="preserve"> </w:t>
      </w:r>
      <w:r>
        <w:t>be</w:t>
      </w:r>
      <w:r>
        <w:rPr>
          <w:spacing w:val="-9"/>
        </w:rPr>
        <w:t xml:space="preserve"> </w:t>
      </w:r>
      <w:r>
        <w:t>confined</w:t>
      </w:r>
      <w:r>
        <w:rPr>
          <w:spacing w:val="-8"/>
        </w:rPr>
        <w:t xml:space="preserve"> </w:t>
      </w:r>
      <w:r>
        <w:t>to</w:t>
      </w:r>
      <w:r>
        <w:rPr>
          <w:spacing w:val="-7"/>
        </w:rPr>
        <w:t xml:space="preserve"> </w:t>
      </w:r>
      <w:r>
        <w:t>exceptional</w:t>
      </w:r>
      <w:r>
        <w:rPr>
          <w:spacing w:val="-6"/>
        </w:rPr>
        <w:t xml:space="preserve"> </w:t>
      </w:r>
      <w:r>
        <w:rPr>
          <w:spacing w:val="-2"/>
        </w:rPr>
        <w:t>circumstances.</w:t>
      </w:r>
    </w:p>
    <w:p w14:paraId="7CB2639E" w14:textId="77777777" w:rsidR="008A4099" w:rsidRDefault="006A6EE2">
      <w:pPr>
        <w:pStyle w:val="ListParagraph"/>
        <w:numPr>
          <w:ilvl w:val="1"/>
          <w:numId w:val="2"/>
        </w:numPr>
        <w:tabs>
          <w:tab w:val="left" w:pos="1240"/>
        </w:tabs>
        <w:spacing w:before="138" w:line="266" w:lineRule="auto"/>
        <w:ind w:left="1240" w:right="680" w:hanging="360"/>
      </w:pPr>
      <w:r>
        <w:t>The Minister who administers the legislation should set down in a statement of incompatibility</w:t>
      </w:r>
      <w:r>
        <w:rPr>
          <w:spacing w:val="-4"/>
        </w:rPr>
        <w:t xml:space="preserve"> </w:t>
      </w:r>
      <w:r>
        <w:t>to</w:t>
      </w:r>
      <w:r>
        <w:rPr>
          <w:spacing w:val="-4"/>
        </w:rPr>
        <w:t xml:space="preserve"> </w:t>
      </w:r>
      <w:r>
        <w:t>Parliament</w:t>
      </w:r>
      <w:r>
        <w:rPr>
          <w:spacing w:val="-3"/>
        </w:rPr>
        <w:t xml:space="preserve"> </w:t>
      </w:r>
      <w:r>
        <w:t>the</w:t>
      </w:r>
      <w:r>
        <w:rPr>
          <w:spacing w:val="-4"/>
        </w:rPr>
        <w:t xml:space="preserve"> </w:t>
      </w:r>
      <w:r>
        <w:t>‘exceptional</w:t>
      </w:r>
      <w:r>
        <w:rPr>
          <w:spacing w:val="-5"/>
        </w:rPr>
        <w:t xml:space="preserve"> </w:t>
      </w:r>
      <w:r>
        <w:t>circumstances’</w:t>
      </w:r>
      <w:r>
        <w:rPr>
          <w:spacing w:val="-4"/>
        </w:rPr>
        <w:t xml:space="preserve"> </w:t>
      </w:r>
      <w:r>
        <w:t>that</w:t>
      </w:r>
      <w:r>
        <w:rPr>
          <w:spacing w:val="-5"/>
        </w:rPr>
        <w:t xml:space="preserve"> </w:t>
      </w:r>
      <w:r>
        <w:t>justify</w:t>
      </w:r>
      <w:r>
        <w:rPr>
          <w:spacing w:val="-4"/>
        </w:rPr>
        <w:t xml:space="preserve"> </w:t>
      </w:r>
      <w:r>
        <w:t>the</w:t>
      </w:r>
      <w:r>
        <w:rPr>
          <w:spacing w:val="-4"/>
        </w:rPr>
        <w:t xml:space="preserve"> </w:t>
      </w:r>
      <w:r>
        <w:t>enactment</w:t>
      </w:r>
      <w:r>
        <w:rPr>
          <w:spacing w:val="-3"/>
        </w:rPr>
        <w:t xml:space="preserve"> </w:t>
      </w:r>
      <w:r>
        <w:t>of the override clause.</w:t>
      </w:r>
    </w:p>
    <w:p w14:paraId="7CB2639F" w14:textId="77777777" w:rsidR="008A4099" w:rsidRDefault="006A6EE2">
      <w:pPr>
        <w:pStyle w:val="ListParagraph"/>
        <w:numPr>
          <w:ilvl w:val="1"/>
          <w:numId w:val="2"/>
        </w:numPr>
        <w:tabs>
          <w:tab w:val="left" w:pos="1240"/>
        </w:tabs>
        <w:spacing w:before="134" w:line="266" w:lineRule="auto"/>
        <w:ind w:left="1240" w:right="681" w:hanging="360"/>
      </w:pPr>
      <w:r>
        <w:t>Legislation containing an override clause should lapse after two years unless Parliament reconfirms its continued operation. All subsequent renewals of the legislation should operate for only 2 years.</w:t>
      </w:r>
    </w:p>
    <w:p w14:paraId="7CB263A0" w14:textId="77777777" w:rsidR="008A4099" w:rsidRDefault="006A6EE2">
      <w:pPr>
        <w:pStyle w:val="ListParagraph"/>
        <w:numPr>
          <w:ilvl w:val="1"/>
          <w:numId w:val="2"/>
        </w:numPr>
        <w:tabs>
          <w:tab w:val="left" w:pos="1240"/>
        </w:tabs>
        <w:spacing w:before="130" w:line="256" w:lineRule="auto"/>
        <w:ind w:left="1240" w:right="682" w:hanging="360"/>
      </w:pPr>
      <w:r>
        <w:t>Subsequent renewal of override legislation must be subject to the same limitations and procedures as the original enactment.</w:t>
      </w:r>
    </w:p>
    <w:p w14:paraId="7CB263A1" w14:textId="77777777" w:rsidR="008A4099" w:rsidRDefault="008A4099">
      <w:pPr>
        <w:spacing w:line="256" w:lineRule="auto"/>
        <w:jc w:val="both"/>
        <w:sectPr w:rsidR="008A4099" w:rsidSect="00D43B2D">
          <w:pgSz w:w="11910" w:h="16840"/>
          <w:pgMar w:top="980" w:right="760" w:bottom="940" w:left="1280" w:header="718" w:footer="753" w:gutter="0"/>
          <w:cols w:space="720"/>
        </w:sectPr>
      </w:pPr>
    </w:p>
    <w:p w14:paraId="7CB263A2" w14:textId="77777777" w:rsidR="008A4099" w:rsidRDefault="008A4099">
      <w:pPr>
        <w:pStyle w:val="BodyText"/>
        <w:spacing w:before="196"/>
      </w:pPr>
    </w:p>
    <w:p w14:paraId="7CB263A3" w14:textId="77777777" w:rsidR="008A4099" w:rsidRDefault="006A6EE2">
      <w:pPr>
        <w:pStyle w:val="Heading5"/>
        <w:spacing w:before="1"/>
      </w:pPr>
      <w:r>
        <w:t>Recommendation</w:t>
      </w:r>
      <w:r>
        <w:rPr>
          <w:spacing w:val="-3"/>
        </w:rPr>
        <w:t xml:space="preserve"> </w:t>
      </w:r>
      <w:r>
        <w:t>11</w:t>
      </w:r>
      <w:r>
        <w:rPr>
          <w:spacing w:val="-3"/>
        </w:rPr>
        <w:t xml:space="preserve"> </w:t>
      </w:r>
      <w:r>
        <w:t>–</w:t>
      </w:r>
      <w:r>
        <w:rPr>
          <w:spacing w:val="-3"/>
        </w:rPr>
        <w:t xml:space="preserve"> </w:t>
      </w:r>
      <w:r>
        <w:t>Role</w:t>
      </w:r>
      <w:r>
        <w:rPr>
          <w:spacing w:val="-2"/>
        </w:rPr>
        <w:t xml:space="preserve"> </w:t>
      </w:r>
      <w:r>
        <w:t>of</w:t>
      </w:r>
      <w:r>
        <w:rPr>
          <w:spacing w:val="-3"/>
        </w:rPr>
        <w:t xml:space="preserve"> </w:t>
      </w:r>
      <w:r>
        <w:t>the</w:t>
      </w:r>
      <w:r>
        <w:rPr>
          <w:spacing w:val="-5"/>
        </w:rPr>
        <w:t xml:space="preserve"> </w:t>
      </w:r>
      <w:r>
        <w:rPr>
          <w:spacing w:val="-2"/>
        </w:rPr>
        <w:t>courts</w:t>
      </w:r>
    </w:p>
    <w:p w14:paraId="7CB263A4" w14:textId="77777777" w:rsidR="008A4099" w:rsidRDefault="006A6EE2">
      <w:pPr>
        <w:pStyle w:val="ListParagraph"/>
        <w:numPr>
          <w:ilvl w:val="0"/>
          <w:numId w:val="2"/>
        </w:numPr>
        <w:tabs>
          <w:tab w:val="left" w:pos="729"/>
        </w:tabs>
        <w:spacing w:line="249" w:lineRule="auto"/>
        <w:ind w:right="674"/>
      </w:pPr>
      <w:r>
        <w:t>Subject to the requirement to interpret statutory provisions consistently with their purpose, all Tasmanian courts and tribunals should be required to interpret all Tasmanian laws, including statutory</w:t>
      </w:r>
      <w:r>
        <w:rPr>
          <w:spacing w:val="-11"/>
        </w:rPr>
        <w:t xml:space="preserve"> </w:t>
      </w:r>
      <w:r>
        <w:t>provisions,</w:t>
      </w:r>
      <w:r>
        <w:rPr>
          <w:spacing w:val="-8"/>
        </w:rPr>
        <w:t xml:space="preserve"> </w:t>
      </w:r>
      <w:r>
        <w:t>as</w:t>
      </w:r>
      <w:r>
        <w:rPr>
          <w:spacing w:val="-10"/>
        </w:rPr>
        <w:t xml:space="preserve"> </w:t>
      </w:r>
      <w:r>
        <w:t>far</w:t>
      </w:r>
      <w:r>
        <w:rPr>
          <w:spacing w:val="-10"/>
        </w:rPr>
        <w:t xml:space="preserve"> </w:t>
      </w:r>
      <w:r>
        <w:t>as</w:t>
      </w:r>
      <w:r>
        <w:rPr>
          <w:spacing w:val="-8"/>
        </w:rPr>
        <w:t xml:space="preserve"> </w:t>
      </w:r>
      <w:r>
        <w:t>it</w:t>
      </w:r>
      <w:r>
        <w:rPr>
          <w:spacing w:val="-10"/>
        </w:rPr>
        <w:t xml:space="preserve"> </w:t>
      </w:r>
      <w:r>
        <w:t>is</w:t>
      </w:r>
      <w:r>
        <w:rPr>
          <w:spacing w:val="-10"/>
        </w:rPr>
        <w:t xml:space="preserve"> </w:t>
      </w:r>
      <w:r>
        <w:t>possible</w:t>
      </w:r>
      <w:r>
        <w:rPr>
          <w:spacing w:val="-11"/>
        </w:rPr>
        <w:t xml:space="preserve"> </w:t>
      </w:r>
      <w:r>
        <w:t>to</w:t>
      </w:r>
      <w:r>
        <w:rPr>
          <w:spacing w:val="-11"/>
        </w:rPr>
        <w:t xml:space="preserve"> </w:t>
      </w:r>
      <w:r>
        <w:t>do</w:t>
      </w:r>
      <w:r>
        <w:rPr>
          <w:spacing w:val="-11"/>
        </w:rPr>
        <w:t xml:space="preserve"> </w:t>
      </w:r>
      <w:r>
        <w:t>so</w:t>
      </w:r>
      <w:r>
        <w:rPr>
          <w:spacing w:val="-10"/>
        </w:rPr>
        <w:t xml:space="preserve"> </w:t>
      </w:r>
      <w:r>
        <w:t>in</w:t>
      </w:r>
      <w:r>
        <w:rPr>
          <w:spacing w:val="-9"/>
        </w:rPr>
        <w:t xml:space="preserve"> </w:t>
      </w:r>
      <w:r>
        <w:t>a</w:t>
      </w:r>
      <w:r>
        <w:rPr>
          <w:spacing w:val="-13"/>
        </w:rPr>
        <w:t xml:space="preserve"> </w:t>
      </w:r>
      <w:r>
        <w:t>way</w:t>
      </w:r>
      <w:r>
        <w:rPr>
          <w:spacing w:val="-5"/>
        </w:rPr>
        <w:t xml:space="preserve"> </w:t>
      </w:r>
      <w:r>
        <w:t>that</w:t>
      </w:r>
      <w:r>
        <w:rPr>
          <w:spacing w:val="-10"/>
        </w:rPr>
        <w:t xml:space="preserve"> </w:t>
      </w:r>
      <w:r>
        <w:t>is</w:t>
      </w:r>
      <w:r>
        <w:rPr>
          <w:spacing w:val="-11"/>
        </w:rPr>
        <w:t xml:space="preserve"> </w:t>
      </w:r>
      <w:r>
        <w:t>compatible</w:t>
      </w:r>
      <w:r>
        <w:rPr>
          <w:spacing w:val="-8"/>
        </w:rPr>
        <w:t xml:space="preserve"> </w:t>
      </w:r>
      <w:r>
        <w:t>with</w:t>
      </w:r>
      <w:r>
        <w:rPr>
          <w:spacing w:val="-11"/>
        </w:rPr>
        <w:t xml:space="preserve"> </w:t>
      </w:r>
      <w:r>
        <w:t>human</w:t>
      </w:r>
      <w:r>
        <w:rPr>
          <w:spacing w:val="-11"/>
        </w:rPr>
        <w:t xml:space="preserve"> </w:t>
      </w:r>
      <w:r>
        <w:t>rights.</w:t>
      </w:r>
    </w:p>
    <w:p w14:paraId="7CB263A5" w14:textId="77777777" w:rsidR="008A4099" w:rsidRDefault="006A6EE2">
      <w:pPr>
        <w:pStyle w:val="ListParagraph"/>
        <w:numPr>
          <w:ilvl w:val="0"/>
          <w:numId w:val="2"/>
        </w:numPr>
        <w:tabs>
          <w:tab w:val="left" w:pos="729"/>
        </w:tabs>
        <w:spacing w:before="171" w:line="249" w:lineRule="auto"/>
        <w:ind w:right="680"/>
      </w:pPr>
      <w:r>
        <w:t>Provision should</w:t>
      </w:r>
      <w:r>
        <w:rPr>
          <w:spacing w:val="-3"/>
        </w:rPr>
        <w:t xml:space="preserve"> </w:t>
      </w:r>
      <w:r>
        <w:t>be</w:t>
      </w:r>
      <w:r>
        <w:rPr>
          <w:spacing w:val="-2"/>
        </w:rPr>
        <w:t xml:space="preserve"> </w:t>
      </w:r>
      <w:r>
        <w:t>included in</w:t>
      </w:r>
      <w:r>
        <w:rPr>
          <w:spacing w:val="-2"/>
        </w:rPr>
        <w:t xml:space="preserve"> </w:t>
      </w:r>
      <w:r>
        <w:t>a Tasmanian Charter</w:t>
      </w:r>
      <w:r>
        <w:rPr>
          <w:spacing w:val="-1"/>
        </w:rPr>
        <w:t xml:space="preserve"> </w:t>
      </w:r>
      <w:r>
        <w:t>for international human</w:t>
      </w:r>
      <w:r>
        <w:rPr>
          <w:spacing w:val="-2"/>
        </w:rPr>
        <w:t xml:space="preserve"> </w:t>
      </w:r>
      <w:r>
        <w:t>rights</w:t>
      </w:r>
      <w:r>
        <w:rPr>
          <w:spacing w:val="-2"/>
        </w:rPr>
        <w:t xml:space="preserve"> </w:t>
      </w:r>
      <w:r>
        <w:t>law</w:t>
      </w:r>
      <w:r>
        <w:rPr>
          <w:spacing w:val="-1"/>
        </w:rPr>
        <w:t xml:space="preserve"> </w:t>
      </w:r>
      <w:r>
        <w:t>and</w:t>
      </w:r>
      <w:r>
        <w:rPr>
          <w:spacing w:val="-2"/>
        </w:rPr>
        <w:t xml:space="preserve"> </w:t>
      </w:r>
      <w:r>
        <w:t>the judgments of foreign and international courts and tribunals relevant to human rights to be considered by Tasmanian courts when interpreting human rights.</w:t>
      </w:r>
    </w:p>
    <w:p w14:paraId="7CB263A6" w14:textId="77777777" w:rsidR="008A4099" w:rsidRDefault="008A4099">
      <w:pPr>
        <w:pStyle w:val="BodyText"/>
        <w:spacing w:before="118"/>
      </w:pPr>
    </w:p>
    <w:p w14:paraId="7CB263A7" w14:textId="77777777" w:rsidR="008A4099" w:rsidRDefault="006A6EE2">
      <w:pPr>
        <w:pStyle w:val="Heading5"/>
      </w:pPr>
      <w:r>
        <w:t>Recommendation</w:t>
      </w:r>
      <w:r>
        <w:rPr>
          <w:spacing w:val="-4"/>
        </w:rPr>
        <w:t xml:space="preserve"> </w:t>
      </w:r>
      <w:r>
        <w:t>12</w:t>
      </w:r>
      <w:r>
        <w:rPr>
          <w:spacing w:val="-4"/>
        </w:rPr>
        <w:t xml:space="preserve"> </w:t>
      </w:r>
      <w:r>
        <w:t>–</w:t>
      </w:r>
      <w:r>
        <w:rPr>
          <w:spacing w:val="-4"/>
        </w:rPr>
        <w:t xml:space="preserve"> </w:t>
      </w:r>
      <w:r>
        <w:t>Declarations</w:t>
      </w:r>
      <w:r>
        <w:rPr>
          <w:spacing w:val="-4"/>
        </w:rPr>
        <w:t xml:space="preserve"> </w:t>
      </w:r>
      <w:r>
        <w:t>of</w:t>
      </w:r>
      <w:r>
        <w:rPr>
          <w:spacing w:val="-3"/>
        </w:rPr>
        <w:t xml:space="preserve"> </w:t>
      </w:r>
      <w:r>
        <w:rPr>
          <w:spacing w:val="-2"/>
        </w:rPr>
        <w:t>incompatibility</w:t>
      </w:r>
    </w:p>
    <w:p w14:paraId="7CB263A8" w14:textId="77777777" w:rsidR="008A4099" w:rsidRDefault="006A6EE2">
      <w:pPr>
        <w:pStyle w:val="ListParagraph"/>
        <w:numPr>
          <w:ilvl w:val="0"/>
          <w:numId w:val="2"/>
        </w:numPr>
        <w:tabs>
          <w:tab w:val="left" w:pos="729"/>
        </w:tabs>
        <w:spacing w:line="252" w:lineRule="auto"/>
        <w:ind w:right="681"/>
      </w:pPr>
      <w:r>
        <w:t>Where the Tasmanian Supreme Court is satisfied that an Act or part of an Act cannot be interpreted in a way that complies with Charter rights, it should have the power to make a declaration of incompatibility in respect of that legislation.</w:t>
      </w:r>
    </w:p>
    <w:p w14:paraId="7CB263A9" w14:textId="77777777" w:rsidR="008A4099" w:rsidRDefault="006A6EE2">
      <w:pPr>
        <w:pStyle w:val="ListParagraph"/>
        <w:numPr>
          <w:ilvl w:val="0"/>
          <w:numId w:val="2"/>
        </w:numPr>
        <w:tabs>
          <w:tab w:val="left" w:pos="728"/>
        </w:tabs>
        <w:spacing w:before="164"/>
        <w:ind w:left="728" w:hanging="285"/>
        <w:jc w:val="left"/>
      </w:pPr>
      <w:r>
        <w:t>Only</w:t>
      </w:r>
      <w:r>
        <w:rPr>
          <w:spacing w:val="-6"/>
        </w:rPr>
        <w:t xml:space="preserve"> </w:t>
      </w:r>
      <w:r>
        <w:t>the</w:t>
      </w:r>
      <w:r>
        <w:rPr>
          <w:spacing w:val="-3"/>
        </w:rPr>
        <w:t xml:space="preserve"> </w:t>
      </w:r>
      <w:r>
        <w:t>Tasmanian</w:t>
      </w:r>
      <w:r>
        <w:rPr>
          <w:spacing w:val="-3"/>
        </w:rPr>
        <w:t xml:space="preserve"> </w:t>
      </w:r>
      <w:r>
        <w:t>Supreme</w:t>
      </w:r>
      <w:r>
        <w:rPr>
          <w:spacing w:val="-3"/>
        </w:rPr>
        <w:t xml:space="preserve"> </w:t>
      </w:r>
      <w:r>
        <w:t>Court</w:t>
      </w:r>
      <w:r>
        <w:rPr>
          <w:spacing w:val="-5"/>
        </w:rPr>
        <w:t xml:space="preserve"> </w:t>
      </w:r>
      <w:r>
        <w:t>should</w:t>
      </w:r>
      <w:r>
        <w:rPr>
          <w:spacing w:val="-4"/>
        </w:rPr>
        <w:t xml:space="preserve"> </w:t>
      </w:r>
      <w:r>
        <w:t>have</w:t>
      </w:r>
      <w:r>
        <w:rPr>
          <w:spacing w:val="-5"/>
        </w:rPr>
        <w:t xml:space="preserve"> </w:t>
      </w:r>
      <w:r>
        <w:t>power</w:t>
      </w:r>
      <w:r>
        <w:rPr>
          <w:spacing w:val="-5"/>
        </w:rPr>
        <w:t xml:space="preserve"> </w:t>
      </w:r>
      <w:r>
        <w:t>to</w:t>
      </w:r>
      <w:r>
        <w:rPr>
          <w:spacing w:val="-6"/>
        </w:rPr>
        <w:t xml:space="preserve"> </w:t>
      </w:r>
      <w:r>
        <w:t>make</w:t>
      </w:r>
      <w:r>
        <w:rPr>
          <w:spacing w:val="-5"/>
        </w:rPr>
        <w:t xml:space="preserve"> </w:t>
      </w:r>
      <w:r>
        <w:t>declarations</w:t>
      </w:r>
      <w:r>
        <w:rPr>
          <w:spacing w:val="-3"/>
        </w:rPr>
        <w:t xml:space="preserve"> </w:t>
      </w:r>
      <w:r>
        <w:t>of</w:t>
      </w:r>
      <w:r>
        <w:rPr>
          <w:spacing w:val="-3"/>
        </w:rPr>
        <w:t xml:space="preserve"> </w:t>
      </w:r>
      <w:r>
        <w:rPr>
          <w:spacing w:val="-2"/>
        </w:rPr>
        <w:t>incompatibility.</w:t>
      </w:r>
    </w:p>
    <w:p w14:paraId="7CB263AA" w14:textId="77777777" w:rsidR="008A4099" w:rsidRDefault="006A6EE2">
      <w:pPr>
        <w:pStyle w:val="ListParagraph"/>
        <w:numPr>
          <w:ilvl w:val="0"/>
          <w:numId w:val="2"/>
        </w:numPr>
        <w:tabs>
          <w:tab w:val="left" w:pos="729"/>
        </w:tabs>
        <w:spacing w:before="163" w:line="252" w:lineRule="auto"/>
        <w:ind w:right="675"/>
      </w:pPr>
      <w:r>
        <w:t>Where a question relating to the human rights compatibility of legislation arises in the Magistrates’ Courts or in Tribunal proceedings, it should be referred as a question of law to the Supreme Court and the Magistrate or Tribunal should have the power to defer the final determination of the case until the Supreme Court has determined the issue.</w:t>
      </w:r>
    </w:p>
    <w:p w14:paraId="7CB263AB" w14:textId="77777777" w:rsidR="008A4099" w:rsidRDefault="006A6EE2">
      <w:pPr>
        <w:pStyle w:val="ListParagraph"/>
        <w:numPr>
          <w:ilvl w:val="0"/>
          <w:numId w:val="2"/>
        </w:numPr>
        <w:tabs>
          <w:tab w:val="left" w:pos="729"/>
        </w:tabs>
        <w:spacing w:before="169" w:line="254" w:lineRule="auto"/>
        <w:ind w:right="676"/>
      </w:pPr>
      <w:r>
        <w:t>Where the Tasmanian Supreme Court finds that subordinate legislation is not compatible with Charter rights it should have the power to declare the subordinate legislation to be invalid and inoperative unless the applicable primary legislation expressly authorises the subordinate legislation to breach Charter rights. In such a case the Supreme Court should have the power to make a declaration of incompatibility in respect of it.</w:t>
      </w:r>
    </w:p>
    <w:p w14:paraId="7CB263AC" w14:textId="77777777" w:rsidR="008A4099" w:rsidRDefault="006A6EE2">
      <w:pPr>
        <w:pStyle w:val="ListParagraph"/>
        <w:numPr>
          <w:ilvl w:val="0"/>
          <w:numId w:val="2"/>
        </w:numPr>
        <w:tabs>
          <w:tab w:val="left" w:pos="729"/>
        </w:tabs>
        <w:spacing w:before="168" w:line="242" w:lineRule="auto"/>
        <w:ind w:right="679"/>
      </w:pPr>
      <w:r>
        <w:t>Where</w:t>
      </w:r>
      <w:r>
        <w:rPr>
          <w:spacing w:val="-14"/>
        </w:rPr>
        <w:t xml:space="preserve"> </w:t>
      </w:r>
      <w:r>
        <w:t>a</w:t>
      </w:r>
      <w:r>
        <w:rPr>
          <w:spacing w:val="-14"/>
        </w:rPr>
        <w:t xml:space="preserve"> </w:t>
      </w:r>
      <w:r>
        <w:t>declaration</w:t>
      </w:r>
      <w:r>
        <w:rPr>
          <w:spacing w:val="-14"/>
        </w:rPr>
        <w:t xml:space="preserve"> </w:t>
      </w:r>
      <w:r>
        <w:t>of</w:t>
      </w:r>
      <w:r>
        <w:rPr>
          <w:spacing w:val="-13"/>
        </w:rPr>
        <w:t xml:space="preserve"> </w:t>
      </w:r>
      <w:r>
        <w:t>invalidity</w:t>
      </w:r>
      <w:r>
        <w:rPr>
          <w:spacing w:val="-14"/>
        </w:rPr>
        <w:t xml:space="preserve"> </w:t>
      </w:r>
      <w:r>
        <w:t>is</w:t>
      </w:r>
      <w:r>
        <w:rPr>
          <w:spacing w:val="-14"/>
        </w:rPr>
        <w:t xml:space="preserve"> </w:t>
      </w:r>
      <w:r>
        <w:t>made</w:t>
      </w:r>
      <w:r>
        <w:rPr>
          <w:spacing w:val="-14"/>
        </w:rPr>
        <w:t xml:space="preserve"> </w:t>
      </w:r>
      <w:r>
        <w:t>in</w:t>
      </w:r>
      <w:r>
        <w:rPr>
          <w:spacing w:val="-13"/>
        </w:rPr>
        <w:t xml:space="preserve"> </w:t>
      </w:r>
      <w:r>
        <w:t>respect</w:t>
      </w:r>
      <w:r>
        <w:rPr>
          <w:spacing w:val="-14"/>
        </w:rPr>
        <w:t xml:space="preserve"> </w:t>
      </w:r>
      <w:r>
        <w:t>of</w:t>
      </w:r>
      <w:r>
        <w:rPr>
          <w:spacing w:val="-14"/>
        </w:rPr>
        <w:t xml:space="preserve"> </w:t>
      </w:r>
      <w:r>
        <w:t>subordinate</w:t>
      </w:r>
      <w:r>
        <w:rPr>
          <w:spacing w:val="-14"/>
        </w:rPr>
        <w:t xml:space="preserve"> </w:t>
      </w:r>
      <w:r>
        <w:t>legislation</w:t>
      </w:r>
      <w:r>
        <w:rPr>
          <w:spacing w:val="-13"/>
        </w:rPr>
        <w:t xml:space="preserve"> </w:t>
      </w:r>
      <w:r>
        <w:t>its</w:t>
      </w:r>
      <w:r>
        <w:rPr>
          <w:spacing w:val="-14"/>
        </w:rPr>
        <w:t xml:space="preserve"> </w:t>
      </w:r>
      <w:r>
        <w:t>operation</w:t>
      </w:r>
      <w:r>
        <w:rPr>
          <w:spacing w:val="-14"/>
        </w:rPr>
        <w:t xml:space="preserve"> </w:t>
      </w:r>
      <w:r>
        <w:t>should cease, but not retrospectively, and it should no longer be enforceable.</w:t>
      </w:r>
    </w:p>
    <w:p w14:paraId="7CB263AD" w14:textId="77777777" w:rsidR="008A4099" w:rsidRDefault="006A6EE2">
      <w:pPr>
        <w:pStyle w:val="ListParagraph"/>
        <w:numPr>
          <w:ilvl w:val="0"/>
          <w:numId w:val="2"/>
        </w:numPr>
        <w:tabs>
          <w:tab w:val="left" w:pos="729"/>
        </w:tabs>
        <w:spacing w:before="176" w:line="249" w:lineRule="auto"/>
        <w:ind w:right="679"/>
      </w:pPr>
      <w:r>
        <w:t>Where a declaration of incompatibility is made in respect of subordinate legislation the same processes</w:t>
      </w:r>
      <w:r>
        <w:rPr>
          <w:spacing w:val="-5"/>
        </w:rPr>
        <w:t xml:space="preserve"> </w:t>
      </w:r>
      <w:r>
        <w:t>involved</w:t>
      </w:r>
      <w:r>
        <w:rPr>
          <w:spacing w:val="-6"/>
        </w:rPr>
        <w:t xml:space="preserve"> </w:t>
      </w:r>
      <w:r>
        <w:t>in</w:t>
      </w:r>
      <w:r>
        <w:rPr>
          <w:spacing w:val="-6"/>
        </w:rPr>
        <w:t xml:space="preserve"> </w:t>
      </w:r>
      <w:r>
        <w:t>invoking</w:t>
      </w:r>
      <w:r>
        <w:rPr>
          <w:spacing w:val="-6"/>
        </w:rPr>
        <w:t xml:space="preserve"> </w:t>
      </w:r>
      <w:r>
        <w:t>a</w:t>
      </w:r>
      <w:r>
        <w:rPr>
          <w:spacing w:val="-5"/>
        </w:rPr>
        <w:t xml:space="preserve"> </w:t>
      </w:r>
      <w:r>
        <w:t>Government</w:t>
      </w:r>
      <w:r>
        <w:rPr>
          <w:spacing w:val="-5"/>
        </w:rPr>
        <w:t xml:space="preserve"> </w:t>
      </w:r>
      <w:r>
        <w:t>response</w:t>
      </w:r>
      <w:r>
        <w:rPr>
          <w:spacing w:val="-7"/>
        </w:rPr>
        <w:t xml:space="preserve"> </w:t>
      </w:r>
      <w:r>
        <w:t>to</w:t>
      </w:r>
      <w:r>
        <w:rPr>
          <w:spacing w:val="-6"/>
        </w:rPr>
        <w:t xml:space="preserve"> </w:t>
      </w:r>
      <w:r>
        <w:t>declarations</w:t>
      </w:r>
      <w:r>
        <w:rPr>
          <w:spacing w:val="-5"/>
        </w:rPr>
        <w:t xml:space="preserve"> </w:t>
      </w:r>
      <w:r>
        <w:t>about</w:t>
      </w:r>
      <w:r>
        <w:rPr>
          <w:spacing w:val="-5"/>
        </w:rPr>
        <w:t xml:space="preserve"> </w:t>
      </w:r>
      <w:r>
        <w:t>primary</w:t>
      </w:r>
      <w:r>
        <w:rPr>
          <w:spacing w:val="-6"/>
        </w:rPr>
        <w:t xml:space="preserve"> </w:t>
      </w:r>
      <w:r>
        <w:t>legislation should apply.</w:t>
      </w:r>
    </w:p>
    <w:p w14:paraId="7CB263AE" w14:textId="77777777" w:rsidR="008A4099" w:rsidRDefault="006A6EE2">
      <w:pPr>
        <w:pStyle w:val="ListParagraph"/>
        <w:numPr>
          <w:ilvl w:val="0"/>
          <w:numId w:val="2"/>
        </w:numPr>
        <w:tabs>
          <w:tab w:val="left" w:pos="729"/>
        </w:tabs>
        <w:spacing w:before="172" w:line="252" w:lineRule="auto"/>
        <w:ind w:right="675"/>
      </w:pPr>
      <w:r>
        <w:t>The Supreme Court should not make a declaration of incompatibility in respect of primary or subordinate legislation or an order invalidating subordinate legislation unless satisfied that the Tasmanian Attorney General and</w:t>
      </w:r>
      <w:r>
        <w:rPr>
          <w:spacing w:val="-2"/>
        </w:rPr>
        <w:t xml:space="preserve"> </w:t>
      </w:r>
      <w:r>
        <w:t>the Tasmanian Human Rights Commissioner have been given notice that the Court is considering making such an order.</w:t>
      </w:r>
    </w:p>
    <w:p w14:paraId="7CB263AF" w14:textId="77777777" w:rsidR="008A4099" w:rsidRDefault="006A6EE2">
      <w:pPr>
        <w:pStyle w:val="ListParagraph"/>
        <w:numPr>
          <w:ilvl w:val="0"/>
          <w:numId w:val="2"/>
        </w:numPr>
        <w:tabs>
          <w:tab w:val="left" w:pos="729"/>
        </w:tabs>
        <w:spacing w:before="90" w:line="249" w:lineRule="auto"/>
        <w:ind w:right="680"/>
      </w:pPr>
      <w:r>
        <w:t>Where a court makes a declaration of incompatibility or an order invalidating subordinate legislation</w:t>
      </w:r>
      <w:r>
        <w:rPr>
          <w:spacing w:val="-10"/>
        </w:rPr>
        <w:t xml:space="preserve"> </w:t>
      </w:r>
      <w:r>
        <w:t>the</w:t>
      </w:r>
      <w:r>
        <w:rPr>
          <w:spacing w:val="-7"/>
        </w:rPr>
        <w:t xml:space="preserve"> </w:t>
      </w:r>
      <w:r>
        <w:t>Registrar</w:t>
      </w:r>
      <w:r>
        <w:rPr>
          <w:spacing w:val="-6"/>
        </w:rPr>
        <w:t xml:space="preserve"> </w:t>
      </w:r>
      <w:r>
        <w:t>of</w:t>
      </w:r>
      <w:r>
        <w:rPr>
          <w:spacing w:val="-9"/>
        </w:rPr>
        <w:t xml:space="preserve"> </w:t>
      </w:r>
      <w:r>
        <w:t>the</w:t>
      </w:r>
      <w:r>
        <w:rPr>
          <w:spacing w:val="-7"/>
        </w:rPr>
        <w:t xml:space="preserve"> </w:t>
      </w:r>
      <w:r>
        <w:t>Supreme</w:t>
      </w:r>
      <w:r>
        <w:rPr>
          <w:spacing w:val="-7"/>
        </w:rPr>
        <w:t xml:space="preserve"> </w:t>
      </w:r>
      <w:r>
        <w:t>Court</w:t>
      </w:r>
      <w:r>
        <w:rPr>
          <w:spacing w:val="-6"/>
        </w:rPr>
        <w:t xml:space="preserve"> </w:t>
      </w:r>
      <w:r>
        <w:t>should</w:t>
      </w:r>
      <w:r>
        <w:rPr>
          <w:spacing w:val="-7"/>
        </w:rPr>
        <w:t xml:space="preserve"> </w:t>
      </w:r>
      <w:r>
        <w:t>provide</w:t>
      </w:r>
      <w:r>
        <w:rPr>
          <w:spacing w:val="-7"/>
        </w:rPr>
        <w:t xml:space="preserve"> </w:t>
      </w:r>
      <w:r>
        <w:t>a</w:t>
      </w:r>
      <w:r>
        <w:rPr>
          <w:spacing w:val="-7"/>
        </w:rPr>
        <w:t xml:space="preserve"> </w:t>
      </w:r>
      <w:r>
        <w:t>copy</w:t>
      </w:r>
      <w:r>
        <w:rPr>
          <w:spacing w:val="-7"/>
        </w:rPr>
        <w:t xml:space="preserve"> </w:t>
      </w:r>
      <w:r>
        <w:t>of</w:t>
      </w:r>
      <w:r>
        <w:rPr>
          <w:spacing w:val="-9"/>
        </w:rPr>
        <w:t xml:space="preserve"> </w:t>
      </w:r>
      <w:r>
        <w:t>the</w:t>
      </w:r>
      <w:r>
        <w:rPr>
          <w:spacing w:val="-7"/>
        </w:rPr>
        <w:t xml:space="preserve"> </w:t>
      </w:r>
      <w:r>
        <w:t>order</w:t>
      </w:r>
      <w:r>
        <w:rPr>
          <w:spacing w:val="-6"/>
        </w:rPr>
        <w:t xml:space="preserve"> </w:t>
      </w:r>
      <w:r>
        <w:t>to</w:t>
      </w:r>
      <w:r>
        <w:rPr>
          <w:spacing w:val="-7"/>
        </w:rPr>
        <w:t xml:space="preserve"> </w:t>
      </w:r>
      <w:r>
        <w:t>the</w:t>
      </w:r>
      <w:r>
        <w:rPr>
          <w:spacing w:val="-7"/>
        </w:rPr>
        <w:t xml:space="preserve"> </w:t>
      </w:r>
      <w:r>
        <w:t>Attorney General and to the Minister administering the legislation within seven days.</w:t>
      </w:r>
    </w:p>
    <w:p w14:paraId="7CB263B0" w14:textId="77777777" w:rsidR="008A4099" w:rsidRDefault="006A6EE2">
      <w:pPr>
        <w:pStyle w:val="ListParagraph"/>
        <w:numPr>
          <w:ilvl w:val="0"/>
          <w:numId w:val="2"/>
        </w:numPr>
        <w:tabs>
          <w:tab w:val="left" w:pos="729"/>
        </w:tabs>
        <w:spacing w:before="93" w:line="254" w:lineRule="auto"/>
        <w:ind w:right="676"/>
      </w:pPr>
      <w:r>
        <w:t>In</w:t>
      </w:r>
      <w:r>
        <w:rPr>
          <w:spacing w:val="-2"/>
        </w:rPr>
        <w:t xml:space="preserve"> </w:t>
      </w:r>
      <w:r>
        <w:t>periodic</w:t>
      </w:r>
      <w:r>
        <w:rPr>
          <w:spacing w:val="-2"/>
        </w:rPr>
        <w:t xml:space="preserve"> </w:t>
      </w:r>
      <w:r>
        <w:t>reviews</w:t>
      </w:r>
      <w:r>
        <w:rPr>
          <w:spacing w:val="-2"/>
        </w:rPr>
        <w:t xml:space="preserve"> </w:t>
      </w:r>
      <w:r>
        <w:t>of</w:t>
      </w:r>
      <w:r>
        <w:rPr>
          <w:spacing w:val="-2"/>
        </w:rPr>
        <w:t xml:space="preserve"> </w:t>
      </w:r>
      <w:r>
        <w:t>the</w:t>
      </w:r>
      <w:r>
        <w:rPr>
          <w:spacing w:val="-4"/>
        </w:rPr>
        <w:t xml:space="preserve"> </w:t>
      </w:r>
      <w:r>
        <w:t>Charter</w:t>
      </w:r>
      <w:r>
        <w:rPr>
          <w:spacing w:val="-1"/>
        </w:rPr>
        <w:t xml:space="preserve"> </w:t>
      </w:r>
      <w:r>
        <w:t>the</w:t>
      </w:r>
      <w:r>
        <w:rPr>
          <w:spacing w:val="-2"/>
        </w:rPr>
        <w:t xml:space="preserve"> </w:t>
      </w:r>
      <w:r>
        <w:t>Tasmanian</w:t>
      </w:r>
      <w:r>
        <w:rPr>
          <w:spacing w:val="-2"/>
        </w:rPr>
        <w:t xml:space="preserve"> </w:t>
      </w:r>
      <w:r>
        <w:t>Government</w:t>
      </w:r>
      <w:r>
        <w:rPr>
          <w:spacing w:val="-1"/>
        </w:rPr>
        <w:t xml:space="preserve"> </w:t>
      </w:r>
      <w:r>
        <w:t>should</w:t>
      </w:r>
      <w:r>
        <w:rPr>
          <w:spacing w:val="-2"/>
        </w:rPr>
        <w:t xml:space="preserve"> </w:t>
      </w:r>
      <w:r>
        <w:t>assess</w:t>
      </w:r>
      <w:r>
        <w:rPr>
          <w:spacing w:val="-4"/>
        </w:rPr>
        <w:t xml:space="preserve"> </w:t>
      </w:r>
      <w:r>
        <w:t>the</w:t>
      </w:r>
      <w:r>
        <w:rPr>
          <w:spacing w:val="-2"/>
        </w:rPr>
        <w:t xml:space="preserve"> </w:t>
      </w:r>
      <w:r>
        <w:t>extent</w:t>
      </w:r>
      <w:r>
        <w:rPr>
          <w:spacing w:val="-1"/>
        </w:rPr>
        <w:t xml:space="preserve"> </w:t>
      </w:r>
      <w:r>
        <w:t>to</w:t>
      </w:r>
      <w:r>
        <w:rPr>
          <w:spacing w:val="-2"/>
        </w:rPr>
        <w:t xml:space="preserve"> </w:t>
      </w:r>
      <w:r>
        <w:t>which it has generated a genuinely responsive dialogue</w:t>
      </w:r>
      <w:r>
        <w:rPr>
          <w:spacing w:val="-2"/>
        </w:rPr>
        <w:t xml:space="preserve"> </w:t>
      </w:r>
      <w:r>
        <w:t>about human</w:t>
      </w:r>
      <w:r>
        <w:rPr>
          <w:spacing w:val="-2"/>
        </w:rPr>
        <w:t xml:space="preserve"> </w:t>
      </w:r>
      <w:r>
        <w:t>rights between the</w:t>
      </w:r>
      <w:r>
        <w:rPr>
          <w:spacing w:val="-2"/>
        </w:rPr>
        <w:t xml:space="preserve"> </w:t>
      </w:r>
      <w:r>
        <w:t>different</w:t>
      </w:r>
      <w:r>
        <w:rPr>
          <w:spacing w:val="-1"/>
        </w:rPr>
        <w:t xml:space="preserve"> </w:t>
      </w:r>
      <w:r>
        <w:t>arms of Government. If it is found that Parliament does not respond to what the courts say, then consideration should be given to enabling courts to invalidate legislation that does not comply with Charter rights.</w:t>
      </w:r>
    </w:p>
    <w:p w14:paraId="7CB263B1" w14:textId="77777777" w:rsidR="008A4099" w:rsidRDefault="008A4099">
      <w:pPr>
        <w:spacing w:line="254" w:lineRule="auto"/>
        <w:jc w:val="both"/>
        <w:sectPr w:rsidR="008A4099" w:rsidSect="00D43B2D">
          <w:pgSz w:w="11910" w:h="16840"/>
          <w:pgMar w:top="980" w:right="760" w:bottom="940" w:left="1280" w:header="718" w:footer="753" w:gutter="0"/>
          <w:cols w:space="720"/>
        </w:sectPr>
      </w:pPr>
    </w:p>
    <w:p w14:paraId="7CB263B2" w14:textId="77777777" w:rsidR="008A4099" w:rsidRDefault="008A4099">
      <w:pPr>
        <w:pStyle w:val="BodyText"/>
        <w:spacing w:before="196"/>
      </w:pPr>
    </w:p>
    <w:p w14:paraId="7CB263B3" w14:textId="77777777" w:rsidR="008A4099" w:rsidRDefault="006A6EE2">
      <w:pPr>
        <w:pStyle w:val="Heading5"/>
        <w:spacing w:before="1"/>
        <w:jc w:val="both"/>
      </w:pPr>
      <w:r>
        <w:t>Recommendation</w:t>
      </w:r>
      <w:r>
        <w:rPr>
          <w:spacing w:val="-3"/>
        </w:rPr>
        <w:t xml:space="preserve"> </w:t>
      </w:r>
      <w:r>
        <w:t>13</w:t>
      </w:r>
      <w:r>
        <w:rPr>
          <w:spacing w:val="-3"/>
        </w:rPr>
        <w:t xml:space="preserve"> </w:t>
      </w:r>
      <w:r>
        <w:t>–</w:t>
      </w:r>
      <w:r>
        <w:rPr>
          <w:spacing w:val="-3"/>
        </w:rPr>
        <w:t xml:space="preserve"> </w:t>
      </w:r>
      <w:r>
        <w:t>Role</w:t>
      </w:r>
      <w:r>
        <w:rPr>
          <w:spacing w:val="-2"/>
        </w:rPr>
        <w:t xml:space="preserve"> </w:t>
      </w:r>
      <w:r>
        <w:t>of</w:t>
      </w:r>
      <w:r>
        <w:rPr>
          <w:spacing w:val="-3"/>
        </w:rPr>
        <w:t xml:space="preserve"> </w:t>
      </w:r>
      <w:r>
        <w:t>the</w:t>
      </w:r>
      <w:r>
        <w:rPr>
          <w:spacing w:val="-5"/>
        </w:rPr>
        <w:t xml:space="preserve"> </w:t>
      </w:r>
      <w:r>
        <w:rPr>
          <w:spacing w:val="-2"/>
        </w:rPr>
        <w:t>Executive</w:t>
      </w:r>
    </w:p>
    <w:p w14:paraId="7CB263B4" w14:textId="77777777" w:rsidR="008A4099" w:rsidRDefault="006A6EE2">
      <w:pPr>
        <w:pStyle w:val="ListParagraph"/>
        <w:numPr>
          <w:ilvl w:val="0"/>
          <w:numId w:val="2"/>
        </w:numPr>
        <w:tabs>
          <w:tab w:val="left" w:pos="729"/>
        </w:tabs>
        <w:spacing w:before="59" w:line="256" w:lineRule="auto"/>
        <w:ind w:right="673"/>
      </w:pPr>
      <w:r>
        <w:t>The Tasmanian Law Reform Institute recognises the central role that the Executive arm of Government plays in the protection and enhancement of human rights. It also recognises the benefits of encouraging a whole of government approach to human rights protection. Accordingly, it recommends that the preparation of statements of compatibility should be undertaken</w:t>
      </w:r>
      <w:r>
        <w:rPr>
          <w:spacing w:val="-4"/>
        </w:rPr>
        <w:t xml:space="preserve"> </w:t>
      </w:r>
      <w:r>
        <w:t>by</w:t>
      </w:r>
      <w:r>
        <w:rPr>
          <w:spacing w:val="-5"/>
        </w:rPr>
        <w:t xml:space="preserve"> </w:t>
      </w:r>
      <w:r>
        <w:t>those</w:t>
      </w:r>
      <w:r>
        <w:rPr>
          <w:spacing w:val="-4"/>
        </w:rPr>
        <w:t xml:space="preserve"> </w:t>
      </w:r>
      <w:r>
        <w:t>government</w:t>
      </w:r>
      <w:r>
        <w:rPr>
          <w:spacing w:val="-4"/>
        </w:rPr>
        <w:t xml:space="preserve"> </w:t>
      </w:r>
      <w:r>
        <w:t>departments</w:t>
      </w:r>
      <w:r>
        <w:rPr>
          <w:spacing w:val="-6"/>
        </w:rPr>
        <w:t xml:space="preserve"> </w:t>
      </w:r>
      <w:r>
        <w:t>that</w:t>
      </w:r>
      <w:r>
        <w:rPr>
          <w:spacing w:val="-4"/>
        </w:rPr>
        <w:t xml:space="preserve"> </w:t>
      </w:r>
      <w:r>
        <w:t>will</w:t>
      </w:r>
      <w:r>
        <w:rPr>
          <w:spacing w:val="-4"/>
        </w:rPr>
        <w:t xml:space="preserve"> </w:t>
      </w:r>
      <w:r>
        <w:t>have</w:t>
      </w:r>
      <w:r>
        <w:rPr>
          <w:spacing w:val="-4"/>
        </w:rPr>
        <w:t xml:space="preserve"> </w:t>
      </w:r>
      <w:r>
        <w:t>responsibility</w:t>
      </w:r>
      <w:r>
        <w:rPr>
          <w:spacing w:val="-5"/>
        </w:rPr>
        <w:t xml:space="preserve"> </w:t>
      </w:r>
      <w:r>
        <w:t>for</w:t>
      </w:r>
      <w:r>
        <w:rPr>
          <w:spacing w:val="-6"/>
        </w:rPr>
        <w:t xml:space="preserve"> </w:t>
      </w:r>
      <w:r>
        <w:t>implementing</w:t>
      </w:r>
      <w:r>
        <w:rPr>
          <w:spacing w:val="-5"/>
        </w:rPr>
        <w:t xml:space="preserve"> </w:t>
      </w:r>
      <w:r>
        <w:t>and administering the new legislation and not by a single government department or unit within government. It also recommends that preparation of responses to courts’ declarations of incompatibility should rest with those departments responsible for administering the legislation in question.</w:t>
      </w:r>
    </w:p>
    <w:p w14:paraId="7CB263B5" w14:textId="77777777" w:rsidR="008A4099" w:rsidRDefault="006A6EE2">
      <w:pPr>
        <w:pStyle w:val="ListParagraph"/>
        <w:numPr>
          <w:ilvl w:val="0"/>
          <w:numId w:val="2"/>
        </w:numPr>
        <w:tabs>
          <w:tab w:val="left" w:pos="729"/>
        </w:tabs>
        <w:spacing w:before="104" w:line="254" w:lineRule="auto"/>
        <w:ind w:right="678"/>
      </w:pPr>
      <w:r>
        <w:t>The</w:t>
      </w:r>
      <w:r>
        <w:rPr>
          <w:spacing w:val="-7"/>
        </w:rPr>
        <w:t xml:space="preserve"> </w:t>
      </w:r>
      <w:r>
        <w:t>Tasmanian</w:t>
      </w:r>
      <w:r>
        <w:rPr>
          <w:spacing w:val="-7"/>
        </w:rPr>
        <w:t xml:space="preserve"> </w:t>
      </w:r>
      <w:r>
        <w:t>Law</w:t>
      </w:r>
      <w:r>
        <w:rPr>
          <w:spacing w:val="-8"/>
        </w:rPr>
        <w:t xml:space="preserve"> </w:t>
      </w:r>
      <w:r>
        <w:t>Reform</w:t>
      </w:r>
      <w:r>
        <w:rPr>
          <w:spacing w:val="-6"/>
        </w:rPr>
        <w:t xml:space="preserve"> </w:t>
      </w:r>
      <w:r>
        <w:t>Institute</w:t>
      </w:r>
      <w:r>
        <w:rPr>
          <w:spacing w:val="-7"/>
        </w:rPr>
        <w:t xml:space="preserve"> </w:t>
      </w:r>
      <w:r>
        <w:t>recommends</w:t>
      </w:r>
      <w:r>
        <w:rPr>
          <w:spacing w:val="-9"/>
        </w:rPr>
        <w:t xml:space="preserve"> </w:t>
      </w:r>
      <w:r>
        <w:t>that</w:t>
      </w:r>
      <w:r>
        <w:rPr>
          <w:spacing w:val="-6"/>
        </w:rPr>
        <w:t xml:space="preserve"> </w:t>
      </w:r>
      <w:r>
        <w:t>processes</w:t>
      </w:r>
      <w:r>
        <w:rPr>
          <w:spacing w:val="-6"/>
        </w:rPr>
        <w:t xml:space="preserve"> </w:t>
      </w:r>
      <w:r>
        <w:t>be</w:t>
      </w:r>
      <w:r>
        <w:rPr>
          <w:spacing w:val="-7"/>
        </w:rPr>
        <w:t xml:space="preserve"> </w:t>
      </w:r>
      <w:r>
        <w:t>developed</w:t>
      </w:r>
      <w:r>
        <w:rPr>
          <w:spacing w:val="-9"/>
        </w:rPr>
        <w:t xml:space="preserve"> </w:t>
      </w:r>
      <w:r>
        <w:t>to</w:t>
      </w:r>
      <w:r>
        <w:rPr>
          <w:spacing w:val="-7"/>
        </w:rPr>
        <w:t xml:space="preserve"> </w:t>
      </w:r>
      <w:r>
        <w:t>ensure</w:t>
      </w:r>
      <w:r>
        <w:rPr>
          <w:spacing w:val="-7"/>
        </w:rPr>
        <w:t xml:space="preserve"> </w:t>
      </w:r>
      <w:r>
        <w:t>that</w:t>
      </w:r>
      <w:r>
        <w:rPr>
          <w:spacing w:val="-6"/>
        </w:rPr>
        <w:t xml:space="preserve"> </w:t>
      </w:r>
      <w:r>
        <w:t>all policy formulation is undertaken in a manner that takes account of human rights. Accordingly, the Institute recommends that Human Rights Impact Statements be prepared in relation to all policy and legislation proposals and that these statements be provided to Cabinet to ensure that the Government is aware of the human rights implications of all new proposals.</w:t>
      </w:r>
    </w:p>
    <w:p w14:paraId="7CB263B6" w14:textId="77777777" w:rsidR="008A4099" w:rsidRDefault="006A6EE2">
      <w:pPr>
        <w:pStyle w:val="ListParagraph"/>
        <w:numPr>
          <w:ilvl w:val="0"/>
          <w:numId w:val="2"/>
        </w:numPr>
        <w:tabs>
          <w:tab w:val="left" w:pos="729"/>
        </w:tabs>
        <w:spacing w:before="105" w:line="256" w:lineRule="auto"/>
        <w:ind w:right="676"/>
      </w:pPr>
      <w:r>
        <w:t>The Institute recommends that all government departments be encouraged to develop human rights action plans referenced against legislation, policy administration and service delivery. Preparation</w:t>
      </w:r>
      <w:r>
        <w:rPr>
          <w:spacing w:val="-7"/>
        </w:rPr>
        <w:t xml:space="preserve"> </w:t>
      </w:r>
      <w:r>
        <w:t>of</w:t>
      </w:r>
      <w:r>
        <w:rPr>
          <w:spacing w:val="-6"/>
        </w:rPr>
        <w:t xml:space="preserve"> </w:t>
      </w:r>
      <w:r>
        <w:t>these</w:t>
      </w:r>
      <w:r>
        <w:rPr>
          <w:spacing w:val="-4"/>
        </w:rPr>
        <w:t xml:space="preserve"> </w:t>
      </w:r>
      <w:r>
        <w:t>plans</w:t>
      </w:r>
      <w:r>
        <w:rPr>
          <w:spacing w:val="-4"/>
        </w:rPr>
        <w:t xml:space="preserve"> </w:t>
      </w:r>
      <w:r>
        <w:t>should</w:t>
      </w:r>
      <w:r>
        <w:rPr>
          <w:spacing w:val="-7"/>
        </w:rPr>
        <w:t xml:space="preserve"> </w:t>
      </w:r>
      <w:r>
        <w:t>be</w:t>
      </w:r>
      <w:r>
        <w:rPr>
          <w:spacing w:val="-7"/>
        </w:rPr>
        <w:t xml:space="preserve"> </w:t>
      </w:r>
      <w:r>
        <w:t>the</w:t>
      </w:r>
      <w:r>
        <w:rPr>
          <w:spacing w:val="-7"/>
        </w:rPr>
        <w:t xml:space="preserve"> </w:t>
      </w:r>
      <w:r>
        <w:t>responsibility</w:t>
      </w:r>
      <w:r>
        <w:rPr>
          <w:spacing w:val="-7"/>
        </w:rPr>
        <w:t xml:space="preserve"> </w:t>
      </w:r>
      <w:r>
        <w:t>of</w:t>
      </w:r>
      <w:r>
        <w:rPr>
          <w:spacing w:val="-4"/>
        </w:rPr>
        <w:t xml:space="preserve"> </w:t>
      </w:r>
      <w:r>
        <w:t>each</w:t>
      </w:r>
      <w:r>
        <w:rPr>
          <w:spacing w:val="-7"/>
        </w:rPr>
        <w:t xml:space="preserve"> </w:t>
      </w:r>
      <w:r>
        <w:t>individual</w:t>
      </w:r>
      <w:r>
        <w:rPr>
          <w:spacing w:val="-6"/>
        </w:rPr>
        <w:t xml:space="preserve"> </w:t>
      </w:r>
      <w:r>
        <w:t>department.</w:t>
      </w:r>
      <w:r>
        <w:rPr>
          <w:spacing w:val="-5"/>
        </w:rPr>
        <w:t xml:space="preserve"> </w:t>
      </w:r>
      <w:r>
        <w:t>The</w:t>
      </w:r>
      <w:r>
        <w:rPr>
          <w:spacing w:val="-7"/>
        </w:rPr>
        <w:t xml:space="preserve"> </w:t>
      </w:r>
      <w:r>
        <w:t>extent to</w:t>
      </w:r>
      <w:r>
        <w:rPr>
          <w:spacing w:val="-2"/>
        </w:rPr>
        <w:t xml:space="preserve"> </w:t>
      </w:r>
      <w:r>
        <w:t>which</w:t>
      </w:r>
      <w:r>
        <w:rPr>
          <w:spacing w:val="-2"/>
        </w:rPr>
        <w:t xml:space="preserve"> </w:t>
      </w:r>
      <w:r>
        <w:t>such</w:t>
      </w:r>
      <w:r>
        <w:rPr>
          <w:spacing w:val="-2"/>
        </w:rPr>
        <w:t xml:space="preserve"> </w:t>
      </w:r>
      <w:r>
        <w:t>plans</w:t>
      </w:r>
      <w:r>
        <w:rPr>
          <w:spacing w:val="-2"/>
        </w:rPr>
        <w:t xml:space="preserve"> </w:t>
      </w:r>
      <w:r>
        <w:t>have</w:t>
      </w:r>
      <w:r>
        <w:rPr>
          <w:spacing w:val="-2"/>
        </w:rPr>
        <w:t xml:space="preserve"> </w:t>
      </w:r>
      <w:r>
        <w:t>been</w:t>
      </w:r>
      <w:r>
        <w:rPr>
          <w:spacing w:val="-2"/>
        </w:rPr>
        <w:t xml:space="preserve"> </w:t>
      </w:r>
      <w:r>
        <w:t>developed</w:t>
      </w:r>
      <w:r>
        <w:rPr>
          <w:spacing w:val="-2"/>
        </w:rPr>
        <w:t xml:space="preserve"> </w:t>
      </w:r>
      <w:r>
        <w:t>and</w:t>
      </w:r>
      <w:r>
        <w:rPr>
          <w:spacing w:val="-2"/>
        </w:rPr>
        <w:t xml:space="preserve"> </w:t>
      </w:r>
      <w:r>
        <w:t>implemented</w:t>
      </w:r>
      <w:r>
        <w:rPr>
          <w:spacing w:val="-4"/>
        </w:rPr>
        <w:t xml:space="preserve"> </w:t>
      </w:r>
      <w:r>
        <w:t>should</w:t>
      </w:r>
      <w:r>
        <w:rPr>
          <w:spacing w:val="-2"/>
        </w:rPr>
        <w:t xml:space="preserve"> </w:t>
      </w:r>
      <w:r>
        <w:t>be</w:t>
      </w:r>
      <w:r>
        <w:rPr>
          <w:spacing w:val="-4"/>
        </w:rPr>
        <w:t xml:space="preserve"> </w:t>
      </w:r>
      <w:r>
        <w:t>considered</w:t>
      </w:r>
      <w:r>
        <w:rPr>
          <w:spacing w:val="-4"/>
        </w:rPr>
        <w:t xml:space="preserve"> </w:t>
      </w:r>
      <w:r>
        <w:t>in</w:t>
      </w:r>
      <w:r>
        <w:rPr>
          <w:spacing w:val="-2"/>
        </w:rPr>
        <w:t xml:space="preserve"> </w:t>
      </w:r>
      <w:r>
        <w:t>the</w:t>
      </w:r>
      <w:r>
        <w:rPr>
          <w:spacing w:val="-2"/>
        </w:rPr>
        <w:t xml:space="preserve"> </w:t>
      </w:r>
      <w:r>
        <w:t>periodic reviews of the Charter’s operation. If it is clear after the second review of the Charter that no action has been taken in this regard, then consideration should be given to including the requirement for such plans in the Charter.</w:t>
      </w:r>
    </w:p>
    <w:p w14:paraId="7CB263B7" w14:textId="77777777" w:rsidR="008A4099" w:rsidRDefault="006A6EE2">
      <w:pPr>
        <w:pStyle w:val="ListParagraph"/>
        <w:numPr>
          <w:ilvl w:val="0"/>
          <w:numId w:val="2"/>
        </w:numPr>
        <w:tabs>
          <w:tab w:val="left" w:pos="729"/>
        </w:tabs>
        <w:spacing w:before="158" w:line="242" w:lineRule="auto"/>
        <w:ind w:right="682"/>
      </w:pPr>
      <w:r>
        <w:t>All Tasmanian Government departments should include detailed advice in their annual reports about what they have done to comply with human rights under the Charter.</w:t>
      </w:r>
    </w:p>
    <w:p w14:paraId="7CB263B8" w14:textId="77777777" w:rsidR="008A4099" w:rsidRDefault="008A4099">
      <w:pPr>
        <w:pStyle w:val="BodyText"/>
        <w:spacing w:before="122"/>
      </w:pPr>
    </w:p>
    <w:p w14:paraId="7CB263B9" w14:textId="77777777" w:rsidR="008A4099" w:rsidRDefault="006A6EE2">
      <w:pPr>
        <w:pStyle w:val="Heading5"/>
        <w:spacing w:before="1"/>
        <w:jc w:val="both"/>
      </w:pPr>
      <w:r>
        <w:t>Recommendation</w:t>
      </w:r>
      <w:r>
        <w:rPr>
          <w:spacing w:val="-4"/>
        </w:rPr>
        <w:t xml:space="preserve"> </w:t>
      </w:r>
      <w:r>
        <w:t>14</w:t>
      </w:r>
      <w:r>
        <w:rPr>
          <w:spacing w:val="-4"/>
        </w:rPr>
        <w:t xml:space="preserve"> </w:t>
      </w:r>
      <w:r>
        <w:t>–</w:t>
      </w:r>
      <w:r>
        <w:rPr>
          <w:spacing w:val="-4"/>
        </w:rPr>
        <w:t xml:space="preserve"> </w:t>
      </w:r>
      <w:r>
        <w:t>Limitations</w:t>
      </w:r>
      <w:r>
        <w:rPr>
          <w:spacing w:val="-6"/>
        </w:rPr>
        <w:t xml:space="preserve"> </w:t>
      </w:r>
      <w:r>
        <w:t>on</w:t>
      </w:r>
      <w:r>
        <w:rPr>
          <w:spacing w:val="-3"/>
        </w:rPr>
        <w:t xml:space="preserve"> </w:t>
      </w:r>
      <w:r>
        <w:rPr>
          <w:spacing w:val="-2"/>
        </w:rPr>
        <w:t>rights</w:t>
      </w:r>
    </w:p>
    <w:p w14:paraId="7CB263BA" w14:textId="77777777" w:rsidR="008A4099" w:rsidRDefault="006A6EE2">
      <w:pPr>
        <w:pStyle w:val="ListParagraph"/>
        <w:numPr>
          <w:ilvl w:val="0"/>
          <w:numId w:val="2"/>
        </w:numPr>
        <w:tabs>
          <w:tab w:val="left" w:pos="729"/>
        </w:tabs>
        <w:spacing w:before="222" w:line="256" w:lineRule="auto"/>
        <w:ind w:right="673"/>
      </w:pPr>
      <w:r>
        <w:t>Subject to the principle that the right to freedom from torture and cruel, inhuman or degrading treatment or punishment, the right not to be held in slavery, freedom from genocide, freedom from</w:t>
      </w:r>
      <w:r>
        <w:rPr>
          <w:spacing w:val="-4"/>
        </w:rPr>
        <w:t xml:space="preserve"> </w:t>
      </w:r>
      <w:r>
        <w:t>retrospective</w:t>
      </w:r>
      <w:r>
        <w:rPr>
          <w:spacing w:val="-4"/>
        </w:rPr>
        <w:t xml:space="preserve"> </w:t>
      </w:r>
      <w:r>
        <w:t>criminal</w:t>
      </w:r>
      <w:r>
        <w:rPr>
          <w:spacing w:val="-6"/>
        </w:rPr>
        <w:t xml:space="preserve"> </w:t>
      </w:r>
      <w:r>
        <w:t>punishment</w:t>
      </w:r>
      <w:r>
        <w:rPr>
          <w:spacing w:val="-6"/>
        </w:rPr>
        <w:t xml:space="preserve"> </w:t>
      </w:r>
      <w:r>
        <w:t>and</w:t>
      </w:r>
      <w:r>
        <w:rPr>
          <w:spacing w:val="-7"/>
        </w:rPr>
        <w:t xml:space="preserve"> </w:t>
      </w:r>
      <w:r>
        <w:t>the</w:t>
      </w:r>
      <w:r>
        <w:rPr>
          <w:spacing w:val="-7"/>
        </w:rPr>
        <w:t xml:space="preserve"> </w:t>
      </w:r>
      <w:r>
        <w:t>right</w:t>
      </w:r>
      <w:r>
        <w:rPr>
          <w:spacing w:val="-6"/>
        </w:rPr>
        <w:t xml:space="preserve"> </w:t>
      </w:r>
      <w:r>
        <w:t>to</w:t>
      </w:r>
      <w:r>
        <w:rPr>
          <w:spacing w:val="-7"/>
        </w:rPr>
        <w:t xml:space="preserve"> </w:t>
      </w:r>
      <w:r>
        <w:t>be</w:t>
      </w:r>
      <w:r>
        <w:rPr>
          <w:spacing w:val="-4"/>
        </w:rPr>
        <w:t xml:space="preserve"> </w:t>
      </w:r>
      <w:r>
        <w:t>recognised</w:t>
      </w:r>
      <w:r>
        <w:rPr>
          <w:spacing w:val="-4"/>
        </w:rPr>
        <w:t xml:space="preserve"> </w:t>
      </w:r>
      <w:r>
        <w:t>as</w:t>
      </w:r>
      <w:r>
        <w:rPr>
          <w:spacing w:val="-4"/>
        </w:rPr>
        <w:t xml:space="preserve"> </w:t>
      </w:r>
      <w:r>
        <w:t>a</w:t>
      </w:r>
      <w:r>
        <w:rPr>
          <w:spacing w:val="-4"/>
        </w:rPr>
        <w:t xml:space="preserve"> </w:t>
      </w:r>
      <w:r>
        <w:t>person</w:t>
      </w:r>
      <w:r>
        <w:rPr>
          <w:spacing w:val="-4"/>
        </w:rPr>
        <w:t xml:space="preserve"> </w:t>
      </w:r>
      <w:r>
        <w:t>before</w:t>
      </w:r>
      <w:r>
        <w:rPr>
          <w:spacing w:val="-4"/>
        </w:rPr>
        <w:t xml:space="preserve"> </w:t>
      </w:r>
      <w:r>
        <w:t>the</w:t>
      </w:r>
      <w:r>
        <w:rPr>
          <w:spacing w:val="-7"/>
        </w:rPr>
        <w:t xml:space="preserve"> </w:t>
      </w:r>
      <w:r>
        <w:t>law are non-derogable rights, the Tasmanian Charter should state that the rights it protects may be subject only to such reasonable limits as can be demonstrably justified in a free and democratic society</w:t>
      </w:r>
      <w:r>
        <w:rPr>
          <w:spacing w:val="-14"/>
        </w:rPr>
        <w:t xml:space="preserve"> </w:t>
      </w:r>
      <w:r>
        <w:t>based</w:t>
      </w:r>
      <w:r>
        <w:rPr>
          <w:spacing w:val="-14"/>
        </w:rPr>
        <w:t xml:space="preserve"> </w:t>
      </w:r>
      <w:r>
        <w:t>on</w:t>
      </w:r>
      <w:r>
        <w:rPr>
          <w:spacing w:val="-14"/>
        </w:rPr>
        <w:t xml:space="preserve"> </w:t>
      </w:r>
      <w:r>
        <w:t>human</w:t>
      </w:r>
      <w:r>
        <w:rPr>
          <w:spacing w:val="-13"/>
        </w:rPr>
        <w:t xml:space="preserve"> </w:t>
      </w:r>
      <w:r>
        <w:t>dignity,</w:t>
      </w:r>
      <w:r>
        <w:rPr>
          <w:spacing w:val="-14"/>
        </w:rPr>
        <w:t xml:space="preserve"> </w:t>
      </w:r>
      <w:r>
        <w:t>equality</w:t>
      </w:r>
      <w:r>
        <w:rPr>
          <w:spacing w:val="-14"/>
        </w:rPr>
        <w:t xml:space="preserve"> </w:t>
      </w:r>
      <w:r>
        <w:t>and</w:t>
      </w:r>
      <w:r>
        <w:rPr>
          <w:spacing w:val="-14"/>
        </w:rPr>
        <w:t xml:space="preserve"> </w:t>
      </w:r>
      <w:r>
        <w:t>freedom,</w:t>
      </w:r>
      <w:r>
        <w:rPr>
          <w:spacing w:val="-13"/>
        </w:rPr>
        <w:t xml:space="preserve"> </w:t>
      </w:r>
      <w:r>
        <w:t>and</w:t>
      </w:r>
      <w:r>
        <w:rPr>
          <w:spacing w:val="-14"/>
        </w:rPr>
        <w:t xml:space="preserve"> </w:t>
      </w:r>
      <w:r>
        <w:t>taking</w:t>
      </w:r>
      <w:r>
        <w:rPr>
          <w:spacing w:val="-14"/>
        </w:rPr>
        <w:t xml:space="preserve"> </w:t>
      </w:r>
      <w:r>
        <w:t>into</w:t>
      </w:r>
      <w:r>
        <w:rPr>
          <w:spacing w:val="-14"/>
        </w:rPr>
        <w:t xml:space="preserve"> </w:t>
      </w:r>
      <w:r>
        <w:t>account</w:t>
      </w:r>
      <w:r>
        <w:rPr>
          <w:spacing w:val="-13"/>
        </w:rPr>
        <w:t xml:space="preserve"> </w:t>
      </w:r>
      <w:r>
        <w:t>all</w:t>
      </w:r>
      <w:r>
        <w:rPr>
          <w:spacing w:val="-14"/>
        </w:rPr>
        <w:t xml:space="preserve"> </w:t>
      </w:r>
      <w:r>
        <w:t>relevant</w:t>
      </w:r>
      <w:r>
        <w:rPr>
          <w:spacing w:val="-14"/>
        </w:rPr>
        <w:t xml:space="preserve"> </w:t>
      </w:r>
      <w:r>
        <w:t xml:space="preserve">factors </w:t>
      </w:r>
      <w:r>
        <w:rPr>
          <w:spacing w:val="-2"/>
        </w:rPr>
        <w:t>including:</w:t>
      </w:r>
    </w:p>
    <w:p w14:paraId="7CB263BB" w14:textId="77777777" w:rsidR="008A4099" w:rsidRDefault="006A6EE2">
      <w:pPr>
        <w:pStyle w:val="BodyText"/>
        <w:spacing w:before="158"/>
        <w:ind w:left="1012"/>
      </w:pPr>
      <w:r>
        <w:rPr>
          <w:rFonts w:ascii="Courier New"/>
        </w:rPr>
        <w:t>o</w:t>
      </w:r>
      <w:r>
        <w:rPr>
          <w:rFonts w:ascii="Courier New"/>
          <w:spacing w:val="-37"/>
        </w:rPr>
        <w:t xml:space="preserve"> </w:t>
      </w:r>
      <w:r>
        <w:t>the</w:t>
      </w:r>
      <w:r>
        <w:rPr>
          <w:spacing w:val="-6"/>
        </w:rPr>
        <w:t xml:space="preserve"> </w:t>
      </w:r>
      <w:r>
        <w:t>nature</w:t>
      </w:r>
      <w:r>
        <w:rPr>
          <w:spacing w:val="-2"/>
        </w:rPr>
        <w:t xml:space="preserve"> </w:t>
      </w:r>
      <w:r>
        <w:t>of</w:t>
      </w:r>
      <w:r>
        <w:rPr>
          <w:spacing w:val="-2"/>
        </w:rPr>
        <w:t xml:space="preserve"> </w:t>
      </w:r>
      <w:r>
        <w:t>the</w:t>
      </w:r>
      <w:r>
        <w:rPr>
          <w:spacing w:val="-2"/>
        </w:rPr>
        <w:t xml:space="preserve"> </w:t>
      </w:r>
      <w:r>
        <w:t>right;</w:t>
      </w:r>
      <w:r>
        <w:rPr>
          <w:spacing w:val="-3"/>
        </w:rPr>
        <w:t xml:space="preserve"> </w:t>
      </w:r>
      <w:r>
        <w:rPr>
          <w:spacing w:val="-5"/>
        </w:rPr>
        <w:t>and</w:t>
      </w:r>
    </w:p>
    <w:p w14:paraId="7CB263BC" w14:textId="77777777" w:rsidR="008A4099" w:rsidRDefault="006A6EE2">
      <w:pPr>
        <w:pStyle w:val="BodyText"/>
        <w:spacing w:before="120"/>
        <w:ind w:left="1012"/>
      </w:pPr>
      <w:r>
        <w:rPr>
          <w:rFonts w:ascii="Courier New"/>
        </w:rPr>
        <w:t>o</w:t>
      </w:r>
      <w:r>
        <w:rPr>
          <w:rFonts w:ascii="Courier New"/>
          <w:spacing w:val="-37"/>
        </w:rPr>
        <w:t xml:space="preserve"> </w:t>
      </w:r>
      <w:r>
        <w:t>the</w:t>
      </w:r>
      <w:r>
        <w:rPr>
          <w:spacing w:val="-10"/>
        </w:rPr>
        <w:t xml:space="preserve"> </w:t>
      </w:r>
      <w:r>
        <w:t>importance</w:t>
      </w:r>
      <w:r>
        <w:rPr>
          <w:spacing w:val="-2"/>
        </w:rPr>
        <w:t xml:space="preserve"> </w:t>
      </w:r>
      <w:r>
        <w:t>of</w:t>
      </w:r>
      <w:r>
        <w:rPr>
          <w:spacing w:val="-4"/>
        </w:rPr>
        <w:t xml:space="preserve"> </w:t>
      </w:r>
      <w:r>
        <w:t>the</w:t>
      </w:r>
      <w:r>
        <w:rPr>
          <w:spacing w:val="-3"/>
        </w:rPr>
        <w:t xml:space="preserve"> </w:t>
      </w:r>
      <w:r>
        <w:t>purpose</w:t>
      </w:r>
      <w:r>
        <w:rPr>
          <w:spacing w:val="-3"/>
        </w:rPr>
        <w:t xml:space="preserve"> </w:t>
      </w:r>
      <w:r>
        <w:t>of</w:t>
      </w:r>
      <w:r>
        <w:rPr>
          <w:spacing w:val="-4"/>
        </w:rPr>
        <w:t xml:space="preserve"> </w:t>
      </w:r>
      <w:r>
        <w:t>the</w:t>
      </w:r>
      <w:r>
        <w:rPr>
          <w:spacing w:val="-5"/>
        </w:rPr>
        <w:t xml:space="preserve"> </w:t>
      </w:r>
      <w:r>
        <w:t>limitation;</w:t>
      </w:r>
      <w:r>
        <w:rPr>
          <w:spacing w:val="-1"/>
        </w:rPr>
        <w:t xml:space="preserve"> </w:t>
      </w:r>
      <w:r>
        <w:rPr>
          <w:spacing w:val="-5"/>
        </w:rPr>
        <w:t>and</w:t>
      </w:r>
    </w:p>
    <w:p w14:paraId="7CB263BD" w14:textId="77777777" w:rsidR="008A4099" w:rsidRDefault="006A6EE2">
      <w:pPr>
        <w:pStyle w:val="BodyText"/>
        <w:spacing w:before="122"/>
        <w:ind w:left="1012"/>
      </w:pPr>
      <w:r>
        <w:rPr>
          <w:rFonts w:ascii="Courier New"/>
        </w:rPr>
        <w:t>o</w:t>
      </w:r>
      <w:r>
        <w:rPr>
          <w:rFonts w:ascii="Courier New"/>
          <w:spacing w:val="-37"/>
        </w:rPr>
        <w:t xml:space="preserve"> </w:t>
      </w:r>
      <w:r>
        <w:t>the</w:t>
      </w:r>
      <w:r>
        <w:rPr>
          <w:spacing w:val="-8"/>
        </w:rPr>
        <w:t xml:space="preserve"> </w:t>
      </w:r>
      <w:r>
        <w:t>nature</w:t>
      </w:r>
      <w:r>
        <w:rPr>
          <w:spacing w:val="-3"/>
        </w:rPr>
        <w:t xml:space="preserve"> </w:t>
      </w:r>
      <w:r>
        <w:t>and</w:t>
      </w:r>
      <w:r>
        <w:rPr>
          <w:spacing w:val="-3"/>
        </w:rPr>
        <w:t xml:space="preserve"> </w:t>
      </w:r>
      <w:r>
        <w:t>extent</w:t>
      </w:r>
      <w:r>
        <w:rPr>
          <w:spacing w:val="-2"/>
        </w:rPr>
        <w:t xml:space="preserve"> </w:t>
      </w:r>
      <w:r>
        <w:t>of</w:t>
      </w:r>
      <w:r>
        <w:rPr>
          <w:spacing w:val="-3"/>
        </w:rPr>
        <w:t xml:space="preserve"> </w:t>
      </w:r>
      <w:r>
        <w:t>the</w:t>
      </w:r>
      <w:r>
        <w:rPr>
          <w:spacing w:val="-5"/>
        </w:rPr>
        <w:t xml:space="preserve"> </w:t>
      </w:r>
      <w:r>
        <w:t>limitation;</w:t>
      </w:r>
      <w:r>
        <w:rPr>
          <w:spacing w:val="-1"/>
        </w:rPr>
        <w:t xml:space="preserve"> </w:t>
      </w:r>
      <w:r>
        <w:rPr>
          <w:spacing w:val="-5"/>
        </w:rPr>
        <w:t>and</w:t>
      </w:r>
    </w:p>
    <w:p w14:paraId="7CB263BE" w14:textId="77777777" w:rsidR="008A4099" w:rsidRDefault="006A6EE2">
      <w:pPr>
        <w:pStyle w:val="BodyText"/>
        <w:spacing w:before="122"/>
        <w:ind w:left="1012"/>
      </w:pPr>
      <w:r>
        <w:rPr>
          <w:rFonts w:ascii="Courier New"/>
        </w:rPr>
        <w:t>o</w:t>
      </w:r>
      <w:r>
        <w:rPr>
          <w:rFonts w:ascii="Courier New"/>
          <w:spacing w:val="-37"/>
        </w:rPr>
        <w:t xml:space="preserve"> </w:t>
      </w:r>
      <w:r>
        <w:t>the</w:t>
      </w:r>
      <w:r>
        <w:rPr>
          <w:spacing w:val="-11"/>
        </w:rPr>
        <w:t xml:space="preserve"> </w:t>
      </w:r>
      <w:r>
        <w:t>relationship</w:t>
      </w:r>
      <w:r>
        <w:rPr>
          <w:spacing w:val="-6"/>
        </w:rPr>
        <w:t xml:space="preserve"> </w:t>
      </w:r>
      <w:r>
        <w:t>between</w:t>
      </w:r>
      <w:r>
        <w:rPr>
          <w:spacing w:val="-5"/>
        </w:rPr>
        <w:t xml:space="preserve"> </w:t>
      </w:r>
      <w:r>
        <w:t>the</w:t>
      </w:r>
      <w:r>
        <w:rPr>
          <w:spacing w:val="-3"/>
        </w:rPr>
        <w:t xml:space="preserve"> </w:t>
      </w:r>
      <w:r>
        <w:t>limitation</w:t>
      </w:r>
      <w:r>
        <w:rPr>
          <w:spacing w:val="-3"/>
        </w:rPr>
        <w:t xml:space="preserve"> </w:t>
      </w:r>
      <w:r>
        <w:t>and</w:t>
      </w:r>
      <w:r>
        <w:rPr>
          <w:spacing w:val="-3"/>
        </w:rPr>
        <w:t xml:space="preserve"> </w:t>
      </w:r>
      <w:r>
        <w:t>its</w:t>
      </w:r>
      <w:r>
        <w:rPr>
          <w:spacing w:val="-3"/>
        </w:rPr>
        <w:t xml:space="preserve"> </w:t>
      </w:r>
      <w:r>
        <w:t>purpose;</w:t>
      </w:r>
      <w:r>
        <w:rPr>
          <w:spacing w:val="-2"/>
        </w:rPr>
        <w:t xml:space="preserve"> </w:t>
      </w:r>
      <w:r>
        <w:rPr>
          <w:spacing w:val="-5"/>
        </w:rPr>
        <w:t>and</w:t>
      </w:r>
    </w:p>
    <w:p w14:paraId="7CB263BF" w14:textId="77777777" w:rsidR="008A4099" w:rsidRDefault="006A6EE2">
      <w:pPr>
        <w:pStyle w:val="BodyText"/>
        <w:spacing w:before="123" w:line="242" w:lineRule="auto"/>
        <w:ind w:left="1578" w:right="680" w:hanging="567"/>
      </w:pPr>
      <w:r>
        <w:rPr>
          <w:rFonts w:ascii="Courier New"/>
        </w:rPr>
        <w:t>o</w:t>
      </w:r>
      <w:r>
        <w:rPr>
          <w:rFonts w:ascii="Courier New"/>
          <w:spacing w:val="-37"/>
        </w:rPr>
        <w:t xml:space="preserve"> </w:t>
      </w:r>
      <w:r>
        <w:t>any less restrictive means reasonably available to achieve the purpose that the limitation seeks to achieve.</w:t>
      </w:r>
    </w:p>
    <w:p w14:paraId="7CB263C0" w14:textId="77777777" w:rsidR="008A4099" w:rsidRDefault="006A6EE2">
      <w:pPr>
        <w:pStyle w:val="ListParagraph"/>
        <w:numPr>
          <w:ilvl w:val="0"/>
          <w:numId w:val="2"/>
        </w:numPr>
        <w:tabs>
          <w:tab w:val="left" w:pos="729"/>
        </w:tabs>
        <w:spacing w:before="135" w:line="254" w:lineRule="auto"/>
        <w:ind w:right="677"/>
      </w:pPr>
      <w:r>
        <w:t>The rights set out in the Tasmanian Charter should not be subject to inbuilt specific limitations, qualifications</w:t>
      </w:r>
      <w:r>
        <w:rPr>
          <w:spacing w:val="-2"/>
        </w:rPr>
        <w:t xml:space="preserve"> </w:t>
      </w:r>
      <w:r>
        <w:t>or</w:t>
      </w:r>
      <w:r>
        <w:rPr>
          <w:spacing w:val="-1"/>
        </w:rPr>
        <w:t xml:space="preserve"> </w:t>
      </w:r>
      <w:r>
        <w:t>caveats. In</w:t>
      </w:r>
      <w:r>
        <w:rPr>
          <w:spacing w:val="-3"/>
        </w:rPr>
        <w:t xml:space="preserve"> </w:t>
      </w:r>
      <w:r>
        <w:t>translating</w:t>
      </w:r>
      <w:r>
        <w:rPr>
          <w:spacing w:val="-3"/>
        </w:rPr>
        <w:t xml:space="preserve"> </w:t>
      </w:r>
      <w:r>
        <w:t>rights</w:t>
      </w:r>
      <w:r>
        <w:rPr>
          <w:spacing w:val="-2"/>
        </w:rPr>
        <w:t xml:space="preserve"> </w:t>
      </w:r>
      <w:r>
        <w:t>in International</w:t>
      </w:r>
      <w:r>
        <w:rPr>
          <w:spacing w:val="-1"/>
        </w:rPr>
        <w:t xml:space="preserve"> </w:t>
      </w:r>
      <w:r>
        <w:t>and</w:t>
      </w:r>
      <w:r>
        <w:rPr>
          <w:spacing w:val="-2"/>
        </w:rPr>
        <w:t xml:space="preserve"> </w:t>
      </w:r>
      <w:r>
        <w:t>other</w:t>
      </w:r>
      <w:r>
        <w:rPr>
          <w:spacing w:val="-1"/>
        </w:rPr>
        <w:t xml:space="preserve"> </w:t>
      </w:r>
      <w:r>
        <w:t>Australian</w:t>
      </w:r>
      <w:r>
        <w:rPr>
          <w:spacing w:val="-2"/>
        </w:rPr>
        <w:t xml:space="preserve"> </w:t>
      </w:r>
      <w:r>
        <w:t>human</w:t>
      </w:r>
      <w:r>
        <w:rPr>
          <w:spacing w:val="-2"/>
        </w:rPr>
        <w:t xml:space="preserve"> </w:t>
      </w:r>
      <w:r>
        <w:t>rights instruments to the Tasmanian context, any specific limitations they contain should be removed as set out at para [4.14.25].</w:t>
      </w:r>
    </w:p>
    <w:p w14:paraId="7CB263C1" w14:textId="77777777" w:rsidR="008A4099" w:rsidRDefault="006A6EE2">
      <w:pPr>
        <w:pStyle w:val="ListParagraph"/>
        <w:numPr>
          <w:ilvl w:val="0"/>
          <w:numId w:val="2"/>
        </w:numPr>
        <w:tabs>
          <w:tab w:val="left" w:pos="729"/>
        </w:tabs>
        <w:spacing w:before="162" w:line="242" w:lineRule="auto"/>
        <w:ind w:right="680"/>
      </w:pPr>
      <w:r>
        <w:t>Freedom</w:t>
      </w:r>
      <w:r>
        <w:rPr>
          <w:spacing w:val="-1"/>
        </w:rPr>
        <w:t xml:space="preserve"> </w:t>
      </w:r>
      <w:r>
        <w:t>from</w:t>
      </w:r>
      <w:r>
        <w:rPr>
          <w:spacing w:val="-1"/>
        </w:rPr>
        <w:t xml:space="preserve"> </w:t>
      </w:r>
      <w:r>
        <w:t>torture</w:t>
      </w:r>
      <w:r>
        <w:rPr>
          <w:spacing w:val="-2"/>
        </w:rPr>
        <w:t xml:space="preserve"> </w:t>
      </w:r>
      <w:r>
        <w:t>and</w:t>
      </w:r>
      <w:r>
        <w:rPr>
          <w:spacing w:val="-2"/>
        </w:rPr>
        <w:t xml:space="preserve"> </w:t>
      </w:r>
      <w:r>
        <w:t>cruel,</w:t>
      </w:r>
      <w:r>
        <w:rPr>
          <w:spacing w:val="-2"/>
        </w:rPr>
        <w:t xml:space="preserve"> </w:t>
      </w:r>
      <w:r>
        <w:t>inhuman</w:t>
      </w:r>
      <w:r>
        <w:rPr>
          <w:spacing w:val="-2"/>
        </w:rPr>
        <w:t xml:space="preserve"> </w:t>
      </w:r>
      <w:r>
        <w:t>or</w:t>
      </w:r>
      <w:r>
        <w:rPr>
          <w:spacing w:val="-2"/>
        </w:rPr>
        <w:t xml:space="preserve"> </w:t>
      </w:r>
      <w:r>
        <w:t>degrading</w:t>
      </w:r>
      <w:r>
        <w:rPr>
          <w:spacing w:val="-2"/>
        </w:rPr>
        <w:t xml:space="preserve"> </w:t>
      </w:r>
      <w:r>
        <w:t>treatment</w:t>
      </w:r>
      <w:r>
        <w:rPr>
          <w:spacing w:val="-1"/>
        </w:rPr>
        <w:t xml:space="preserve"> </w:t>
      </w:r>
      <w:r>
        <w:t>or</w:t>
      </w:r>
      <w:r>
        <w:rPr>
          <w:spacing w:val="-2"/>
        </w:rPr>
        <w:t xml:space="preserve"> </w:t>
      </w:r>
      <w:r>
        <w:t>punishment,</w:t>
      </w:r>
      <w:r>
        <w:rPr>
          <w:spacing w:val="-2"/>
        </w:rPr>
        <w:t xml:space="preserve"> </w:t>
      </w:r>
      <w:r>
        <w:t>the</w:t>
      </w:r>
      <w:r>
        <w:rPr>
          <w:spacing w:val="-2"/>
        </w:rPr>
        <w:t xml:space="preserve"> </w:t>
      </w:r>
      <w:r>
        <w:t>right</w:t>
      </w:r>
      <w:r>
        <w:rPr>
          <w:spacing w:val="-1"/>
        </w:rPr>
        <w:t xml:space="preserve"> </w:t>
      </w:r>
      <w:r>
        <w:t>not</w:t>
      </w:r>
      <w:r>
        <w:rPr>
          <w:spacing w:val="-1"/>
        </w:rPr>
        <w:t xml:space="preserve"> </w:t>
      </w:r>
      <w:r>
        <w:t>to be</w:t>
      </w:r>
      <w:r>
        <w:rPr>
          <w:spacing w:val="-5"/>
        </w:rPr>
        <w:t xml:space="preserve"> </w:t>
      </w:r>
      <w:r>
        <w:t>held</w:t>
      </w:r>
      <w:r>
        <w:rPr>
          <w:spacing w:val="-8"/>
        </w:rPr>
        <w:t xml:space="preserve"> </w:t>
      </w:r>
      <w:r>
        <w:t>in</w:t>
      </w:r>
      <w:r>
        <w:rPr>
          <w:spacing w:val="-6"/>
        </w:rPr>
        <w:t xml:space="preserve"> </w:t>
      </w:r>
      <w:r>
        <w:t>slavery,</w:t>
      </w:r>
      <w:r>
        <w:rPr>
          <w:spacing w:val="-8"/>
        </w:rPr>
        <w:t xml:space="preserve"> </w:t>
      </w:r>
      <w:r>
        <w:t>freedom</w:t>
      </w:r>
      <w:r>
        <w:rPr>
          <w:spacing w:val="-7"/>
        </w:rPr>
        <w:t xml:space="preserve"> </w:t>
      </w:r>
      <w:r>
        <w:t>from</w:t>
      </w:r>
      <w:r>
        <w:rPr>
          <w:spacing w:val="-5"/>
        </w:rPr>
        <w:t xml:space="preserve"> </w:t>
      </w:r>
      <w:r>
        <w:t>genocide,</w:t>
      </w:r>
      <w:r>
        <w:rPr>
          <w:spacing w:val="-8"/>
        </w:rPr>
        <w:t xml:space="preserve"> </w:t>
      </w:r>
      <w:r>
        <w:t>freedom</w:t>
      </w:r>
      <w:r>
        <w:rPr>
          <w:spacing w:val="-7"/>
        </w:rPr>
        <w:t xml:space="preserve"> </w:t>
      </w:r>
      <w:r>
        <w:t>from</w:t>
      </w:r>
      <w:r>
        <w:rPr>
          <w:spacing w:val="-5"/>
        </w:rPr>
        <w:t xml:space="preserve"> </w:t>
      </w:r>
      <w:r>
        <w:t>retrospective</w:t>
      </w:r>
      <w:r>
        <w:rPr>
          <w:spacing w:val="-5"/>
        </w:rPr>
        <w:t xml:space="preserve"> </w:t>
      </w:r>
      <w:r>
        <w:t>criminal</w:t>
      </w:r>
      <w:r>
        <w:rPr>
          <w:spacing w:val="-7"/>
        </w:rPr>
        <w:t xml:space="preserve"> </w:t>
      </w:r>
      <w:r>
        <w:t>punishment</w:t>
      </w:r>
      <w:r>
        <w:rPr>
          <w:spacing w:val="-5"/>
        </w:rPr>
        <w:t xml:space="preserve"> </w:t>
      </w:r>
      <w:r>
        <w:t>and</w:t>
      </w:r>
    </w:p>
    <w:p w14:paraId="7CB263C2" w14:textId="77777777" w:rsidR="008A4099" w:rsidRDefault="008A4099">
      <w:pPr>
        <w:spacing w:line="242" w:lineRule="auto"/>
        <w:jc w:val="both"/>
        <w:sectPr w:rsidR="008A4099" w:rsidSect="00D43B2D">
          <w:pgSz w:w="11910" w:h="16840"/>
          <w:pgMar w:top="980" w:right="760" w:bottom="940" w:left="1280" w:header="718" w:footer="753" w:gutter="0"/>
          <w:cols w:space="720"/>
        </w:sectPr>
      </w:pPr>
    </w:p>
    <w:p w14:paraId="7CB263C3" w14:textId="77777777" w:rsidR="008A4099" w:rsidRDefault="008A4099">
      <w:pPr>
        <w:pStyle w:val="BodyText"/>
        <w:spacing w:before="196"/>
      </w:pPr>
    </w:p>
    <w:p w14:paraId="7CB263C4" w14:textId="77777777" w:rsidR="008A4099" w:rsidRDefault="006A6EE2">
      <w:pPr>
        <w:pStyle w:val="BodyText"/>
        <w:spacing w:before="1" w:line="259" w:lineRule="auto"/>
        <w:ind w:left="729" w:right="681"/>
        <w:jc w:val="both"/>
      </w:pPr>
      <w:r>
        <w:t xml:space="preserve">the right to be recognised as a person before the law should be explicitly excluded from the operation of the Tasmanian Charter’s reasonable limits clause and from Parliamentary override </w:t>
      </w:r>
      <w:r>
        <w:rPr>
          <w:spacing w:val="-2"/>
        </w:rPr>
        <w:t>provisions.</w:t>
      </w:r>
    </w:p>
    <w:p w14:paraId="7CB263C5" w14:textId="77777777" w:rsidR="008A4099" w:rsidRDefault="006A6EE2">
      <w:pPr>
        <w:pStyle w:val="ListParagraph"/>
        <w:numPr>
          <w:ilvl w:val="0"/>
          <w:numId w:val="2"/>
        </w:numPr>
        <w:tabs>
          <w:tab w:val="left" w:pos="729"/>
        </w:tabs>
        <w:spacing w:before="159" w:line="254" w:lineRule="auto"/>
        <w:ind w:right="677"/>
      </w:pPr>
      <w:r>
        <w:t>The</w:t>
      </w:r>
      <w:r>
        <w:rPr>
          <w:spacing w:val="-14"/>
        </w:rPr>
        <w:t xml:space="preserve"> </w:t>
      </w:r>
      <w:r>
        <w:t>immunity</w:t>
      </w:r>
      <w:r>
        <w:rPr>
          <w:spacing w:val="-13"/>
        </w:rPr>
        <w:t xml:space="preserve"> </w:t>
      </w:r>
      <w:r>
        <w:t>of</w:t>
      </w:r>
      <w:r>
        <w:rPr>
          <w:spacing w:val="-12"/>
        </w:rPr>
        <w:t xml:space="preserve"> </w:t>
      </w:r>
      <w:r>
        <w:t>freedom</w:t>
      </w:r>
      <w:r>
        <w:rPr>
          <w:spacing w:val="-14"/>
        </w:rPr>
        <w:t xml:space="preserve"> </w:t>
      </w:r>
      <w:r>
        <w:t>from</w:t>
      </w:r>
      <w:r>
        <w:rPr>
          <w:spacing w:val="-12"/>
        </w:rPr>
        <w:t xml:space="preserve"> </w:t>
      </w:r>
      <w:r>
        <w:t>torture</w:t>
      </w:r>
      <w:r>
        <w:rPr>
          <w:spacing w:val="-13"/>
        </w:rPr>
        <w:t xml:space="preserve"> </w:t>
      </w:r>
      <w:r>
        <w:t>and</w:t>
      </w:r>
      <w:r>
        <w:rPr>
          <w:spacing w:val="-14"/>
        </w:rPr>
        <w:t xml:space="preserve"> </w:t>
      </w:r>
      <w:r>
        <w:t>cruel,</w:t>
      </w:r>
      <w:r>
        <w:rPr>
          <w:spacing w:val="-14"/>
        </w:rPr>
        <w:t xml:space="preserve"> </w:t>
      </w:r>
      <w:r>
        <w:t>inhuman</w:t>
      </w:r>
      <w:r>
        <w:rPr>
          <w:spacing w:val="-12"/>
        </w:rPr>
        <w:t xml:space="preserve"> </w:t>
      </w:r>
      <w:r>
        <w:t>or</w:t>
      </w:r>
      <w:r>
        <w:rPr>
          <w:spacing w:val="-12"/>
        </w:rPr>
        <w:t xml:space="preserve"> </w:t>
      </w:r>
      <w:r>
        <w:t>degrading</w:t>
      </w:r>
      <w:r>
        <w:rPr>
          <w:spacing w:val="-13"/>
        </w:rPr>
        <w:t xml:space="preserve"> </w:t>
      </w:r>
      <w:r>
        <w:t>treatment</w:t>
      </w:r>
      <w:r>
        <w:rPr>
          <w:spacing w:val="-12"/>
        </w:rPr>
        <w:t xml:space="preserve"> </w:t>
      </w:r>
      <w:r>
        <w:t>or</w:t>
      </w:r>
      <w:r>
        <w:rPr>
          <w:spacing w:val="-12"/>
        </w:rPr>
        <w:t xml:space="preserve"> </w:t>
      </w:r>
      <w:r>
        <w:t>punishment, the right not to be held in slavery, freedom from genocide, freedom from retrospective criminal punishment and the right to be recognised as a person before the law to legislative override or limitation should be entrenched in the Charter. Their limitation or override should only be able to be effected with the agreement of the Tasmanian people to be ascertained by referendum.</w:t>
      </w:r>
    </w:p>
    <w:p w14:paraId="7CB263C6" w14:textId="77777777" w:rsidR="008A4099" w:rsidRDefault="006A6EE2">
      <w:pPr>
        <w:pStyle w:val="ListParagraph"/>
        <w:numPr>
          <w:ilvl w:val="0"/>
          <w:numId w:val="2"/>
        </w:numPr>
        <w:tabs>
          <w:tab w:val="left" w:pos="729"/>
        </w:tabs>
        <w:spacing w:before="165" w:line="254" w:lineRule="auto"/>
        <w:ind w:right="677"/>
      </w:pPr>
      <w:r>
        <w:t>The</w:t>
      </w:r>
      <w:r>
        <w:rPr>
          <w:spacing w:val="-5"/>
        </w:rPr>
        <w:t xml:space="preserve"> </w:t>
      </w:r>
      <w:r>
        <w:t>courts</w:t>
      </w:r>
      <w:r>
        <w:rPr>
          <w:spacing w:val="-6"/>
        </w:rPr>
        <w:t xml:space="preserve"> </w:t>
      </w:r>
      <w:r>
        <w:t>should</w:t>
      </w:r>
      <w:r>
        <w:rPr>
          <w:spacing w:val="-7"/>
        </w:rPr>
        <w:t xml:space="preserve"> </w:t>
      </w:r>
      <w:r>
        <w:t>have</w:t>
      </w:r>
      <w:r>
        <w:rPr>
          <w:spacing w:val="-6"/>
        </w:rPr>
        <w:t xml:space="preserve"> </w:t>
      </w:r>
      <w:r>
        <w:t>the</w:t>
      </w:r>
      <w:r>
        <w:rPr>
          <w:spacing w:val="-7"/>
        </w:rPr>
        <w:t xml:space="preserve"> </w:t>
      </w:r>
      <w:r>
        <w:t>power</w:t>
      </w:r>
      <w:r>
        <w:rPr>
          <w:spacing w:val="-6"/>
        </w:rPr>
        <w:t xml:space="preserve"> </w:t>
      </w:r>
      <w:r>
        <w:t>to</w:t>
      </w:r>
      <w:r>
        <w:rPr>
          <w:spacing w:val="-7"/>
        </w:rPr>
        <w:t xml:space="preserve"> </w:t>
      </w:r>
      <w:r>
        <w:t>invalidate</w:t>
      </w:r>
      <w:r>
        <w:rPr>
          <w:spacing w:val="-7"/>
        </w:rPr>
        <w:t xml:space="preserve"> </w:t>
      </w:r>
      <w:r>
        <w:t>legislation</w:t>
      </w:r>
      <w:r>
        <w:rPr>
          <w:spacing w:val="-5"/>
        </w:rPr>
        <w:t xml:space="preserve"> </w:t>
      </w:r>
      <w:r>
        <w:t>that</w:t>
      </w:r>
      <w:r>
        <w:rPr>
          <w:spacing w:val="-6"/>
        </w:rPr>
        <w:t xml:space="preserve"> </w:t>
      </w:r>
      <w:r>
        <w:t>is</w:t>
      </w:r>
      <w:r>
        <w:rPr>
          <w:spacing w:val="-6"/>
        </w:rPr>
        <w:t xml:space="preserve"> </w:t>
      </w:r>
      <w:r>
        <w:t>inconsistent</w:t>
      </w:r>
      <w:r>
        <w:rPr>
          <w:spacing w:val="-6"/>
        </w:rPr>
        <w:t xml:space="preserve"> </w:t>
      </w:r>
      <w:r>
        <w:t>with</w:t>
      </w:r>
      <w:r>
        <w:rPr>
          <w:spacing w:val="-7"/>
        </w:rPr>
        <w:t xml:space="preserve"> </w:t>
      </w:r>
      <w:r>
        <w:t>freedom</w:t>
      </w:r>
      <w:r>
        <w:rPr>
          <w:spacing w:val="-6"/>
        </w:rPr>
        <w:t xml:space="preserve"> </w:t>
      </w:r>
      <w:r>
        <w:t>from torture and cruel, inhuman or degrading treatment or punishment, the right not to be held in slavery, freedom from genocide, freedom from retrospective criminal punishment and the right to be recognised as a person before the law.</w:t>
      </w:r>
    </w:p>
    <w:p w14:paraId="7CB263C7" w14:textId="77777777" w:rsidR="008A4099" w:rsidRDefault="008A4099">
      <w:pPr>
        <w:pStyle w:val="BodyText"/>
        <w:spacing w:before="109"/>
      </w:pPr>
    </w:p>
    <w:p w14:paraId="7CB263C8" w14:textId="77777777" w:rsidR="008A4099" w:rsidRDefault="006A6EE2">
      <w:pPr>
        <w:pStyle w:val="Heading5"/>
      </w:pPr>
      <w:r>
        <w:t>Recommendation</w:t>
      </w:r>
      <w:r>
        <w:rPr>
          <w:spacing w:val="-4"/>
        </w:rPr>
        <w:t xml:space="preserve"> </w:t>
      </w:r>
      <w:r>
        <w:t>15</w:t>
      </w:r>
      <w:r>
        <w:rPr>
          <w:spacing w:val="-3"/>
        </w:rPr>
        <w:t xml:space="preserve"> </w:t>
      </w:r>
      <w:r>
        <w:t>–</w:t>
      </w:r>
      <w:r>
        <w:rPr>
          <w:spacing w:val="-5"/>
        </w:rPr>
        <w:t xml:space="preserve"> </w:t>
      </w:r>
      <w:r>
        <w:t>What</w:t>
      </w:r>
      <w:r>
        <w:rPr>
          <w:spacing w:val="-3"/>
        </w:rPr>
        <w:t xml:space="preserve"> </w:t>
      </w:r>
      <w:r>
        <w:rPr>
          <w:spacing w:val="-2"/>
        </w:rPr>
        <w:t>rights?</w:t>
      </w:r>
    </w:p>
    <w:p w14:paraId="7CB263C9" w14:textId="77777777" w:rsidR="008A4099" w:rsidRDefault="006A6EE2">
      <w:pPr>
        <w:pStyle w:val="ListParagraph"/>
        <w:numPr>
          <w:ilvl w:val="0"/>
          <w:numId w:val="2"/>
        </w:numPr>
        <w:tabs>
          <w:tab w:val="left" w:pos="729"/>
        </w:tabs>
        <w:spacing w:line="242" w:lineRule="auto"/>
        <w:ind w:right="679"/>
      </w:pPr>
      <w:r>
        <w:t>The</w:t>
      </w:r>
      <w:r>
        <w:rPr>
          <w:spacing w:val="-7"/>
        </w:rPr>
        <w:t xml:space="preserve"> </w:t>
      </w:r>
      <w:r>
        <w:t>Tasmanian</w:t>
      </w:r>
      <w:r>
        <w:rPr>
          <w:spacing w:val="-7"/>
        </w:rPr>
        <w:t xml:space="preserve"> </w:t>
      </w:r>
      <w:r>
        <w:t>Law</w:t>
      </w:r>
      <w:r>
        <w:rPr>
          <w:spacing w:val="-8"/>
        </w:rPr>
        <w:t xml:space="preserve"> </w:t>
      </w:r>
      <w:r>
        <w:t>Reform</w:t>
      </w:r>
      <w:r>
        <w:rPr>
          <w:spacing w:val="-6"/>
        </w:rPr>
        <w:t xml:space="preserve"> </w:t>
      </w:r>
      <w:r>
        <w:t>Institute</w:t>
      </w:r>
      <w:r>
        <w:rPr>
          <w:spacing w:val="-7"/>
        </w:rPr>
        <w:t xml:space="preserve"> </w:t>
      </w:r>
      <w:r>
        <w:t>recommends</w:t>
      </w:r>
      <w:r>
        <w:rPr>
          <w:spacing w:val="-6"/>
        </w:rPr>
        <w:t xml:space="preserve"> </w:t>
      </w:r>
      <w:r>
        <w:t>that</w:t>
      </w:r>
      <w:r>
        <w:rPr>
          <w:spacing w:val="-6"/>
        </w:rPr>
        <w:t xml:space="preserve"> </w:t>
      </w:r>
      <w:r>
        <w:t>the</w:t>
      </w:r>
      <w:r>
        <w:rPr>
          <w:spacing w:val="-7"/>
        </w:rPr>
        <w:t xml:space="preserve"> </w:t>
      </w:r>
      <w:r>
        <w:t>Tasmanian</w:t>
      </w:r>
      <w:r>
        <w:rPr>
          <w:spacing w:val="-7"/>
        </w:rPr>
        <w:t xml:space="preserve"> </w:t>
      </w:r>
      <w:r>
        <w:t>Charter</w:t>
      </w:r>
      <w:r>
        <w:rPr>
          <w:spacing w:val="-6"/>
        </w:rPr>
        <w:t xml:space="preserve"> </w:t>
      </w:r>
      <w:r>
        <w:t>of</w:t>
      </w:r>
      <w:r>
        <w:rPr>
          <w:spacing w:val="-9"/>
        </w:rPr>
        <w:t xml:space="preserve"> </w:t>
      </w:r>
      <w:r>
        <w:t>Human</w:t>
      </w:r>
      <w:r>
        <w:rPr>
          <w:spacing w:val="-7"/>
        </w:rPr>
        <w:t xml:space="preserve"> </w:t>
      </w:r>
      <w:r>
        <w:t>Rights should protect economic, social and cultural rights as well as civil and political rights.</w:t>
      </w:r>
    </w:p>
    <w:p w14:paraId="7CB263CA" w14:textId="77777777" w:rsidR="008A4099" w:rsidRDefault="006A6EE2">
      <w:pPr>
        <w:pStyle w:val="ListParagraph"/>
        <w:numPr>
          <w:ilvl w:val="0"/>
          <w:numId w:val="2"/>
        </w:numPr>
        <w:tabs>
          <w:tab w:val="left" w:pos="729"/>
        </w:tabs>
        <w:spacing w:before="178" w:line="249" w:lineRule="auto"/>
        <w:ind w:right="682"/>
      </w:pPr>
      <w:r>
        <w:t>If the</w:t>
      </w:r>
      <w:r>
        <w:rPr>
          <w:spacing w:val="-3"/>
        </w:rPr>
        <w:t xml:space="preserve"> </w:t>
      </w:r>
      <w:r>
        <w:t>Tasmanian</w:t>
      </w:r>
      <w:r>
        <w:rPr>
          <w:spacing w:val="-1"/>
        </w:rPr>
        <w:t xml:space="preserve"> </w:t>
      </w:r>
      <w:r>
        <w:t>Charter</w:t>
      </w:r>
      <w:r>
        <w:rPr>
          <w:spacing w:val="-2"/>
        </w:rPr>
        <w:t xml:space="preserve"> </w:t>
      </w:r>
      <w:r>
        <w:t>only</w:t>
      </w:r>
      <w:r>
        <w:rPr>
          <w:spacing w:val="-3"/>
        </w:rPr>
        <w:t xml:space="preserve"> </w:t>
      </w:r>
      <w:r>
        <w:t>covers</w:t>
      </w:r>
      <w:r>
        <w:rPr>
          <w:spacing w:val="-3"/>
        </w:rPr>
        <w:t xml:space="preserve"> </w:t>
      </w:r>
      <w:r>
        <w:t>civil and</w:t>
      </w:r>
      <w:r>
        <w:rPr>
          <w:spacing w:val="-1"/>
        </w:rPr>
        <w:t xml:space="preserve"> </w:t>
      </w:r>
      <w:r>
        <w:t>political rights,</w:t>
      </w:r>
      <w:r>
        <w:rPr>
          <w:spacing w:val="-3"/>
        </w:rPr>
        <w:t xml:space="preserve"> </w:t>
      </w:r>
      <w:r>
        <w:t>then</w:t>
      </w:r>
      <w:r>
        <w:rPr>
          <w:spacing w:val="-3"/>
        </w:rPr>
        <w:t xml:space="preserve"> </w:t>
      </w:r>
      <w:r>
        <w:t>the</w:t>
      </w:r>
      <w:r>
        <w:rPr>
          <w:spacing w:val="-3"/>
        </w:rPr>
        <w:t xml:space="preserve"> </w:t>
      </w:r>
      <w:r>
        <w:t>Tasmanian</w:t>
      </w:r>
      <w:r>
        <w:rPr>
          <w:spacing w:val="-4"/>
        </w:rPr>
        <w:t xml:space="preserve"> </w:t>
      </w:r>
      <w:r>
        <w:t>Law</w:t>
      </w:r>
      <w:r>
        <w:rPr>
          <w:spacing w:val="-2"/>
        </w:rPr>
        <w:t xml:space="preserve"> </w:t>
      </w:r>
      <w:r>
        <w:t>Reform Institute recommends that in prescribed reviews of the Charter further consideration should be given to the inclusion of economic, social and cultural rights.</w:t>
      </w:r>
    </w:p>
    <w:p w14:paraId="7CB263CB" w14:textId="77777777" w:rsidR="008A4099" w:rsidRDefault="008A4099">
      <w:pPr>
        <w:pStyle w:val="BodyText"/>
        <w:spacing w:before="118"/>
      </w:pPr>
    </w:p>
    <w:p w14:paraId="7CB263CC" w14:textId="77777777" w:rsidR="008A4099" w:rsidRDefault="006A6EE2">
      <w:pPr>
        <w:pStyle w:val="Heading5"/>
      </w:pPr>
      <w:r>
        <w:t>Recommendation</w:t>
      </w:r>
      <w:r>
        <w:rPr>
          <w:spacing w:val="-4"/>
        </w:rPr>
        <w:t xml:space="preserve"> </w:t>
      </w:r>
      <w:r>
        <w:t>16</w:t>
      </w:r>
      <w:r>
        <w:rPr>
          <w:spacing w:val="-4"/>
        </w:rPr>
        <w:t xml:space="preserve"> </w:t>
      </w:r>
      <w:r>
        <w:t>–</w:t>
      </w:r>
      <w:r>
        <w:rPr>
          <w:spacing w:val="-4"/>
        </w:rPr>
        <w:t xml:space="preserve"> </w:t>
      </w:r>
      <w:r>
        <w:t>Specific</w:t>
      </w:r>
      <w:r>
        <w:rPr>
          <w:spacing w:val="-5"/>
        </w:rPr>
        <w:t xml:space="preserve"> </w:t>
      </w:r>
      <w:r>
        <w:rPr>
          <w:spacing w:val="-2"/>
        </w:rPr>
        <w:t>rights</w:t>
      </w:r>
    </w:p>
    <w:p w14:paraId="7CB263CD" w14:textId="77777777" w:rsidR="008A4099" w:rsidRDefault="006A6EE2">
      <w:pPr>
        <w:pStyle w:val="ListParagraph"/>
        <w:numPr>
          <w:ilvl w:val="0"/>
          <w:numId w:val="2"/>
        </w:numPr>
        <w:tabs>
          <w:tab w:val="left" w:pos="729"/>
        </w:tabs>
        <w:spacing w:line="252" w:lineRule="auto"/>
        <w:ind w:right="674"/>
      </w:pPr>
      <w:r>
        <w:t xml:space="preserve">The rights in the Tasmanian Charter of Human Rights should be modelled on </w:t>
      </w:r>
      <w:r>
        <w:rPr>
          <w:i/>
        </w:rPr>
        <w:t>the International Covenant</w:t>
      </w:r>
      <w:r>
        <w:rPr>
          <w:i/>
          <w:spacing w:val="-5"/>
        </w:rPr>
        <w:t xml:space="preserve"> </w:t>
      </w:r>
      <w:r>
        <w:rPr>
          <w:i/>
        </w:rPr>
        <w:t>on</w:t>
      </w:r>
      <w:r>
        <w:rPr>
          <w:i/>
          <w:spacing w:val="-6"/>
        </w:rPr>
        <w:t xml:space="preserve"> </w:t>
      </w:r>
      <w:r>
        <w:rPr>
          <w:i/>
        </w:rPr>
        <w:t>Civil</w:t>
      </w:r>
      <w:r>
        <w:rPr>
          <w:i/>
          <w:spacing w:val="-5"/>
        </w:rPr>
        <w:t xml:space="preserve"> </w:t>
      </w:r>
      <w:r>
        <w:rPr>
          <w:i/>
        </w:rPr>
        <w:t>and</w:t>
      </w:r>
      <w:r>
        <w:rPr>
          <w:i/>
          <w:spacing w:val="-6"/>
        </w:rPr>
        <w:t xml:space="preserve"> </w:t>
      </w:r>
      <w:r>
        <w:rPr>
          <w:i/>
        </w:rPr>
        <w:t>Political</w:t>
      </w:r>
      <w:r>
        <w:rPr>
          <w:i/>
          <w:spacing w:val="-5"/>
        </w:rPr>
        <w:t xml:space="preserve"> </w:t>
      </w:r>
      <w:r>
        <w:rPr>
          <w:i/>
        </w:rPr>
        <w:t>Rights</w:t>
      </w:r>
      <w:r>
        <w:rPr>
          <w:i/>
          <w:spacing w:val="-3"/>
        </w:rPr>
        <w:t xml:space="preserve"> </w:t>
      </w:r>
      <w:r>
        <w:t>and</w:t>
      </w:r>
      <w:r>
        <w:rPr>
          <w:spacing w:val="-5"/>
        </w:rPr>
        <w:t xml:space="preserve"> </w:t>
      </w:r>
      <w:r>
        <w:t>the</w:t>
      </w:r>
      <w:r>
        <w:rPr>
          <w:spacing w:val="-5"/>
        </w:rPr>
        <w:t xml:space="preserve"> </w:t>
      </w:r>
      <w:r>
        <w:rPr>
          <w:i/>
        </w:rPr>
        <w:t>International</w:t>
      </w:r>
      <w:r>
        <w:rPr>
          <w:i/>
          <w:spacing w:val="-5"/>
        </w:rPr>
        <w:t xml:space="preserve"> </w:t>
      </w:r>
      <w:r>
        <w:rPr>
          <w:i/>
        </w:rPr>
        <w:t>Covenant</w:t>
      </w:r>
      <w:r>
        <w:rPr>
          <w:i/>
          <w:spacing w:val="-5"/>
        </w:rPr>
        <w:t xml:space="preserve"> </w:t>
      </w:r>
      <w:r>
        <w:rPr>
          <w:i/>
        </w:rPr>
        <w:t>on</w:t>
      </w:r>
      <w:r>
        <w:rPr>
          <w:i/>
          <w:spacing w:val="-6"/>
        </w:rPr>
        <w:t xml:space="preserve"> </w:t>
      </w:r>
      <w:r>
        <w:rPr>
          <w:i/>
        </w:rPr>
        <w:t>Economic,</w:t>
      </w:r>
      <w:r>
        <w:rPr>
          <w:i/>
          <w:spacing w:val="-5"/>
        </w:rPr>
        <w:t xml:space="preserve"> </w:t>
      </w:r>
      <w:r>
        <w:rPr>
          <w:i/>
        </w:rPr>
        <w:t>Social</w:t>
      </w:r>
      <w:r>
        <w:rPr>
          <w:i/>
          <w:spacing w:val="-5"/>
        </w:rPr>
        <w:t xml:space="preserve"> </w:t>
      </w:r>
      <w:r>
        <w:rPr>
          <w:i/>
        </w:rPr>
        <w:t xml:space="preserve">and Cultural Rights </w:t>
      </w:r>
      <w:r>
        <w:t>subject to the modifications recommended at paras [4.14.22]–[4.14.25] and [4.16.4]–[4.16.58] and in Recommendation 17.</w:t>
      </w:r>
    </w:p>
    <w:p w14:paraId="7CB263CE" w14:textId="77777777" w:rsidR="008A4099" w:rsidRDefault="006A6EE2">
      <w:pPr>
        <w:pStyle w:val="ListParagraph"/>
        <w:numPr>
          <w:ilvl w:val="0"/>
          <w:numId w:val="2"/>
        </w:numPr>
        <w:tabs>
          <w:tab w:val="left" w:pos="729"/>
        </w:tabs>
        <w:spacing w:before="172"/>
        <w:ind w:right="685"/>
      </w:pPr>
      <w:r>
        <w:t>The specific rights that the Tasmanian Law Reform Institute recommends for inclusion in the Tasmanian Charter are:</w:t>
      </w:r>
    </w:p>
    <w:p w14:paraId="7CB263CF" w14:textId="77777777" w:rsidR="008A4099" w:rsidRDefault="006A6EE2">
      <w:pPr>
        <w:pStyle w:val="ListParagraph"/>
        <w:numPr>
          <w:ilvl w:val="1"/>
          <w:numId w:val="2"/>
        </w:numPr>
        <w:tabs>
          <w:tab w:val="left" w:pos="1674"/>
        </w:tabs>
        <w:spacing w:before="181"/>
        <w:ind w:left="1674" w:hanging="357"/>
        <w:jc w:val="left"/>
      </w:pPr>
      <w:r>
        <w:t>The</w:t>
      </w:r>
      <w:r>
        <w:rPr>
          <w:spacing w:val="-1"/>
        </w:rPr>
        <w:t xml:space="preserve"> </w:t>
      </w:r>
      <w:r>
        <w:t>right</w:t>
      </w:r>
      <w:r>
        <w:rPr>
          <w:spacing w:val="-3"/>
        </w:rPr>
        <w:t xml:space="preserve"> </w:t>
      </w:r>
      <w:r>
        <w:t>to</w:t>
      </w:r>
      <w:r>
        <w:rPr>
          <w:spacing w:val="-3"/>
        </w:rPr>
        <w:t xml:space="preserve"> </w:t>
      </w:r>
      <w:r>
        <w:rPr>
          <w:spacing w:val="-2"/>
        </w:rPr>
        <w:t>life;</w:t>
      </w:r>
    </w:p>
    <w:p w14:paraId="7CB263D0" w14:textId="77777777" w:rsidR="008A4099" w:rsidRDefault="006A6EE2">
      <w:pPr>
        <w:pStyle w:val="ListParagraph"/>
        <w:numPr>
          <w:ilvl w:val="1"/>
          <w:numId w:val="2"/>
        </w:numPr>
        <w:tabs>
          <w:tab w:val="left" w:pos="1676"/>
        </w:tabs>
        <w:spacing w:before="100"/>
        <w:ind w:left="1676" w:hanging="359"/>
        <w:jc w:val="left"/>
      </w:pPr>
      <w:r>
        <w:t>The</w:t>
      </w:r>
      <w:r>
        <w:rPr>
          <w:spacing w:val="-4"/>
        </w:rPr>
        <w:t xml:space="preserve"> </w:t>
      </w:r>
      <w:r>
        <w:t>protection</w:t>
      </w:r>
      <w:r>
        <w:rPr>
          <w:spacing w:val="-3"/>
        </w:rPr>
        <w:t xml:space="preserve"> </w:t>
      </w:r>
      <w:r>
        <w:t>of</w:t>
      </w:r>
      <w:r>
        <w:rPr>
          <w:spacing w:val="-3"/>
        </w:rPr>
        <w:t xml:space="preserve"> </w:t>
      </w:r>
      <w:r>
        <w:t>the</w:t>
      </w:r>
      <w:r>
        <w:rPr>
          <w:spacing w:val="-3"/>
        </w:rPr>
        <w:t xml:space="preserve"> </w:t>
      </w:r>
      <w:r>
        <w:t>family</w:t>
      </w:r>
      <w:r>
        <w:rPr>
          <w:spacing w:val="-3"/>
        </w:rPr>
        <w:t xml:space="preserve"> </w:t>
      </w:r>
      <w:r>
        <w:t>and</w:t>
      </w:r>
      <w:r>
        <w:rPr>
          <w:spacing w:val="-3"/>
        </w:rPr>
        <w:t xml:space="preserve"> </w:t>
      </w:r>
      <w:r>
        <w:rPr>
          <w:spacing w:val="-2"/>
        </w:rPr>
        <w:t>children;</w:t>
      </w:r>
    </w:p>
    <w:p w14:paraId="7CB263D1" w14:textId="77777777" w:rsidR="008A4099" w:rsidRDefault="006A6EE2">
      <w:pPr>
        <w:pStyle w:val="ListParagraph"/>
        <w:numPr>
          <w:ilvl w:val="1"/>
          <w:numId w:val="2"/>
        </w:numPr>
        <w:tabs>
          <w:tab w:val="left" w:pos="1676"/>
        </w:tabs>
        <w:spacing w:before="103"/>
        <w:ind w:left="1676" w:hanging="359"/>
        <w:jc w:val="left"/>
      </w:pPr>
      <w:r>
        <w:t>The</w:t>
      </w:r>
      <w:r>
        <w:rPr>
          <w:spacing w:val="-3"/>
        </w:rPr>
        <w:t xml:space="preserve"> </w:t>
      </w:r>
      <w:r>
        <w:t>right</w:t>
      </w:r>
      <w:r>
        <w:rPr>
          <w:spacing w:val="-5"/>
        </w:rPr>
        <w:t xml:space="preserve"> </w:t>
      </w:r>
      <w:r>
        <w:t>to</w:t>
      </w:r>
      <w:r>
        <w:rPr>
          <w:spacing w:val="-5"/>
        </w:rPr>
        <w:t xml:space="preserve"> </w:t>
      </w:r>
      <w:r>
        <w:t>liberty</w:t>
      </w:r>
      <w:r>
        <w:rPr>
          <w:spacing w:val="-3"/>
        </w:rPr>
        <w:t xml:space="preserve"> </w:t>
      </w:r>
      <w:r>
        <w:t>and</w:t>
      </w:r>
      <w:r>
        <w:rPr>
          <w:spacing w:val="-3"/>
        </w:rPr>
        <w:t xml:space="preserve"> </w:t>
      </w:r>
      <w:r>
        <w:t>security</w:t>
      </w:r>
      <w:r>
        <w:rPr>
          <w:spacing w:val="-2"/>
        </w:rPr>
        <w:t xml:space="preserve"> </w:t>
      </w:r>
      <w:r>
        <w:t>of</w:t>
      </w:r>
      <w:r>
        <w:rPr>
          <w:spacing w:val="-3"/>
        </w:rPr>
        <w:t xml:space="preserve"> </w:t>
      </w:r>
      <w:r>
        <w:t>the</w:t>
      </w:r>
      <w:r>
        <w:rPr>
          <w:spacing w:val="-2"/>
        </w:rPr>
        <w:t xml:space="preserve"> person;</w:t>
      </w:r>
    </w:p>
    <w:p w14:paraId="7CB263D2" w14:textId="77777777" w:rsidR="008A4099" w:rsidRDefault="006A6EE2">
      <w:pPr>
        <w:pStyle w:val="ListParagraph"/>
        <w:numPr>
          <w:ilvl w:val="1"/>
          <w:numId w:val="2"/>
        </w:numPr>
        <w:tabs>
          <w:tab w:val="left" w:pos="1676"/>
        </w:tabs>
        <w:spacing w:before="101"/>
        <w:ind w:left="1676" w:hanging="359"/>
        <w:jc w:val="left"/>
      </w:pPr>
      <w:r>
        <w:t>The</w:t>
      </w:r>
      <w:r>
        <w:rPr>
          <w:spacing w:val="-3"/>
        </w:rPr>
        <w:t xml:space="preserve"> </w:t>
      </w:r>
      <w:r>
        <w:t>right</w:t>
      </w:r>
      <w:r>
        <w:rPr>
          <w:spacing w:val="-5"/>
        </w:rPr>
        <w:t xml:space="preserve"> </w:t>
      </w:r>
      <w:r>
        <w:t>to</w:t>
      </w:r>
      <w:r>
        <w:rPr>
          <w:spacing w:val="-3"/>
        </w:rPr>
        <w:t xml:space="preserve"> </w:t>
      </w:r>
      <w:r>
        <w:t>humane</w:t>
      </w:r>
      <w:r>
        <w:rPr>
          <w:spacing w:val="-5"/>
        </w:rPr>
        <w:t xml:space="preserve"> </w:t>
      </w:r>
      <w:r>
        <w:t>treatment</w:t>
      </w:r>
      <w:r>
        <w:rPr>
          <w:spacing w:val="-2"/>
        </w:rPr>
        <w:t xml:space="preserve"> </w:t>
      </w:r>
      <w:r>
        <w:t>when</w:t>
      </w:r>
      <w:r>
        <w:rPr>
          <w:spacing w:val="-2"/>
        </w:rPr>
        <w:t xml:space="preserve"> detained;</w:t>
      </w:r>
    </w:p>
    <w:p w14:paraId="7CB263D3" w14:textId="77777777" w:rsidR="008A4099" w:rsidRDefault="006A6EE2">
      <w:pPr>
        <w:pStyle w:val="ListParagraph"/>
        <w:numPr>
          <w:ilvl w:val="1"/>
          <w:numId w:val="2"/>
        </w:numPr>
        <w:tabs>
          <w:tab w:val="left" w:pos="1676"/>
        </w:tabs>
        <w:spacing w:before="100"/>
        <w:ind w:left="1676" w:hanging="359"/>
        <w:jc w:val="left"/>
      </w:pPr>
      <w:r>
        <w:t>The</w:t>
      </w:r>
      <w:r>
        <w:rPr>
          <w:spacing w:val="-1"/>
        </w:rPr>
        <w:t xml:space="preserve"> </w:t>
      </w:r>
      <w:r>
        <w:t>right</w:t>
      </w:r>
      <w:r>
        <w:rPr>
          <w:spacing w:val="-3"/>
        </w:rPr>
        <w:t xml:space="preserve"> </w:t>
      </w:r>
      <w:r>
        <w:t>to</w:t>
      </w:r>
      <w:r>
        <w:rPr>
          <w:spacing w:val="-3"/>
        </w:rPr>
        <w:t xml:space="preserve"> </w:t>
      </w:r>
      <w:r>
        <w:t>a</w:t>
      </w:r>
      <w:r>
        <w:rPr>
          <w:spacing w:val="-1"/>
        </w:rPr>
        <w:t xml:space="preserve"> </w:t>
      </w:r>
      <w:r>
        <w:t>fair</w:t>
      </w:r>
      <w:r>
        <w:rPr>
          <w:spacing w:val="-2"/>
        </w:rPr>
        <w:t xml:space="preserve"> hearing;</w:t>
      </w:r>
    </w:p>
    <w:p w14:paraId="7CB263D4" w14:textId="77777777" w:rsidR="008A4099" w:rsidRDefault="006A6EE2">
      <w:pPr>
        <w:pStyle w:val="ListParagraph"/>
        <w:numPr>
          <w:ilvl w:val="1"/>
          <w:numId w:val="2"/>
        </w:numPr>
        <w:tabs>
          <w:tab w:val="left" w:pos="1676"/>
        </w:tabs>
        <w:spacing w:before="103"/>
        <w:ind w:left="1676" w:hanging="359"/>
        <w:jc w:val="left"/>
      </w:pPr>
      <w:r>
        <w:t>The</w:t>
      </w:r>
      <w:r>
        <w:rPr>
          <w:spacing w:val="-6"/>
        </w:rPr>
        <w:t xml:space="preserve"> </w:t>
      </w:r>
      <w:r>
        <w:t>right</w:t>
      </w:r>
      <w:r>
        <w:rPr>
          <w:spacing w:val="-4"/>
        </w:rPr>
        <w:t xml:space="preserve"> </w:t>
      </w:r>
      <w:r>
        <w:t>of</w:t>
      </w:r>
      <w:r>
        <w:rPr>
          <w:spacing w:val="-5"/>
        </w:rPr>
        <w:t xml:space="preserve"> </w:t>
      </w:r>
      <w:r>
        <w:t>children</w:t>
      </w:r>
      <w:r>
        <w:rPr>
          <w:spacing w:val="-3"/>
        </w:rPr>
        <w:t xml:space="preserve"> </w:t>
      </w:r>
      <w:r>
        <w:t>to</w:t>
      </w:r>
      <w:r>
        <w:rPr>
          <w:spacing w:val="-3"/>
        </w:rPr>
        <w:t xml:space="preserve"> </w:t>
      </w:r>
      <w:r>
        <w:t>special</w:t>
      </w:r>
      <w:r>
        <w:rPr>
          <w:spacing w:val="-3"/>
        </w:rPr>
        <w:t xml:space="preserve"> </w:t>
      </w:r>
      <w:r>
        <w:t>treatment</w:t>
      </w:r>
      <w:r>
        <w:rPr>
          <w:spacing w:val="-2"/>
        </w:rPr>
        <w:t xml:space="preserve"> </w:t>
      </w:r>
      <w:r>
        <w:t>in</w:t>
      </w:r>
      <w:r>
        <w:rPr>
          <w:spacing w:val="-5"/>
        </w:rPr>
        <w:t xml:space="preserve"> </w:t>
      </w:r>
      <w:r>
        <w:t>the</w:t>
      </w:r>
      <w:r>
        <w:rPr>
          <w:spacing w:val="-5"/>
        </w:rPr>
        <w:t xml:space="preserve"> </w:t>
      </w:r>
      <w:r>
        <w:t>criminal</w:t>
      </w:r>
      <w:r>
        <w:rPr>
          <w:spacing w:val="-2"/>
        </w:rPr>
        <w:t xml:space="preserve"> </w:t>
      </w:r>
      <w:r>
        <w:t>justice</w:t>
      </w:r>
      <w:r>
        <w:rPr>
          <w:spacing w:val="-3"/>
        </w:rPr>
        <w:t xml:space="preserve"> </w:t>
      </w:r>
      <w:r>
        <w:rPr>
          <w:spacing w:val="-2"/>
        </w:rPr>
        <w:t>process;</w:t>
      </w:r>
    </w:p>
    <w:p w14:paraId="7CB263D5" w14:textId="77777777" w:rsidR="008A4099" w:rsidRDefault="006A6EE2">
      <w:pPr>
        <w:pStyle w:val="ListParagraph"/>
        <w:numPr>
          <w:ilvl w:val="1"/>
          <w:numId w:val="2"/>
        </w:numPr>
        <w:tabs>
          <w:tab w:val="left" w:pos="1676"/>
        </w:tabs>
        <w:spacing w:before="102"/>
        <w:ind w:left="1676" w:hanging="359"/>
        <w:jc w:val="left"/>
      </w:pPr>
      <w:r>
        <w:t>The</w:t>
      </w:r>
      <w:r>
        <w:rPr>
          <w:spacing w:val="-4"/>
        </w:rPr>
        <w:t xml:space="preserve"> </w:t>
      </w:r>
      <w:r>
        <w:t>right</w:t>
      </w:r>
      <w:r>
        <w:rPr>
          <w:spacing w:val="-5"/>
        </w:rPr>
        <w:t xml:space="preserve"> </w:t>
      </w:r>
      <w:r>
        <w:t>to</w:t>
      </w:r>
      <w:r>
        <w:rPr>
          <w:spacing w:val="-5"/>
        </w:rPr>
        <w:t xml:space="preserve"> </w:t>
      </w:r>
      <w:r>
        <w:t>compensation</w:t>
      </w:r>
      <w:r>
        <w:rPr>
          <w:spacing w:val="-6"/>
        </w:rPr>
        <w:t xml:space="preserve"> </w:t>
      </w:r>
      <w:r>
        <w:t>for</w:t>
      </w:r>
      <w:r>
        <w:rPr>
          <w:spacing w:val="-3"/>
        </w:rPr>
        <w:t xml:space="preserve"> </w:t>
      </w:r>
      <w:r>
        <w:t>wrongful</w:t>
      </w:r>
      <w:r>
        <w:rPr>
          <w:spacing w:val="-2"/>
        </w:rPr>
        <w:t xml:space="preserve"> conviction;</w:t>
      </w:r>
    </w:p>
    <w:p w14:paraId="7CB263D6" w14:textId="77777777" w:rsidR="008A4099" w:rsidRDefault="006A6EE2">
      <w:pPr>
        <w:pStyle w:val="ListParagraph"/>
        <w:numPr>
          <w:ilvl w:val="1"/>
          <w:numId w:val="2"/>
        </w:numPr>
        <w:tabs>
          <w:tab w:val="left" w:pos="1677"/>
        </w:tabs>
        <w:spacing w:before="103"/>
        <w:ind w:left="1677" w:right="679" w:hanging="360"/>
        <w:jc w:val="left"/>
      </w:pPr>
      <w:r>
        <w:t>The</w:t>
      </w:r>
      <w:r>
        <w:rPr>
          <w:spacing w:val="-5"/>
        </w:rPr>
        <w:t xml:space="preserve"> </w:t>
      </w:r>
      <w:r>
        <w:t>right</w:t>
      </w:r>
      <w:r>
        <w:rPr>
          <w:spacing w:val="-6"/>
        </w:rPr>
        <w:t xml:space="preserve"> </w:t>
      </w:r>
      <w:r>
        <w:t>not</w:t>
      </w:r>
      <w:r>
        <w:rPr>
          <w:spacing w:val="-6"/>
        </w:rPr>
        <w:t xml:space="preserve"> </w:t>
      </w:r>
      <w:r>
        <w:t>to</w:t>
      </w:r>
      <w:r>
        <w:rPr>
          <w:spacing w:val="-7"/>
        </w:rPr>
        <w:t xml:space="preserve"> </w:t>
      </w:r>
      <w:r>
        <w:t>be</w:t>
      </w:r>
      <w:r>
        <w:rPr>
          <w:spacing w:val="-7"/>
        </w:rPr>
        <w:t xml:space="preserve"> </w:t>
      </w:r>
      <w:r>
        <w:t>tried</w:t>
      </w:r>
      <w:r>
        <w:rPr>
          <w:spacing w:val="-4"/>
        </w:rPr>
        <w:t xml:space="preserve"> </w:t>
      </w:r>
      <w:r>
        <w:t>or</w:t>
      </w:r>
      <w:r>
        <w:rPr>
          <w:spacing w:val="-6"/>
        </w:rPr>
        <w:t xml:space="preserve"> </w:t>
      </w:r>
      <w:r>
        <w:t>punished</w:t>
      </w:r>
      <w:r>
        <w:rPr>
          <w:spacing w:val="-7"/>
        </w:rPr>
        <w:t xml:space="preserve"> </w:t>
      </w:r>
      <w:r>
        <w:t>for</w:t>
      </w:r>
      <w:r>
        <w:rPr>
          <w:spacing w:val="-6"/>
        </w:rPr>
        <w:t xml:space="preserve"> </w:t>
      </w:r>
      <w:r>
        <w:t>conduct</w:t>
      </w:r>
      <w:r>
        <w:rPr>
          <w:spacing w:val="-6"/>
        </w:rPr>
        <w:t xml:space="preserve"> </w:t>
      </w:r>
      <w:r>
        <w:t>that</w:t>
      </w:r>
      <w:r>
        <w:rPr>
          <w:spacing w:val="-4"/>
        </w:rPr>
        <w:t xml:space="preserve"> </w:t>
      </w:r>
      <w:r>
        <w:t>was</w:t>
      </w:r>
      <w:r>
        <w:rPr>
          <w:spacing w:val="-4"/>
        </w:rPr>
        <w:t xml:space="preserve"> </w:t>
      </w:r>
      <w:r>
        <w:t>not</w:t>
      </w:r>
      <w:r>
        <w:rPr>
          <w:spacing w:val="-4"/>
        </w:rPr>
        <w:t xml:space="preserve"> </w:t>
      </w:r>
      <w:r>
        <w:t>a</w:t>
      </w:r>
      <w:r>
        <w:rPr>
          <w:spacing w:val="-7"/>
        </w:rPr>
        <w:t xml:space="preserve"> </w:t>
      </w:r>
      <w:r>
        <w:t>criminal</w:t>
      </w:r>
      <w:r>
        <w:rPr>
          <w:spacing w:val="-4"/>
        </w:rPr>
        <w:t xml:space="preserve"> </w:t>
      </w:r>
      <w:r>
        <w:t>offence</w:t>
      </w:r>
      <w:r>
        <w:rPr>
          <w:spacing w:val="-4"/>
        </w:rPr>
        <w:t xml:space="preserve"> </w:t>
      </w:r>
      <w:r>
        <w:t>when it was engaged in (freedom from retrospective criminal punishment);</w:t>
      </w:r>
    </w:p>
    <w:p w14:paraId="7CB263D7" w14:textId="77777777" w:rsidR="008A4099" w:rsidRDefault="006A6EE2">
      <w:pPr>
        <w:pStyle w:val="ListParagraph"/>
        <w:numPr>
          <w:ilvl w:val="1"/>
          <w:numId w:val="2"/>
        </w:numPr>
        <w:tabs>
          <w:tab w:val="left" w:pos="1676"/>
        </w:tabs>
        <w:spacing w:before="121"/>
        <w:ind w:left="1676" w:hanging="359"/>
        <w:jc w:val="left"/>
      </w:pPr>
      <w:r>
        <w:t>The</w:t>
      </w:r>
      <w:r>
        <w:rPr>
          <w:spacing w:val="-3"/>
        </w:rPr>
        <w:t xml:space="preserve"> </w:t>
      </w:r>
      <w:r>
        <w:t>right</w:t>
      </w:r>
      <w:r>
        <w:rPr>
          <w:spacing w:val="-5"/>
        </w:rPr>
        <w:t xml:space="preserve"> </w:t>
      </w:r>
      <w:r>
        <w:t>not</w:t>
      </w:r>
      <w:r>
        <w:rPr>
          <w:spacing w:val="-4"/>
        </w:rPr>
        <w:t xml:space="preserve"> </w:t>
      </w:r>
      <w:r>
        <w:t>to</w:t>
      </w:r>
      <w:r>
        <w:rPr>
          <w:spacing w:val="-3"/>
        </w:rPr>
        <w:t xml:space="preserve"> </w:t>
      </w:r>
      <w:r>
        <w:t>be</w:t>
      </w:r>
      <w:r>
        <w:rPr>
          <w:spacing w:val="-2"/>
        </w:rPr>
        <w:t xml:space="preserve"> </w:t>
      </w:r>
      <w:r>
        <w:t>imprisoned</w:t>
      </w:r>
      <w:r>
        <w:rPr>
          <w:spacing w:val="-3"/>
        </w:rPr>
        <w:t xml:space="preserve"> </w:t>
      </w:r>
      <w:r>
        <w:t>for</w:t>
      </w:r>
      <w:r>
        <w:rPr>
          <w:spacing w:val="-2"/>
        </w:rPr>
        <w:t xml:space="preserve"> </w:t>
      </w:r>
      <w:r>
        <w:t>a</w:t>
      </w:r>
      <w:r>
        <w:rPr>
          <w:spacing w:val="-5"/>
        </w:rPr>
        <w:t xml:space="preserve"> </w:t>
      </w:r>
      <w:r>
        <w:t>contractual</w:t>
      </w:r>
      <w:r>
        <w:rPr>
          <w:spacing w:val="-1"/>
        </w:rPr>
        <w:t xml:space="preserve"> </w:t>
      </w:r>
      <w:r>
        <w:rPr>
          <w:spacing w:val="-4"/>
        </w:rPr>
        <w:t>debt;</w:t>
      </w:r>
    </w:p>
    <w:p w14:paraId="7CB263D8" w14:textId="77777777" w:rsidR="008A4099" w:rsidRDefault="006A6EE2">
      <w:pPr>
        <w:pStyle w:val="ListParagraph"/>
        <w:numPr>
          <w:ilvl w:val="1"/>
          <w:numId w:val="2"/>
        </w:numPr>
        <w:tabs>
          <w:tab w:val="left" w:pos="1676"/>
        </w:tabs>
        <w:spacing w:before="100"/>
        <w:ind w:left="1676" w:hanging="359"/>
        <w:jc w:val="left"/>
      </w:pPr>
      <w:r>
        <w:t>The</w:t>
      </w:r>
      <w:r>
        <w:rPr>
          <w:spacing w:val="-2"/>
        </w:rPr>
        <w:t xml:space="preserve"> </w:t>
      </w:r>
      <w:r>
        <w:t>right</w:t>
      </w:r>
      <w:r>
        <w:rPr>
          <w:spacing w:val="-3"/>
        </w:rPr>
        <w:t xml:space="preserve"> </w:t>
      </w:r>
      <w:r>
        <w:t>to</w:t>
      </w:r>
      <w:r>
        <w:rPr>
          <w:spacing w:val="-2"/>
        </w:rPr>
        <w:t xml:space="preserve"> </w:t>
      </w:r>
      <w:r>
        <w:t>privacy</w:t>
      </w:r>
      <w:r>
        <w:rPr>
          <w:spacing w:val="-4"/>
        </w:rPr>
        <w:t xml:space="preserve"> </w:t>
      </w:r>
      <w:r>
        <w:t>and</w:t>
      </w:r>
      <w:r>
        <w:rPr>
          <w:spacing w:val="-3"/>
        </w:rPr>
        <w:t xml:space="preserve"> </w:t>
      </w:r>
      <w:r>
        <w:rPr>
          <w:spacing w:val="-2"/>
        </w:rPr>
        <w:t>reputation;</w:t>
      </w:r>
    </w:p>
    <w:p w14:paraId="7CB263D9" w14:textId="77777777" w:rsidR="008A4099" w:rsidRDefault="006A6EE2">
      <w:pPr>
        <w:pStyle w:val="ListParagraph"/>
        <w:numPr>
          <w:ilvl w:val="1"/>
          <w:numId w:val="2"/>
        </w:numPr>
        <w:tabs>
          <w:tab w:val="left" w:pos="1676"/>
        </w:tabs>
        <w:spacing w:before="103"/>
        <w:ind w:left="1676" w:hanging="359"/>
        <w:jc w:val="left"/>
      </w:pPr>
      <w:r>
        <w:t>Freedom</w:t>
      </w:r>
      <w:r>
        <w:rPr>
          <w:spacing w:val="-2"/>
        </w:rPr>
        <w:t xml:space="preserve"> </w:t>
      </w:r>
      <w:r>
        <w:t>of</w:t>
      </w:r>
      <w:r>
        <w:rPr>
          <w:spacing w:val="-4"/>
        </w:rPr>
        <w:t xml:space="preserve"> </w:t>
      </w:r>
      <w:r>
        <w:rPr>
          <w:spacing w:val="-2"/>
        </w:rPr>
        <w:t>movement;</w:t>
      </w:r>
    </w:p>
    <w:p w14:paraId="7CB263DA" w14:textId="77777777" w:rsidR="008A4099" w:rsidRDefault="006A6EE2">
      <w:pPr>
        <w:pStyle w:val="ListParagraph"/>
        <w:numPr>
          <w:ilvl w:val="1"/>
          <w:numId w:val="2"/>
        </w:numPr>
        <w:tabs>
          <w:tab w:val="left" w:pos="1676"/>
        </w:tabs>
        <w:spacing w:before="101"/>
        <w:ind w:left="1676" w:hanging="359"/>
        <w:jc w:val="left"/>
      </w:pPr>
      <w:r>
        <w:t>Freedom</w:t>
      </w:r>
      <w:r>
        <w:rPr>
          <w:spacing w:val="-3"/>
        </w:rPr>
        <w:t xml:space="preserve"> </w:t>
      </w:r>
      <w:r>
        <w:t>of</w:t>
      </w:r>
      <w:r>
        <w:rPr>
          <w:spacing w:val="-4"/>
        </w:rPr>
        <w:t xml:space="preserve"> </w:t>
      </w:r>
      <w:r>
        <w:t>conscience,</w:t>
      </w:r>
      <w:r>
        <w:rPr>
          <w:spacing w:val="-6"/>
        </w:rPr>
        <w:t xml:space="preserve"> </w:t>
      </w:r>
      <w:r>
        <w:t>thought,</w:t>
      </w:r>
      <w:r>
        <w:rPr>
          <w:spacing w:val="-6"/>
        </w:rPr>
        <w:t xml:space="preserve"> </w:t>
      </w:r>
      <w:r>
        <w:t>religion</w:t>
      </w:r>
      <w:r>
        <w:rPr>
          <w:spacing w:val="-4"/>
        </w:rPr>
        <w:t xml:space="preserve"> </w:t>
      </w:r>
      <w:r>
        <w:t>and</w:t>
      </w:r>
      <w:r>
        <w:rPr>
          <w:spacing w:val="-3"/>
        </w:rPr>
        <w:t xml:space="preserve"> </w:t>
      </w:r>
      <w:r>
        <w:rPr>
          <w:spacing w:val="-2"/>
        </w:rPr>
        <w:t>belief;</w:t>
      </w:r>
    </w:p>
    <w:p w14:paraId="7CB263DB" w14:textId="77777777" w:rsidR="008A4099" w:rsidRDefault="006A6EE2">
      <w:pPr>
        <w:pStyle w:val="ListParagraph"/>
        <w:numPr>
          <w:ilvl w:val="1"/>
          <w:numId w:val="2"/>
        </w:numPr>
        <w:tabs>
          <w:tab w:val="left" w:pos="1676"/>
        </w:tabs>
        <w:spacing w:before="103"/>
        <w:ind w:left="1676" w:hanging="359"/>
        <w:jc w:val="left"/>
      </w:pPr>
      <w:r>
        <w:t>Freedom</w:t>
      </w:r>
      <w:r>
        <w:rPr>
          <w:spacing w:val="-2"/>
        </w:rPr>
        <w:t xml:space="preserve"> </w:t>
      </w:r>
      <w:r>
        <w:t>of</w:t>
      </w:r>
      <w:r>
        <w:rPr>
          <w:spacing w:val="-2"/>
        </w:rPr>
        <w:t xml:space="preserve"> expression;</w:t>
      </w:r>
    </w:p>
    <w:p w14:paraId="7CB263DC" w14:textId="77777777" w:rsidR="008A4099" w:rsidRDefault="008A4099">
      <w:pPr>
        <w:sectPr w:rsidR="008A4099" w:rsidSect="00D43B2D">
          <w:pgSz w:w="11910" w:h="16840"/>
          <w:pgMar w:top="980" w:right="760" w:bottom="940" w:left="1280" w:header="718" w:footer="753" w:gutter="0"/>
          <w:cols w:space="720"/>
        </w:sectPr>
      </w:pPr>
    </w:p>
    <w:p w14:paraId="7CB263DD" w14:textId="77777777" w:rsidR="008A4099" w:rsidRDefault="008A4099">
      <w:pPr>
        <w:pStyle w:val="BodyText"/>
        <w:spacing w:before="196"/>
      </w:pPr>
    </w:p>
    <w:p w14:paraId="7CB263DE" w14:textId="77777777" w:rsidR="008A4099" w:rsidRDefault="006A6EE2">
      <w:pPr>
        <w:pStyle w:val="ListParagraph"/>
        <w:numPr>
          <w:ilvl w:val="1"/>
          <w:numId w:val="2"/>
        </w:numPr>
        <w:tabs>
          <w:tab w:val="left" w:pos="1677"/>
        </w:tabs>
        <w:spacing w:before="1" w:line="242" w:lineRule="auto"/>
        <w:ind w:left="1677" w:right="681" w:hanging="360"/>
        <w:jc w:val="left"/>
      </w:pPr>
      <w:r>
        <w:t>Freedom of association and peaceful assembly and the right to form and join trade</w:t>
      </w:r>
      <w:r>
        <w:rPr>
          <w:spacing w:val="40"/>
        </w:rPr>
        <w:t xml:space="preserve"> </w:t>
      </w:r>
      <w:r>
        <w:rPr>
          <w:spacing w:val="-2"/>
        </w:rPr>
        <w:t>unions;</w:t>
      </w:r>
    </w:p>
    <w:p w14:paraId="7CB263DF" w14:textId="77777777" w:rsidR="008A4099" w:rsidRDefault="006A6EE2">
      <w:pPr>
        <w:pStyle w:val="ListParagraph"/>
        <w:numPr>
          <w:ilvl w:val="1"/>
          <w:numId w:val="2"/>
        </w:numPr>
        <w:tabs>
          <w:tab w:val="left" w:pos="1676"/>
        </w:tabs>
        <w:spacing w:before="116"/>
        <w:ind w:left="1676" w:hanging="359"/>
        <w:jc w:val="left"/>
      </w:pPr>
      <w:r>
        <w:t>The</w:t>
      </w:r>
      <w:r>
        <w:rPr>
          <w:spacing w:val="-3"/>
        </w:rPr>
        <w:t xml:space="preserve"> </w:t>
      </w:r>
      <w:r>
        <w:t>right</w:t>
      </w:r>
      <w:r>
        <w:rPr>
          <w:spacing w:val="-3"/>
        </w:rPr>
        <w:t xml:space="preserve"> </w:t>
      </w:r>
      <w:r>
        <w:t>to</w:t>
      </w:r>
      <w:r>
        <w:rPr>
          <w:spacing w:val="-3"/>
        </w:rPr>
        <w:t xml:space="preserve"> </w:t>
      </w:r>
      <w:r>
        <w:t>vote</w:t>
      </w:r>
      <w:r>
        <w:rPr>
          <w:spacing w:val="-4"/>
        </w:rPr>
        <w:t xml:space="preserve"> </w:t>
      </w:r>
      <w:r>
        <w:t>and</w:t>
      </w:r>
      <w:r>
        <w:rPr>
          <w:spacing w:val="-3"/>
        </w:rPr>
        <w:t xml:space="preserve"> </w:t>
      </w:r>
      <w:r>
        <w:t>to</w:t>
      </w:r>
      <w:r>
        <w:rPr>
          <w:spacing w:val="-3"/>
        </w:rPr>
        <w:t xml:space="preserve"> </w:t>
      </w:r>
      <w:r>
        <w:t>participate</w:t>
      </w:r>
      <w:r>
        <w:rPr>
          <w:spacing w:val="-3"/>
        </w:rPr>
        <w:t xml:space="preserve"> </w:t>
      </w:r>
      <w:r>
        <w:t>in</w:t>
      </w:r>
      <w:r>
        <w:rPr>
          <w:spacing w:val="-3"/>
        </w:rPr>
        <w:t xml:space="preserve"> </w:t>
      </w:r>
      <w:r>
        <w:t>public</w:t>
      </w:r>
      <w:r>
        <w:rPr>
          <w:spacing w:val="-3"/>
        </w:rPr>
        <w:t xml:space="preserve"> </w:t>
      </w:r>
      <w:r>
        <w:rPr>
          <w:spacing w:val="-2"/>
        </w:rPr>
        <w:t>life;</w:t>
      </w:r>
    </w:p>
    <w:p w14:paraId="7CB263E0" w14:textId="77777777" w:rsidR="008A4099" w:rsidRDefault="006A6EE2">
      <w:pPr>
        <w:pStyle w:val="ListParagraph"/>
        <w:numPr>
          <w:ilvl w:val="1"/>
          <w:numId w:val="2"/>
        </w:numPr>
        <w:tabs>
          <w:tab w:val="left" w:pos="1676"/>
        </w:tabs>
        <w:spacing w:before="103"/>
        <w:ind w:left="1676" w:hanging="359"/>
        <w:jc w:val="left"/>
      </w:pPr>
      <w:r>
        <w:t>The</w:t>
      </w:r>
      <w:r>
        <w:rPr>
          <w:spacing w:val="-2"/>
        </w:rPr>
        <w:t xml:space="preserve"> </w:t>
      </w:r>
      <w:r>
        <w:t>right</w:t>
      </w:r>
      <w:r>
        <w:rPr>
          <w:spacing w:val="-3"/>
        </w:rPr>
        <w:t xml:space="preserve"> </w:t>
      </w:r>
      <w:r>
        <w:t>to</w:t>
      </w:r>
      <w:r>
        <w:rPr>
          <w:spacing w:val="-4"/>
        </w:rPr>
        <w:t xml:space="preserve"> </w:t>
      </w:r>
      <w:r>
        <w:t>self-</w:t>
      </w:r>
      <w:r>
        <w:rPr>
          <w:spacing w:val="-2"/>
        </w:rPr>
        <w:t>determination;</w:t>
      </w:r>
    </w:p>
    <w:p w14:paraId="7CB263E1" w14:textId="77777777" w:rsidR="008A4099" w:rsidRDefault="006A6EE2">
      <w:pPr>
        <w:pStyle w:val="ListParagraph"/>
        <w:numPr>
          <w:ilvl w:val="1"/>
          <w:numId w:val="2"/>
        </w:numPr>
        <w:tabs>
          <w:tab w:val="left" w:pos="1676"/>
        </w:tabs>
        <w:spacing w:before="101"/>
        <w:ind w:left="1676" w:hanging="359"/>
        <w:jc w:val="left"/>
      </w:pPr>
      <w:r>
        <w:t>The</w:t>
      </w:r>
      <w:r>
        <w:rPr>
          <w:spacing w:val="-2"/>
        </w:rPr>
        <w:t xml:space="preserve"> </w:t>
      </w:r>
      <w:r>
        <w:t>right</w:t>
      </w:r>
      <w:r>
        <w:rPr>
          <w:spacing w:val="-4"/>
        </w:rPr>
        <w:t xml:space="preserve"> </w:t>
      </w:r>
      <w:r>
        <w:t>to</w:t>
      </w:r>
      <w:r>
        <w:rPr>
          <w:spacing w:val="-4"/>
        </w:rPr>
        <w:t xml:space="preserve"> </w:t>
      </w:r>
      <w:r>
        <w:t>recognition</w:t>
      </w:r>
      <w:r>
        <w:rPr>
          <w:spacing w:val="-2"/>
        </w:rPr>
        <w:t xml:space="preserve"> </w:t>
      </w:r>
      <w:r>
        <w:t>as</w:t>
      </w:r>
      <w:r>
        <w:rPr>
          <w:spacing w:val="-5"/>
        </w:rPr>
        <w:t xml:space="preserve"> </w:t>
      </w:r>
      <w:r>
        <w:t>a</w:t>
      </w:r>
      <w:r>
        <w:rPr>
          <w:spacing w:val="-2"/>
        </w:rPr>
        <w:t xml:space="preserve"> </w:t>
      </w:r>
      <w:r>
        <w:t>person</w:t>
      </w:r>
      <w:r>
        <w:rPr>
          <w:spacing w:val="-1"/>
        </w:rPr>
        <w:t xml:space="preserve"> </w:t>
      </w:r>
      <w:r>
        <w:t>before</w:t>
      </w:r>
      <w:r>
        <w:rPr>
          <w:spacing w:val="-4"/>
        </w:rPr>
        <w:t xml:space="preserve"> </w:t>
      </w:r>
      <w:r>
        <w:t>the</w:t>
      </w:r>
      <w:r>
        <w:rPr>
          <w:spacing w:val="-3"/>
        </w:rPr>
        <w:t xml:space="preserve"> </w:t>
      </w:r>
      <w:r>
        <w:rPr>
          <w:spacing w:val="-4"/>
        </w:rPr>
        <w:t>law;</w:t>
      </w:r>
    </w:p>
    <w:p w14:paraId="7CB263E2" w14:textId="77777777" w:rsidR="008A4099" w:rsidRDefault="006A6EE2">
      <w:pPr>
        <w:pStyle w:val="ListParagraph"/>
        <w:numPr>
          <w:ilvl w:val="1"/>
          <w:numId w:val="2"/>
        </w:numPr>
        <w:tabs>
          <w:tab w:val="left" w:pos="1676"/>
        </w:tabs>
        <w:spacing w:before="100"/>
        <w:ind w:left="1676" w:hanging="359"/>
        <w:jc w:val="left"/>
      </w:pPr>
      <w:r>
        <w:t>The</w:t>
      </w:r>
      <w:r>
        <w:rPr>
          <w:spacing w:val="-2"/>
        </w:rPr>
        <w:t xml:space="preserve"> </w:t>
      </w:r>
      <w:r>
        <w:t>right</w:t>
      </w:r>
      <w:r>
        <w:rPr>
          <w:spacing w:val="-4"/>
        </w:rPr>
        <w:t xml:space="preserve"> </w:t>
      </w:r>
      <w:r>
        <w:t>to</w:t>
      </w:r>
      <w:r>
        <w:rPr>
          <w:spacing w:val="-5"/>
        </w:rPr>
        <w:t xml:space="preserve"> </w:t>
      </w:r>
      <w:r>
        <w:t>equality</w:t>
      </w:r>
      <w:r>
        <w:rPr>
          <w:spacing w:val="-2"/>
        </w:rPr>
        <w:t xml:space="preserve"> </w:t>
      </w:r>
      <w:r>
        <w:t>before</w:t>
      </w:r>
      <w:r>
        <w:rPr>
          <w:spacing w:val="-3"/>
        </w:rPr>
        <w:t xml:space="preserve"> </w:t>
      </w:r>
      <w:r>
        <w:t>the</w:t>
      </w:r>
      <w:r>
        <w:rPr>
          <w:spacing w:val="-4"/>
        </w:rPr>
        <w:t xml:space="preserve"> </w:t>
      </w:r>
      <w:r>
        <w:t>law</w:t>
      </w:r>
      <w:r>
        <w:rPr>
          <w:spacing w:val="-2"/>
        </w:rPr>
        <w:t xml:space="preserve"> </w:t>
      </w:r>
      <w:r>
        <w:t>and</w:t>
      </w:r>
      <w:r>
        <w:rPr>
          <w:spacing w:val="-2"/>
        </w:rPr>
        <w:t xml:space="preserve"> </w:t>
      </w:r>
      <w:r>
        <w:t>to</w:t>
      </w:r>
      <w:r>
        <w:rPr>
          <w:spacing w:val="-4"/>
        </w:rPr>
        <w:t xml:space="preserve"> </w:t>
      </w:r>
      <w:r>
        <w:t>equal</w:t>
      </w:r>
      <w:r>
        <w:rPr>
          <w:spacing w:val="-1"/>
        </w:rPr>
        <w:t xml:space="preserve"> </w:t>
      </w:r>
      <w:r>
        <w:t>protection</w:t>
      </w:r>
      <w:r>
        <w:rPr>
          <w:spacing w:val="-5"/>
        </w:rPr>
        <w:t xml:space="preserve"> </w:t>
      </w:r>
      <w:r>
        <w:t>of</w:t>
      </w:r>
      <w:r>
        <w:rPr>
          <w:spacing w:val="-4"/>
        </w:rPr>
        <w:t xml:space="preserve"> </w:t>
      </w:r>
      <w:r>
        <w:t>the</w:t>
      </w:r>
      <w:r>
        <w:rPr>
          <w:spacing w:val="-3"/>
        </w:rPr>
        <w:t xml:space="preserve"> </w:t>
      </w:r>
      <w:r>
        <w:rPr>
          <w:spacing w:val="-4"/>
        </w:rPr>
        <w:t>law;</w:t>
      </w:r>
    </w:p>
    <w:p w14:paraId="7CB263E3" w14:textId="77777777" w:rsidR="008A4099" w:rsidRDefault="006A6EE2">
      <w:pPr>
        <w:pStyle w:val="ListParagraph"/>
        <w:numPr>
          <w:ilvl w:val="1"/>
          <w:numId w:val="2"/>
        </w:numPr>
        <w:tabs>
          <w:tab w:val="left" w:pos="1676"/>
        </w:tabs>
        <w:spacing w:before="103"/>
        <w:ind w:left="1676" w:hanging="359"/>
        <w:jc w:val="left"/>
      </w:pPr>
      <w:r>
        <w:t>Freedom</w:t>
      </w:r>
      <w:r>
        <w:rPr>
          <w:spacing w:val="-5"/>
        </w:rPr>
        <w:t xml:space="preserve"> </w:t>
      </w:r>
      <w:r>
        <w:t>from</w:t>
      </w:r>
      <w:r>
        <w:rPr>
          <w:spacing w:val="-1"/>
        </w:rPr>
        <w:t xml:space="preserve"> </w:t>
      </w:r>
      <w:r>
        <w:rPr>
          <w:spacing w:val="-2"/>
        </w:rPr>
        <w:t>discrimination;</w:t>
      </w:r>
    </w:p>
    <w:p w14:paraId="7CB263E4" w14:textId="77777777" w:rsidR="008A4099" w:rsidRDefault="006A6EE2">
      <w:pPr>
        <w:pStyle w:val="ListParagraph"/>
        <w:numPr>
          <w:ilvl w:val="1"/>
          <w:numId w:val="2"/>
        </w:numPr>
        <w:tabs>
          <w:tab w:val="left" w:pos="1676"/>
        </w:tabs>
        <w:spacing w:before="101"/>
        <w:ind w:left="1676" w:hanging="359"/>
        <w:jc w:val="left"/>
      </w:pPr>
      <w:r>
        <w:t>The</w:t>
      </w:r>
      <w:r>
        <w:rPr>
          <w:spacing w:val="-6"/>
        </w:rPr>
        <w:t xml:space="preserve"> </w:t>
      </w:r>
      <w:r>
        <w:t>right</w:t>
      </w:r>
      <w:r>
        <w:rPr>
          <w:spacing w:val="-4"/>
        </w:rPr>
        <w:t xml:space="preserve"> </w:t>
      </w:r>
      <w:r>
        <w:t>of</w:t>
      </w:r>
      <w:r>
        <w:rPr>
          <w:spacing w:val="-5"/>
        </w:rPr>
        <w:t xml:space="preserve"> </w:t>
      </w:r>
      <w:r>
        <w:t>ethnic,</w:t>
      </w:r>
      <w:r>
        <w:rPr>
          <w:spacing w:val="-5"/>
        </w:rPr>
        <w:t xml:space="preserve"> </w:t>
      </w:r>
      <w:r>
        <w:t>religious</w:t>
      </w:r>
      <w:r>
        <w:rPr>
          <w:spacing w:val="-3"/>
        </w:rPr>
        <w:t xml:space="preserve"> </w:t>
      </w:r>
      <w:r>
        <w:t>and</w:t>
      </w:r>
      <w:r>
        <w:rPr>
          <w:spacing w:val="-6"/>
        </w:rPr>
        <w:t xml:space="preserve"> </w:t>
      </w:r>
      <w:r>
        <w:t>linguistic</w:t>
      </w:r>
      <w:r>
        <w:rPr>
          <w:spacing w:val="-5"/>
        </w:rPr>
        <w:t xml:space="preserve"> </w:t>
      </w:r>
      <w:r>
        <w:t>minorities</w:t>
      </w:r>
      <w:r>
        <w:rPr>
          <w:spacing w:val="-5"/>
        </w:rPr>
        <w:t xml:space="preserve"> </w:t>
      </w:r>
      <w:r>
        <w:t>to</w:t>
      </w:r>
      <w:r>
        <w:rPr>
          <w:spacing w:val="-3"/>
        </w:rPr>
        <w:t xml:space="preserve"> </w:t>
      </w:r>
      <w:r>
        <w:t>enjoy</w:t>
      </w:r>
      <w:r>
        <w:rPr>
          <w:spacing w:val="-3"/>
        </w:rPr>
        <w:t xml:space="preserve"> </w:t>
      </w:r>
      <w:r>
        <w:t>their</w:t>
      </w:r>
      <w:r>
        <w:rPr>
          <w:spacing w:val="-3"/>
        </w:rPr>
        <w:t xml:space="preserve"> </w:t>
      </w:r>
      <w:r>
        <w:t>own</w:t>
      </w:r>
      <w:r>
        <w:rPr>
          <w:spacing w:val="-3"/>
        </w:rPr>
        <w:t xml:space="preserve"> </w:t>
      </w:r>
      <w:r>
        <w:rPr>
          <w:spacing w:val="-2"/>
        </w:rPr>
        <w:t>culture;</w:t>
      </w:r>
    </w:p>
    <w:p w14:paraId="7CB263E5" w14:textId="77777777" w:rsidR="008A4099" w:rsidRDefault="006A6EE2">
      <w:pPr>
        <w:pStyle w:val="ListParagraph"/>
        <w:numPr>
          <w:ilvl w:val="1"/>
          <w:numId w:val="2"/>
        </w:numPr>
        <w:tabs>
          <w:tab w:val="left" w:pos="1677"/>
        </w:tabs>
        <w:spacing w:before="103"/>
        <w:ind w:left="1677" w:right="682" w:hanging="360"/>
        <w:jc w:val="left"/>
      </w:pPr>
      <w:r>
        <w:t>The</w:t>
      </w:r>
      <w:r>
        <w:rPr>
          <w:spacing w:val="30"/>
        </w:rPr>
        <w:t xml:space="preserve"> </w:t>
      </w:r>
      <w:r>
        <w:t>right</w:t>
      </w:r>
      <w:r>
        <w:rPr>
          <w:spacing w:val="29"/>
        </w:rPr>
        <w:t xml:space="preserve"> </w:t>
      </w:r>
      <w:r>
        <w:t>of</w:t>
      </w:r>
      <w:r>
        <w:rPr>
          <w:spacing w:val="31"/>
        </w:rPr>
        <w:t xml:space="preserve"> </w:t>
      </w:r>
      <w:r>
        <w:t>Indigenous</w:t>
      </w:r>
      <w:r>
        <w:rPr>
          <w:spacing w:val="30"/>
        </w:rPr>
        <w:t xml:space="preserve"> </w:t>
      </w:r>
      <w:r>
        <w:t>Tasmanians</w:t>
      </w:r>
      <w:r>
        <w:rPr>
          <w:spacing w:val="28"/>
        </w:rPr>
        <w:t xml:space="preserve"> </w:t>
      </w:r>
      <w:r>
        <w:t>to</w:t>
      </w:r>
      <w:r>
        <w:rPr>
          <w:spacing w:val="28"/>
        </w:rPr>
        <w:t xml:space="preserve"> </w:t>
      </w:r>
      <w:r>
        <w:t>maintain</w:t>
      </w:r>
      <w:r>
        <w:rPr>
          <w:spacing w:val="28"/>
        </w:rPr>
        <w:t xml:space="preserve"> </w:t>
      </w:r>
      <w:r>
        <w:t>their</w:t>
      </w:r>
      <w:r>
        <w:rPr>
          <w:spacing w:val="31"/>
        </w:rPr>
        <w:t xml:space="preserve"> </w:t>
      </w:r>
      <w:r>
        <w:t>distinctive</w:t>
      </w:r>
      <w:r>
        <w:rPr>
          <w:spacing w:val="30"/>
        </w:rPr>
        <w:t xml:space="preserve"> </w:t>
      </w:r>
      <w:r>
        <w:t>identity,</w:t>
      </w:r>
      <w:r>
        <w:rPr>
          <w:spacing w:val="30"/>
        </w:rPr>
        <w:t xml:space="preserve"> </w:t>
      </w:r>
      <w:r>
        <w:t>culture, kinship ties and spiritual, material and economic relationship with the land;</w:t>
      </w:r>
    </w:p>
    <w:p w14:paraId="7CB263E6" w14:textId="77777777" w:rsidR="008A4099" w:rsidRDefault="006A6EE2">
      <w:pPr>
        <w:pStyle w:val="ListParagraph"/>
        <w:numPr>
          <w:ilvl w:val="1"/>
          <w:numId w:val="2"/>
        </w:numPr>
        <w:tabs>
          <w:tab w:val="left" w:pos="1677"/>
        </w:tabs>
        <w:spacing w:before="121" w:line="242" w:lineRule="auto"/>
        <w:ind w:left="1677" w:right="685" w:hanging="360"/>
        <w:jc w:val="left"/>
      </w:pPr>
      <w:r>
        <w:t>The</w:t>
      </w:r>
      <w:r>
        <w:rPr>
          <w:spacing w:val="26"/>
        </w:rPr>
        <w:t xml:space="preserve"> </w:t>
      </w:r>
      <w:r>
        <w:t>right</w:t>
      </w:r>
      <w:r>
        <w:rPr>
          <w:spacing w:val="27"/>
        </w:rPr>
        <w:t xml:space="preserve"> </w:t>
      </w:r>
      <w:r>
        <w:t>not</w:t>
      </w:r>
      <w:r>
        <w:rPr>
          <w:spacing w:val="27"/>
        </w:rPr>
        <w:t xml:space="preserve"> </w:t>
      </w:r>
      <w:r>
        <w:t>to</w:t>
      </w:r>
      <w:r>
        <w:rPr>
          <w:spacing w:val="26"/>
        </w:rPr>
        <w:t xml:space="preserve"> </w:t>
      </w:r>
      <w:r>
        <w:t>be</w:t>
      </w:r>
      <w:r>
        <w:rPr>
          <w:spacing w:val="27"/>
        </w:rPr>
        <w:t xml:space="preserve"> </w:t>
      </w:r>
      <w:r>
        <w:t>subject</w:t>
      </w:r>
      <w:r>
        <w:rPr>
          <w:spacing w:val="27"/>
        </w:rPr>
        <w:t xml:space="preserve"> </w:t>
      </w:r>
      <w:r>
        <w:t>to</w:t>
      </w:r>
      <w:r>
        <w:rPr>
          <w:spacing w:val="26"/>
        </w:rPr>
        <w:t xml:space="preserve"> </w:t>
      </w:r>
      <w:r>
        <w:t>torture</w:t>
      </w:r>
      <w:r>
        <w:rPr>
          <w:spacing w:val="27"/>
        </w:rPr>
        <w:t xml:space="preserve"> </w:t>
      </w:r>
      <w:r>
        <w:t>or</w:t>
      </w:r>
      <w:r>
        <w:rPr>
          <w:spacing w:val="27"/>
        </w:rPr>
        <w:t xml:space="preserve"> </w:t>
      </w:r>
      <w:r>
        <w:t>cruel,</w:t>
      </w:r>
      <w:r>
        <w:rPr>
          <w:spacing w:val="26"/>
        </w:rPr>
        <w:t xml:space="preserve"> </w:t>
      </w:r>
      <w:r>
        <w:t>inhuman</w:t>
      </w:r>
      <w:r>
        <w:rPr>
          <w:spacing w:val="27"/>
        </w:rPr>
        <w:t xml:space="preserve"> </w:t>
      </w:r>
      <w:r>
        <w:t>or</w:t>
      </w:r>
      <w:r>
        <w:rPr>
          <w:spacing w:val="27"/>
        </w:rPr>
        <w:t xml:space="preserve"> </w:t>
      </w:r>
      <w:r>
        <w:t>degrading</w:t>
      </w:r>
      <w:r>
        <w:rPr>
          <w:spacing w:val="26"/>
        </w:rPr>
        <w:t xml:space="preserve"> </w:t>
      </w:r>
      <w:r>
        <w:t>treatment</w:t>
      </w:r>
      <w:r>
        <w:rPr>
          <w:spacing w:val="27"/>
        </w:rPr>
        <w:t xml:space="preserve"> </w:t>
      </w:r>
      <w:r>
        <w:t xml:space="preserve">or </w:t>
      </w:r>
      <w:r>
        <w:rPr>
          <w:spacing w:val="-2"/>
        </w:rPr>
        <w:t>punishment;</w:t>
      </w:r>
    </w:p>
    <w:p w14:paraId="7CB263E7" w14:textId="77777777" w:rsidR="008A4099" w:rsidRDefault="006A6EE2">
      <w:pPr>
        <w:pStyle w:val="ListParagraph"/>
        <w:numPr>
          <w:ilvl w:val="1"/>
          <w:numId w:val="2"/>
        </w:numPr>
        <w:tabs>
          <w:tab w:val="left" w:pos="1676"/>
        </w:tabs>
        <w:spacing w:before="97"/>
        <w:ind w:left="1676" w:hanging="359"/>
        <w:jc w:val="left"/>
      </w:pPr>
      <w:r>
        <w:t>Freedom</w:t>
      </w:r>
      <w:r>
        <w:rPr>
          <w:spacing w:val="-4"/>
        </w:rPr>
        <w:t xml:space="preserve"> </w:t>
      </w:r>
      <w:r>
        <w:t>from</w:t>
      </w:r>
      <w:r>
        <w:rPr>
          <w:spacing w:val="-2"/>
        </w:rPr>
        <w:t xml:space="preserve"> </w:t>
      </w:r>
      <w:r>
        <w:t>slavery</w:t>
      </w:r>
      <w:r>
        <w:rPr>
          <w:spacing w:val="-5"/>
        </w:rPr>
        <w:t xml:space="preserve"> </w:t>
      </w:r>
      <w:r>
        <w:t>and</w:t>
      </w:r>
      <w:r>
        <w:rPr>
          <w:spacing w:val="-4"/>
        </w:rPr>
        <w:t xml:space="preserve"> </w:t>
      </w:r>
      <w:r>
        <w:t>forced</w:t>
      </w:r>
      <w:r>
        <w:rPr>
          <w:spacing w:val="-4"/>
        </w:rPr>
        <w:t xml:space="preserve"> work;</w:t>
      </w:r>
    </w:p>
    <w:p w14:paraId="7CB263E8" w14:textId="77777777" w:rsidR="008A4099" w:rsidRDefault="006A6EE2">
      <w:pPr>
        <w:pStyle w:val="ListParagraph"/>
        <w:numPr>
          <w:ilvl w:val="1"/>
          <w:numId w:val="2"/>
        </w:numPr>
        <w:tabs>
          <w:tab w:val="left" w:pos="1676"/>
        </w:tabs>
        <w:spacing w:before="82"/>
        <w:ind w:left="1676" w:hanging="359"/>
        <w:jc w:val="left"/>
      </w:pPr>
      <w:r>
        <w:t>The</w:t>
      </w:r>
      <w:r>
        <w:rPr>
          <w:spacing w:val="-3"/>
        </w:rPr>
        <w:t xml:space="preserve"> </w:t>
      </w:r>
      <w:r>
        <w:t>right</w:t>
      </w:r>
      <w:r>
        <w:rPr>
          <w:spacing w:val="-4"/>
        </w:rPr>
        <w:t xml:space="preserve"> </w:t>
      </w:r>
      <w:r>
        <w:t>to</w:t>
      </w:r>
      <w:r>
        <w:rPr>
          <w:spacing w:val="-3"/>
        </w:rPr>
        <w:t xml:space="preserve"> </w:t>
      </w:r>
      <w:r>
        <w:t>work</w:t>
      </w:r>
      <w:r>
        <w:rPr>
          <w:spacing w:val="-2"/>
        </w:rPr>
        <w:t xml:space="preserve"> </w:t>
      </w:r>
      <w:r>
        <w:t>and</w:t>
      </w:r>
      <w:r>
        <w:rPr>
          <w:spacing w:val="-2"/>
        </w:rPr>
        <w:t xml:space="preserve"> </w:t>
      </w:r>
      <w:r>
        <w:t>just</w:t>
      </w:r>
      <w:r>
        <w:rPr>
          <w:spacing w:val="-4"/>
        </w:rPr>
        <w:t xml:space="preserve"> </w:t>
      </w:r>
      <w:r>
        <w:t>conditions</w:t>
      </w:r>
      <w:r>
        <w:rPr>
          <w:spacing w:val="-2"/>
        </w:rPr>
        <w:t xml:space="preserve"> </w:t>
      </w:r>
      <w:r>
        <w:t>of</w:t>
      </w:r>
      <w:r>
        <w:rPr>
          <w:spacing w:val="-3"/>
        </w:rPr>
        <w:t xml:space="preserve"> </w:t>
      </w:r>
      <w:r>
        <w:rPr>
          <w:spacing w:val="-4"/>
        </w:rPr>
        <w:t>work;</w:t>
      </w:r>
    </w:p>
    <w:p w14:paraId="7CB263E9" w14:textId="77777777" w:rsidR="008A4099" w:rsidRDefault="006A6EE2">
      <w:pPr>
        <w:pStyle w:val="ListParagraph"/>
        <w:numPr>
          <w:ilvl w:val="1"/>
          <w:numId w:val="2"/>
        </w:numPr>
        <w:tabs>
          <w:tab w:val="left" w:pos="1676"/>
        </w:tabs>
        <w:spacing w:before="81"/>
        <w:ind w:left="1676" w:hanging="359"/>
        <w:jc w:val="left"/>
      </w:pPr>
      <w:r>
        <w:t>The</w:t>
      </w:r>
      <w:r>
        <w:rPr>
          <w:spacing w:val="-5"/>
        </w:rPr>
        <w:t xml:space="preserve"> </w:t>
      </w:r>
      <w:r>
        <w:t>right</w:t>
      </w:r>
      <w:r>
        <w:rPr>
          <w:spacing w:val="-4"/>
        </w:rPr>
        <w:t xml:space="preserve"> </w:t>
      </w:r>
      <w:r>
        <w:t>of</w:t>
      </w:r>
      <w:r>
        <w:rPr>
          <w:spacing w:val="-5"/>
        </w:rPr>
        <w:t xml:space="preserve"> </w:t>
      </w:r>
      <w:r>
        <w:t>children</w:t>
      </w:r>
      <w:r>
        <w:rPr>
          <w:spacing w:val="-2"/>
        </w:rPr>
        <w:t xml:space="preserve"> </w:t>
      </w:r>
      <w:r>
        <w:t>not</w:t>
      </w:r>
      <w:r>
        <w:rPr>
          <w:spacing w:val="-2"/>
        </w:rPr>
        <w:t xml:space="preserve"> </w:t>
      </w:r>
      <w:r>
        <w:t>to</w:t>
      </w:r>
      <w:r>
        <w:rPr>
          <w:spacing w:val="-5"/>
        </w:rPr>
        <w:t xml:space="preserve"> </w:t>
      </w:r>
      <w:r>
        <w:t>be</w:t>
      </w:r>
      <w:r>
        <w:rPr>
          <w:spacing w:val="-2"/>
        </w:rPr>
        <w:t xml:space="preserve"> </w:t>
      </w:r>
      <w:r>
        <w:t>exploited</w:t>
      </w:r>
      <w:r>
        <w:rPr>
          <w:spacing w:val="-5"/>
        </w:rPr>
        <w:t xml:space="preserve"> </w:t>
      </w:r>
      <w:r>
        <w:t>economically</w:t>
      </w:r>
      <w:r>
        <w:rPr>
          <w:spacing w:val="-5"/>
        </w:rPr>
        <w:t xml:space="preserve"> </w:t>
      </w:r>
      <w:r>
        <w:t>or</w:t>
      </w:r>
      <w:r>
        <w:rPr>
          <w:spacing w:val="-2"/>
        </w:rPr>
        <w:t xml:space="preserve"> socially;</w:t>
      </w:r>
    </w:p>
    <w:p w14:paraId="7CB263EA" w14:textId="77777777" w:rsidR="008A4099" w:rsidRDefault="006A6EE2">
      <w:pPr>
        <w:pStyle w:val="ListParagraph"/>
        <w:numPr>
          <w:ilvl w:val="1"/>
          <w:numId w:val="2"/>
        </w:numPr>
        <w:tabs>
          <w:tab w:val="left" w:pos="1676"/>
        </w:tabs>
        <w:spacing w:before="81"/>
        <w:ind w:left="1676" w:hanging="359"/>
        <w:jc w:val="left"/>
      </w:pPr>
      <w:r>
        <w:t>The</w:t>
      </w:r>
      <w:r>
        <w:rPr>
          <w:spacing w:val="-3"/>
        </w:rPr>
        <w:t xml:space="preserve"> </w:t>
      </w:r>
      <w:r>
        <w:t>right</w:t>
      </w:r>
      <w:r>
        <w:rPr>
          <w:spacing w:val="-4"/>
        </w:rPr>
        <w:t xml:space="preserve"> </w:t>
      </w:r>
      <w:r>
        <w:t>to</w:t>
      </w:r>
      <w:r>
        <w:rPr>
          <w:spacing w:val="-4"/>
        </w:rPr>
        <w:t xml:space="preserve"> </w:t>
      </w:r>
      <w:r>
        <w:t>adequate</w:t>
      </w:r>
      <w:r>
        <w:rPr>
          <w:spacing w:val="-3"/>
        </w:rPr>
        <w:t xml:space="preserve"> </w:t>
      </w:r>
      <w:r>
        <w:t>food,</w:t>
      </w:r>
      <w:r>
        <w:rPr>
          <w:spacing w:val="-4"/>
        </w:rPr>
        <w:t xml:space="preserve"> </w:t>
      </w:r>
      <w:r>
        <w:t>clothing</w:t>
      </w:r>
      <w:r>
        <w:rPr>
          <w:spacing w:val="-3"/>
        </w:rPr>
        <w:t xml:space="preserve"> </w:t>
      </w:r>
      <w:r>
        <w:t>and</w:t>
      </w:r>
      <w:r>
        <w:rPr>
          <w:spacing w:val="-3"/>
        </w:rPr>
        <w:t xml:space="preserve"> </w:t>
      </w:r>
      <w:r>
        <w:rPr>
          <w:spacing w:val="-2"/>
        </w:rPr>
        <w:t>housing;</w:t>
      </w:r>
    </w:p>
    <w:p w14:paraId="7CB263EB" w14:textId="77777777" w:rsidR="008A4099" w:rsidRDefault="006A6EE2">
      <w:pPr>
        <w:pStyle w:val="ListParagraph"/>
        <w:numPr>
          <w:ilvl w:val="1"/>
          <w:numId w:val="2"/>
        </w:numPr>
        <w:tabs>
          <w:tab w:val="left" w:pos="1676"/>
        </w:tabs>
        <w:spacing w:before="82"/>
        <w:ind w:left="1676" w:hanging="359"/>
        <w:jc w:val="left"/>
      </w:pPr>
      <w:r>
        <w:t>The</w:t>
      </w:r>
      <w:r>
        <w:rPr>
          <w:spacing w:val="-5"/>
        </w:rPr>
        <w:t xml:space="preserve"> </w:t>
      </w:r>
      <w:r>
        <w:t>right</w:t>
      </w:r>
      <w:r>
        <w:rPr>
          <w:spacing w:val="-5"/>
        </w:rPr>
        <w:t xml:space="preserve"> </w:t>
      </w:r>
      <w:r>
        <w:t>to</w:t>
      </w:r>
      <w:r>
        <w:rPr>
          <w:spacing w:val="-6"/>
        </w:rPr>
        <w:t xml:space="preserve"> </w:t>
      </w:r>
      <w:r>
        <w:t>the</w:t>
      </w:r>
      <w:r>
        <w:rPr>
          <w:spacing w:val="-4"/>
        </w:rPr>
        <w:t xml:space="preserve"> </w:t>
      </w:r>
      <w:r>
        <w:t>highest</w:t>
      </w:r>
      <w:r>
        <w:rPr>
          <w:spacing w:val="-2"/>
        </w:rPr>
        <w:t xml:space="preserve"> </w:t>
      </w:r>
      <w:r>
        <w:t>attainable</w:t>
      </w:r>
      <w:r>
        <w:rPr>
          <w:spacing w:val="-3"/>
        </w:rPr>
        <w:t xml:space="preserve"> </w:t>
      </w:r>
      <w:r>
        <w:t>standard</w:t>
      </w:r>
      <w:r>
        <w:rPr>
          <w:spacing w:val="-3"/>
        </w:rPr>
        <w:t xml:space="preserve"> </w:t>
      </w:r>
      <w:r>
        <w:t>of</w:t>
      </w:r>
      <w:r>
        <w:rPr>
          <w:spacing w:val="-2"/>
        </w:rPr>
        <w:t xml:space="preserve"> </w:t>
      </w:r>
      <w:r>
        <w:t>physical</w:t>
      </w:r>
      <w:r>
        <w:rPr>
          <w:spacing w:val="-5"/>
        </w:rPr>
        <w:t xml:space="preserve"> </w:t>
      </w:r>
      <w:r>
        <w:t>and</w:t>
      </w:r>
      <w:r>
        <w:rPr>
          <w:spacing w:val="-3"/>
        </w:rPr>
        <w:t xml:space="preserve"> </w:t>
      </w:r>
      <w:r>
        <w:t>mental</w:t>
      </w:r>
      <w:r>
        <w:rPr>
          <w:spacing w:val="-4"/>
        </w:rPr>
        <w:t xml:space="preserve"> </w:t>
      </w:r>
      <w:r>
        <w:rPr>
          <w:spacing w:val="-2"/>
        </w:rPr>
        <w:t>health;</w:t>
      </w:r>
    </w:p>
    <w:p w14:paraId="7CB263EC" w14:textId="77777777" w:rsidR="008A4099" w:rsidRDefault="006A6EE2">
      <w:pPr>
        <w:pStyle w:val="ListParagraph"/>
        <w:numPr>
          <w:ilvl w:val="1"/>
          <w:numId w:val="2"/>
        </w:numPr>
        <w:tabs>
          <w:tab w:val="left" w:pos="1676"/>
        </w:tabs>
        <w:spacing w:before="81"/>
        <w:ind w:left="1676" w:hanging="359"/>
        <w:jc w:val="left"/>
      </w:pPr>
      <w:r>
        <w:t>The</w:t>
      </w:r>
      <w:r>
        <w:rPr>
          <w:spacing w:val="-1"/>
        </w:rPr>
        <w:t xml:space="preserve"> </w:t>
      </w:r>
      <w:r>
        <w:t>right</w:t>
      </w:r>
      <w:r>
        <w:rPr>
          <w:spacing w:val="-3"/>
        </w:rPr>
        <w:t xml:space="preserve"> </w:t>
      </w:r>
      <w:r>
        <w:t>to</w:t>
      </w:r>
      <w:r>
        <w:rPr>
          <w:spacing w:val="-3"/>
        </w:rPr>
        <w:t xml:space="preserve"> </w:t>
      </w:r>
      <w:r>
        <w:rPr>
          <w:spacing w:val="-2"/>
        </w:rPr>
        <w:t>education;</w:t>
      </w:r>
    </w:p>
    <w:p w14:paraId="7CB263ED" w14:textId="77777777" w:rsidR="008A4099" w:rsidRDefault="006A6EE2">
      <w:pPr>
        <w:pStyle w:val="ListParagraph"/>
        <w:numPr>
          <w:ilvl w:val="1"/>
          <w:numId w:val="2"/>
        </w:numPr>
        <w:tabs>
          <w:tab w:val="left" w:pos="1676"/>
        </w:tabs>
        <w:spacing w:before="81"/>
        <w:ind w:left="1676" w:hanging="359"/>
        <w:jc w:val="left"/>
      </w:pPr>
      <w:r>
        <w:t>The</w:t>
      </w:r>
      <w:r>
        <w:rPr>
          <w:spacing w:val="-5"/>
        </w:rPr>
        <w:t xml:space="preserve"> </w:t>
      </w:r>
      <w:r>
        <w:t>right</w:t>
      </w:r>
      <w:r>
        <w:rPr>
          <w:spacing w:val="-3"/>
        </w:rPr>
        <w:t xml:space="preserve"> </w:t>
      </w:r>
      <w:r>
        <w:t>not</w:t>
      </w:r>
      <w:r>
        <w:rPr>
          <w:spacing w:val="-4"/>
        </w:rPr>
        <w:t xml:space="preserve"> </w:t>
      </w:r>
      <w:r>
        <w:t>to</w:t>
      </w:r>
      <w:r>
        <w:rPr>
          <w:spacing w:val="-2"/>
        </w:rPr>
        <w:t xml:space="preserve"> </w:t>
      </w:r>
      <w:r>
        <w:t>be</w:t>
      </w:r>
      <w:r>
        <w:rPr>
          <w:spacing w:val="-3"/>
        </w:rPr>
        <w:t xml:space="preserve"> </w:t>
      </w:r>
      <w:r>
        <w:t>deprived</w:t>
      </w:r>
      <w:r>
        <w:rPr>
          <w:spacing w:val="-2"/>
        </w:rPr>
        <w:t xml:space="preserve"> </w:t>
      </w:r>
      <w:r>
        <w:t>of</w:t>
      </w:r>
      <w:r>
        <w:rPr>
          <w:spacing w:val="-2"/>
        </w:rPr>
        <w:t xml:space="preserve"> </w:t>
      </w:r>
      <w:r>
        <w:t>property</w:t>
      </w:r>
      <w:r>
        <w:rPr>
          <w:spacing w:val="-5"/>
        </w:rPr>
        <w:t xml:space="preserve"> </w:t>
      </w:r>
      <w:r>
        <w:t>except</w:t>
      </w:r>
      <w:r>
        <w:rPr>
          <w:spacing w:val="-3"/>
        </w:rPr>
        <w:t xml:space="preserve"> </w:t>
      </w:r>
      <w:r>
        <w:t>on</w:t>
      </w:r>
      <w:r>
        <w:rPr>
          <w:spacing w:val="-2"/>
        </w:rPr>
        <w:t xml:space="preserve"> </w:t>
      </w:r>
      <w:r>
        <w:t>just</w:t>
      </w:r>
      <w:r>
        <w:rPr>
          <w:spacing w:val="-3"/>
        </w:rPr>
        <w:t xml:space="preserve"> </w:t>
      </w:r>
      <w:r>
        <w:rPr>
          <w:spacing w:val="-2"/>
        </w:rPr>
        <w:t>terms;</w:t>
      </w:r>
    </w:p>
    <w:p w14:paraId="7CB263EE" w14:textId="77777777" w:rsidR="008A4099" w:rsidRDefault="006A6EE2">
      <w:pPr>
        <w:pStyle w:val="ListParagraph"/>
        <w:numPr>
          <w:ilvl w:val="1"/>
          <w:numId w:val="2"/>
        </w:numPr>
        <w:tabs>
          <w:tab w:val="left" w:pos="1677"/>
        </w:tabs>
        <w:spacing w:before="82" w:line="242" w:lineRule="auto"/>
        <w:ind w:left="1677" w:right="681" w:hanging="360"/>
        <w:jc w:val="left"/>
      </w:pPr>
      <w:r>
        <w:t>The</w:t>
      </w:r>
      <w:r>
        <w:rPr>
          <w:spacing w:val="-15"/>
        </w:rPr>
        <w:t xml:space="preserve"> </w:t>
      </w:r>
      <w:r>
        <w:t>right</w:t>
      </w:r>
      <w:r>
        <w:rPr>
          <w:spacing w:val="-14"/>
        </w:rPr>
        <w:t xml:space="preserve"> </w:t>
      </w:r>
      <w:r>
        <w:t>to</w:t>
      </w:r>
      <w:r>
        <w:rPr>
          <w:spacing w:val="-15"/>
        </w:rPr>
        <w:t xml:space="preserve"> </w:t>
      </w:r>
      <w:r>
        <w:t>a</w:t>
      </w:r>
      <w:r>
        <w:rPr>
          <w:spacing w:val="-14"/>
        </w:rPr>
        <w:t xml:space="preserve"> </w:t>
      </w:r>
      <w:r>
        <w:t>safe</w:t>
      </w:r>
      <w:r>
        <w:rPr>
          <w:spacing w:val="-14"/>
        </w:rPr>
        <w:t xml:space="preserve"> </w:t>
      </w:r>
      <w:r>
        <w:t>environment</w:t>
      </w:r>
      <w:r>
        <w:rPr>
          <w:spacing w:val="-14"/>
        </w:rPr>
        <w:t xml:space="preserve"> </w:t>
      </w:r>
      <w:r>
        <w:t>and</w:t>
      </w:r>
      <w:r>
        <w:rPr>
          <w:spacing w:val="-17"/>
        </w:rPr>
        <w:t xml:space="preserve"> </w:t>
      </w:r>
      <w:r>
        <w:t>to</w:t>
      </w:r>
      <w:r>
        <w:rPr>
          <w:spacing w:val="-15"/>
        </w:rPr>
        <w:t xml:space="preserve"> </w:t>
      </w:r>
      <w:r>
        <w:t>the</w:t>
      </w:r>
      <w:r>
        <w:rPr>
          <w:spacing w:val="-14"/>
        </w:rPr>
        <w:t xml:space="preserve"> </w:t>
      </w:r>
      <w:r>
        <w:t>protection</w:t>
      </w:r>
      <w:r>
        <w:rPr>
          <w:spacing w:val="-15"/>
        </w:rPr>
        <w:t xml:space="preserve"> </w:t>
      </w:r>
      <w:r>
        <w:t>of</w:t>
      </w:r>
      <w:r>
        <w:rPr>
          <w:spacing w:val="-14"/>
        </w:rPr>
        <w:t xml:space="preserve"> </w:t>
      </w:r>
      <w:r>
        <w:t>the</w:t>
      </w:r>
      <w:r>
        <w:rPr>
          <w:spacing w:val="-14"/>
        </w:rPr>
        <w:t xml:space="preserve"> </w:t>
      </w:r>
      <w:r>
        <w:t>environment</w:t>
      </w:r>
      <w:r>
        <w:rPr>
          <w:spacing w:val="-14"/>
        </w:rPr>
        <w:t xml:space="preserve"> </w:t>
      </w:r>
      <w:r>
        <w:t>from</w:t>
      </w:r>
      <w:r>
        <w:rPr>
          <w:spacing w:val="-14"/>
        </w:rPr>
        <w:t xml:space="preserve"> </w:t>
      </w:r>
      <w:r>
        <w:t>pollution and ecological degradation;</w:t>
      </w:r>
    </w:p>
    <w:p w14:paraId="7CB263EF" w14:textId="77777777" w:rsidR="008A4099" w:rsidRDefault="006A6EE2">
      <w:pPr>
        <w:pStyle w:val="ListParagraph"/>
        <w:numPr>
          <w:ilvl w:val="1"/>
          <w:numId w:val="2"/>
        </w:numPr>
        <w:tabs>
          <w:tab w:val="left" w:pos="1676"/>
        </w:tabs>
        <w:spacing w:before="97"/>
        <w:ind w:left="1676" w:hanging="359"/>
        <w:jc w:val="left"/>
      </w:pPr>
      <w:r>
        <w:t>Freedom</w:t>
      </w:r>
      <w:r>
        <w:rPr>
          <w:spacing w:val="-5"/>
        </w:rPr>
        <w:t xml:space="preserve"> </w:t>
      </w:r>
      <w:r>
        <w:t>from</w:t>
      </w:r>
      <w:r>
        <w:rPr>
          <w:spacing w:val="-1"/>
        </w:rPr>
        <w:t xml:space="preserve"> </w:t>
      </w:r>
      <w:r>
        <w:rPr>
          <w:spacing w:val="-2"/>
        </w:rPr>
        <w:t>genocide.</w:t>
      </w:r>
    </w:p>
    <w:p w14:paraId="7CB263F0" w14:textId="77777777" w:rsidR="008A4099" w:rsidRDefault="006A6EE2">
      <w:pPr>
        <w:pStyle w:val="BodyText"/>
        <w:spacing w:before="220"/>
        <w:ind w:left="160"/>
      </w:pPr>
      <w:r>
        <w:t>Rights</w:t>
      </w:r>
      <w:r>
        <w:rPr>
          <w:spacing w:val="-7"/>
        </w:rPr>
        <w:t xml:space="preserve"> </w:t>
      </w:r>
      <w:r>
        <w:t>whose</w:t>
      </w:r>
      <w:r>
        <w:rPr>
          <w:spacing w:val="-6"/>
        </w:rPr>
        <w:t xml:space="preserve"> </w:t>
      </w:r>
      <w:r>
        <w:t>protection</w:t>
      </w:r>
      <w:r>
        <w:rPr>
          <w:spacing w:val="-4"/>
        </w:rPr>
        <w:t xml:space="preserve"> </w:t>
      </w:r>
      <w:r>
        <w:t>constitutionally</w:t>
      </w:r>
      <w:r>
        <w:rPr>
          <w:spacing w:val="-8"/>
        </w:rPr>
        <w:t xml:space="preserve"> </w:t>
      </w:r>
      <w:r>
        <w:t>falls</w:t>
      </w:r>
      <w:r>
        <w:rPr>
          <w:spacing w:val="-6"/>
        </w:rPr>
        <w:t xml:space="preserve"> </w:t>
      </w:r>
      <w:r>
        <w:t>outside</w:t>
      </w:r>
      <w:r>
        <w:rPr>
          <w:spacing w:val="-4"/>
        </w:rPr>
        <w:t xml:space="preserve"> </w:t>
      </w:r>
      <w:r>
        <w:t>the</w:t>
      </w:r>
      <w:r>
        <w:rPr>
          <w:spacing w:val="-5"/>
        </w:rPr>
        <w:t xml:space="preserve"> </w:t>
      </w:r>
      <w:r>
        <w:t>jurisdiction</w:t>
      </w:r>
      <w:r>
        <w:rPr>
          <w:spacing w:val="-4"/>
        </w:rPr>
        <w:t xml:space="preserve"> </w:t>
      </w:r>
      <w:r>
        <w:t>of</w:t>
      </w:r>
      <w:r>
        <w:rPr>
          <w:spacing w:val="-4"/>
        </w:rPr>
        <w:t xml:space="preserve"> </w:t>
      </w:r>
      <w:r>
        <w:t>the</w:t>
      </w:r>
      <w:r>
        <w:rPr>
          <w:spacing w:val="-5"/>
        </w:rPr>
        <w:t xml:space="preserve"> </w:t>
      </w:r>
      <w:r>
        <w:t>State</w:t>
      </w:r>
      <w:r>
        <w:rPr>
          <w:spacing w:val="-6"/>
        </w:rPr>
        <w:t xml:space="preserve"> </w:t>
      </w:r>
      <w:r>
        <w:t>Government</w:t>
      </w:r>
      <w:r>
        <w:rPr>
          <w:spacing w:val="-3"/>
        </w:rPr>
        <w:t xml:space="preserve"> </w:t>
      </w:r>
      <w:r>
        <w:rPr>
          <w:spacing w:val="-4"/>
        </w:rPr>
        <w:t>are:</w:t>
      </w:r>
    </w:p>
    <w:p w14:paraId="7CB263F1" w14:textId="77777777" w:rsidR="008A4099" w:rsidRDefault="006A6EE2">
      <w:pPr>
        <w:pStyle w:val="ListParagraph"/>
        <w:numPr>
          <w:ilvl w:val="0"/>
          <w:numId w:val="2"/>
        </w:numPr>
        <w:tabs>
          <w:tab w:val="left" w:pos="728"/>
        </w:tabs>
        <w:spacing w:before="223"/>
        <w:ind w:left="728" w:hanging="285"/>
        <w:jc w:val="left"/>
      </w:pPr>
      <w:r>
        <w:t>The</w:t>
      </w:r>
      <w:r>
        <w:rPr>
          <w:spacing w:val="-2"/>
        </w:rPr>
        <w:t xml:space="preserve"> </w:t>
      </w:r>
      <w:r>
        <w:t>right</w:t>
      </w:r>
      <w:r>
        <w:rPr>
          <w:spacing w:val="-3"/>
        </w:rPr>
        <w:t xml:space="preserve"> </w:t>
      </w:r>
      <w:r>
        <w:t>to</w:t>
      </w:r>
      <w:r>
        <w:rPr>
          <w:spacing w:val="-3"/>
        </w:rPr>
        <w:t xml:space="preserve"> </w:t>
      </w:r>
      <w:r>
        <w:t>social</w:t>
      </w:r>
      <w:r>
        <w:rPr>
          <w:spacing w:val="-2"/>
        </w:rPr>
        <w:t xml:space="preserve"> security;</w:t>
      </w:r>
    </w:p>
    <w:p w14:paraId="7CB263F2" w14:textId="77777777" w:rsidR="008A4099" w:rsidRDefault="006A6EE2">
      <w:pPr>
        <w:pStyle w:val="ListParagraph"/>
        <w:numPr>
          <w:ilvl w:val="0"/>
          <w:numId w:val="2"/>
        </w:numPr>
        <w:tabs>
          <w:tab w:val="left" w:pos="728"/>
        </w:tabs>
        <w:spacing w:before="100"/>
        <w:ind w:left="728" w:hanging="285"/>
        <w:jc w:val="left"/>
      </w:pPr>
      <w:r>
        <w:t>The</w:t>
      </w:r>
      <w:r>
        <w:rPr>
          <w:spacing w:val="-1"/>
        </w:rPr>
        <w:t xml:space="preserve"> </w:t>
      </w:r>
      <w:r>
        <w:t>right</w:t>
      </w:r>
      <w:r>
        <w:rPr>
          <w:spacing w:val="-3"/>
        </w:rPr>
        <w:t xml:space="preserve"> </w:t>
      </w:r>
      <w:r>
        <w:t>to</w:t>
      </w:r>
      <w:r>
        <w:rPr>
          <w:spacing w:val="-3"/>
        </w:rPr>
        <w:t xml:space="preserve"> </w:t>
      </w:r>
      <w:r>
        <w:rPr>
          <w:spacing w:val="-2"/>
        </w:rPr>
        <w:t>marry;</w:t>
      </w:r>
    </w:p>
    <w:p w14:paraId="7CB263F3" w14:textId="77777777" w:rsidR="008A4099" w:rsidRDefault="006A6EE2">
      <w:pPr>
        <w:pStyle w:val="ListParagraph"/>
        <w:numPr>
          <w:ilvl w:val="0"/>
          <w:numId w:val="2"/>
        </w:numPr>
        <w:tabs>
          <w:tab w:val="left" w:pos="728"/>
        </w:tabs>
        <w:spacing w:before="101"/>
        <w:ind w:left="728" w:hanging="285"/>
        <w:jc w:val="left"/>
      </w:pPr>
      <w:r>
        <w:t>The</w:t>
      </w:r>
      <w:r>
        <w:rPr>
          <w:spacing w:val="-5"/>
        </w:rPr>
        <w:t xml:space="preserve"> </w:t>
      </w:r>
      <w:r>
        <w:t>right</w:t>
      </w:r>
      <w:r>
        <w:rPr>
          <w:spacing w:val="-5"/>
        </w:rPr>
        <w:t xml:space="preserve"> </w:t>
      </w:r>
      <w:r>
        <w:t>of</w:t>
      </w:r>
      <w:r>
        <w:rPr>
          <w:spacing w:val="-5"/>
        </w:rPr>
        <w:t xml:space="preserve"> </w:t>
      </w:r>
      <w:r>
        <w:t>foreign</w:t>
      </w:r>
      <w:r>
        <w:rPr>
          <w:spacing w:val="-5"/>
        </w:rPr>
        <w:t xml:space="preserve"> </w:t>
      </w:r>
      <w:r>
        <w:t>nationals</w:t>
      </w:r>
      <w:r>
        <w:rPr>
          <w:spacing w:val="-3"/>
        </w:rPr>
        <w:t xml:space="preserve"> </w:t>
      </w:r>
      <w:r>
        <w:t>not</w:t>
      </w:r>
      <w:r>
        <w:rPr>
          <w:spacing w:val="-2"/>
        </w:rPr>
        <w:t xml:space="preserve"> </w:t>
      </w:r>
      <w:r>
        <w:t>to</w:t>
      </w:r>
      <w:r>
        <w:rPr>
          <w:spacing w:val="-3"/>
        </w:rPr>
        <w:t xml:space="preserve"> </w:t>
      </w:r>
      <w:r>
        <w:t>be</w:t>
      </w:r>
      <w:r>
        <w:rPr>
          <w:spacing w:val="-5"/>
        </w:rPr>
        <w:t xml:space="preserve"> </w:t>
      </w:r>
      <w:r>
        <w:t>expelled</w:t>
      </w:r>
      <w:r>
        <w:rPr>
          <w:spacing w:val="-2"/>
        </w:rPr>
        <w:t xml:space="preserve"> </w:t>
      </w:r>
      <w:r>
        <w:t>from</w:t>
      </w:r>
      <w:r>
        <w:rPr>
          <w:spacing w:val="-5"/>
        </w:rPr>
        <w:t xml:space="preserve"> </w:t>
      </w:r>
      <w:r>
        <w:t>Australia</w:t>
      </w:r>
      <w:r>
        <w:rPr>
          <w:spacing w:val="-3"/>
        </w:rPr>
        <w:t xml:space="preserve"> </w:t>
      </w:r>
      <w:r>
        <w:t>without</w:t>
      </w:r>
      <w:r>
        <w:rPr>
          <w:spacing w:val="-2"/>
        </w:rPr>
        <w:t xml:space="preserve"> </w:t>
      </w:r>
      <w:r>
        <w:t>due</w:t>
      </w:r>
      <w:r>
        <w:rPr>
          <w:spacing w:val="-2"/>
        </w:rPr>
        <w:t xml:space="preserve"> process;</w:t>
      </w:r>
    </w:p>
    <w:p w14:paraId="7CB263F4" w14:textId="77777777" w:rsidR="008A4099" w:rsidRDefault="006A6EE2">
      <w:pPr>
        <w:pStyle w:val="ListParagraph"/>
        <w:numPr>
          <w:ilvl w:val="0"/>
          <w:numId w:val="2"/>
        </w:numPr>
        <w:tabs>
          <w:tab w:val="left" w:pos="728"/>
        </w:tabs>
        <w:spacing w:before="103"/>
        <w:ind w:left="728" w:hanging="285"/>
        <w:jc w:val="left"/>
      </w:pPr>
      <w:r>
        <w:t>The</w:t>
      </w:r>
      <w:r>
        <w:rPr>
          <w:spacing w:val="-2"/>
        </w:rPr>
        <w:t xml:space="preserve"> </w:t>
      </w:r>
      <w:r>
        <w:t>right</w:t>
      </w:r>
      <w:r>
        <w:rPr>
          <w:spacing w:val="-3"/>
        </w:rPr>
        <w:t xml:space="preserve"> </w:t>
      </w:r>
      <w:r>
        <w:t>to</w:t>
      </w:r>
      <w:r>
        <w:rPr>
          <w:spacing w:val="-5"/>
        </w:rPr>
        <w:t xml:space="preserve"> </w:t>
      </w:r>
      <w:r>
        <w:t>leave</w:t>
      </w:r>
      <w:r>
        <w:rPr>
          <w:spacing w:val="-1"/>
        </w:rPr>
        <w:t xml:space="preserve"> </w:t>
      </w:r>
      <w:r>
        <w:t>and</w:t>
      </w:r>
      <w:r>
        <w:rPr>
          <w:spacing w:val="-2"/>
        </w:rPr>
        <w:t xml:space="preserve"> </w:t>
      </w:r>
      <w:r>
        <w:t xml:space="preserve">re-enter </w:t>
      </w:r>
      <w:r>
        <w:rPr>
          <w:spacing w:val="-2"/>
        </w:rPr>
        <w:t>Australia.</w:t>
      </w:r>
    </w:p>
    <w:p w14:paraId="7CB263F5" w14:textId="77777777" w:rsidR="008A4099" w:rsidRDefault="006A6EE2">
      <w:pPr>
        <w:pStyle w:val="BodyText"/>
        <w:spacing w:before="218" w:line="244" w:lineRule="auto"/>
        <w:ind w:left="160" w:right="680"/>
      </w:pPr>
      <w:r>
        <w:t>The Tasmanian Law Reform Institute recommends that these rights not be included in a Tasmanian</w:t>
      </w:r>
      <w:r>
        <w:rPr>
          <w:spacing w:val="40"/>
        </w:rPr>
        <w:t xml:space="preserve"> </w:t>
      </w:r>
      <w:r>
        <w:rPr>
          <w:spacing w:val="-2"/>
        </w:rPr>
        <w:t>Charter.</w:t>
      </w:r>
    </w:p>
    <w:p w14:paraId="7CB263F6" w14:textId="77777777" w:rsidR="008A4099" w:rsidRDefault="008A4099">
      <w:pPr>
        <w:pStyle w:val="BodyText"/>
        <w:spacing w:before="99"/>
      </w:pPr>
    </w:p>
    <w:p w14:paraId="7CB263F7" w14:textId="77777777" w:rsidR="008A4099" w:rsidRDefault="006A6EE2">
      <w:pPr>
        <w:pStyle w:val="Heading5"/>
        <w:spacing w:before="1"/>
      </w:pPr>
      <w:r>
        <w:t>Recommendation</w:t>
      </w:r>
      <w:r>
        <w:rPr>
          <w:spacing w:val="-5"/>
        </w:rPr>
        <w:t xml:space="preserve"> </w:t>
      </w:r>
      <w:r>
        <w:t>17</w:t>
      </w:r>
      <w:r>
        <w:rPr>
          <w:spacing w:val="-4"/>
        </w:rPr>
        <w:t xml:space="preserve"> </w:t>
      </w:r>
      <w:r>
        <w:t>–</w:t>
      </w:r>
      <w:r>
        <w:rPr>
          <w:spacing w:val="-4"/>
        </w:rPr>
        <w:t xml:space="preserve"> </w:t>
      </w:r>
      <w:r>
        <w:t>Dealing</w:t>
      </w:r>
      <w:r>
        <w:rPr>
          <w:spacing w:val="-7"/>
        </w:rPr>
        <w:t xml:space="preserve"> </w:t>
      </w:r>
      <w:r>
        <w:t>with</w:t>
      </w:r>
      <w:r>
        <w:rPr>
          <w:spacing w:val="-4"/>
        </w:rPr>
        <w:t xml:space="preserve"> </w:t>
      </w:r>
      <w:r>
        <w:t>particular</w:t>
      </w:r>
      <w:r>
        <w:rPr>
          <w:spacing w:val="-5"/>
        </w:rPr>
        <w:t xml:space="preserve"> </w:t>
      </w:r>
      <w:r>
        <w:rPr>
          <w:spacing w:val="-2"/>
        </w:rPr>
        <w:t>rights</w:t>
      </w:r>
    </w:p>
    <w:p w14:paraId="7CB263F8" w14:textId="77777777" w:rsidR="008A4099" w:rsidRDefault="006A6EE2">
      <w:pPr>
        <w:pStyle w:val="BodyText"/>
        <w:spacing w:before="220"/>
        <w:ind w:left="160"/>
      </w:pPr>
      <w:r>
        <w:t>The</w:t>
      </w:r>
      <w:r>
        <w:rPr>
          <w:spacing w:val="-5"/>
        </w:rPr>
        <w:t xml:space="preserve"> </w:t>
      </w:r>
      <w:r>
        <w:t>following</w:t>
      </w:r>
      <w:r>
        <w:rPr>
          <w:spacing w:val="-6"/>
        </w:rPr>
        <w:t xml:space="preserve"> </w:t>
      </w:r>
      <w:r>
        <w:t>rights</w:t>
      </w:r>
      <w:r>
        <w:rPr>
          <w:spacing w:val="-5"/>
        </w:rPr>
        <w:t xml:space="preserve"> </w:t>
      </w:r>
      <w:r>
        <w:t>should</w:t>
      </w:r>
      <w:r>
        <w:rPr>
          <w:spacing w:val="-5"/>
        </w:rPr>
        <w:t xml:space="preserve"> </w:t>
      </w:r>
      <w:r>
        <w:t>be</w:t>
      </w:r>
      <w:r>
        <w:rPr>
          <w:spacing w:val="-3"/>
        </w:rPr>
        <w:t xml:space="preserve"> </w:t>
      </w:r>
      <w:r>
        <w:t>dealt</w:t>
      </w:r>
      <w:r>
        <w:rPr>
          <w:spacing w:val="-5"/>
        </w:rPr>
        <w:t xml:space="preserve"> </w:t>
      </w:r>
      <w:r>
        <w:t>with</w:t>
      </w:r>
      <w:r>
        <w:rPr>
          <w:spacing w:val="-2"/>
        </w:rPr>
        <w:t xml:space="preserve"> </w:t>
      </w:r>
      <w:r>
        <w:t>in</w:t>
      </w:r>
      <w:r>
        <w:rPr>
          <w:spacing w:val="-6"/>
        </w:rPr>
        <w:t xml:space="preserve"> </w:t>
      </w:r>
      <w:r>
        <w:t>a</w:t>
      </w:r>
      <w:r>
        <w:rPr>
          <w:spacing w:val="-3"/>
        </w:rPr>
        <w:t xml:space="preserve"> </w:t>
      </w:r>
      <w:r>
        <w:t>Tasmanian</w:t>
      </w:r>
      <w:r>
        <w:rPr>
          <w:spacing w:val="-3"/>
        </w:rPr>
        <w:t xml:space="preserve"> </w:t>
      </w:r>
      <w:r>
        <w:t>Charter</w:t>
      </w:r>
      <w:r>
        <w:rPr>
          <w:spacing w:val="-2"/>
        </w:rPr>
        <w:t xml:space="preserve"> </w:t>
      </w:r>
      <w:r>
        <w:t>of</w:t>
      </w:r>
      <w:r>
        <w:rPr>
          <w:spacing w:val="-3"/>
        </w:rPr>
        <w:t xml:space="preserve"> </w:t>
      </w:r>
      <w:r>
        <w:t>Human</w:t>
      </w:r>
      <w:r>
        <w:rPr>
          <w:spacing w:val="-3"/>
        </w:rPr>
        <w:t xml:space="preserve"> </w:t>
      </w:r>
      <w:r>
        <w:t>Rights</w:t>
      </w:r>
      <w:r>
        <w:rPr>
          <w:spacing w:val="-3"/>
        </w:rPr>
        <w:t xml:space="preserve"> </w:t>
      </w:r>
      <w:r>
        <w:t>as</w:t>
      </w:r>
      <w:r>
        <w:rPr>
          <w:spacing w:val="-4"/>
        </w:rPr>
        <w:t xml:space="preserve"> </w:t>
      </w:r>
      <w:r>
        <w:rPr>
          <w:spacing w:val="-2"/>
        </w:rPr>
        <w:t>follows:</w:t>
      </w:r>
    </w:p>
    <w:p w14:paraId="7CB263F9" w14:textId="77777777" w:rsidR="008A4099" w:rsidRDefault="006A6EE2">
      <w:pPr>
        <w:pStyle w:val="ListParagraph"/>
        <w:numPr>
          <w:ilvl w:val="0"/>
          <w:numId w:val="2"/>
        </w:numPr>
        <w:tabs>
          <w:tab w:val="left" w:pos="729"/>
        </w:tabs>
        <w:spacing w:line="242" w:lineRule="auto"/>
        <w:ind w:right="682"/>
      </w:pPr>
      <w:r>
        <w:t>The provision enacting the right to life should specify that every person has the right to life and the right not to be deprived of life and that this right applies to a person from the time of birth.</w:t>
      </w:r>
    </w:p>
    <w:p w14:paraId="7CB263FA" w14:textId="77777777" w:rsidR="008A4099" w:rsidRDefault="006A6EE2">
      <w:pPr>
        <w:pStyle w:val="ListParagraph"/>
        <w:numPr>
          <w:ilvl w:val="0"/>
          <w:numId w:val="2"/>
        </w:numPr>
        <w:tabs>
          <w:tab w:val="left" w:pos="729"/>
        </w:tabs>
        <w:spacing w:before="176" w:line="254" w:lineRule="auto"/>
        <w:ind w:right="674"/>
      </w:pPr>
      <w:r>
        <w:t xml:space="preserve">The provision relating to freedom from discrimination should conform to s 16 of the </w:t>
      </w:r>
      <w:r>
        <w:rPr>
          <w:i/>
        </w:rPr>
        <w:t xml:space="preserve">Anti- Discrimination Act </w:t>
      </w:r>
      <w:r>
        <w:t>(Tas) and specify as prohibited grounds of discrimination the matters listed in</w:t>
      </w:r>
      <w:r>
        <w:rPr>
          <w:spacing w:val="-12"/>
        </w:rPr>
        <w:t xml:space="preserve"> </w:t>
      </w:r>
      <w:r>
        <w:t>that</w:t>
      </w:r>
      <w:r>
        <w:rPr>
          <w:spacing w:val="-13"/>
        </w:rPr>
        <w:t xml:space="preserve"> </w:t>
      </w:r>
      <w:r>
        <w:t>section.</w:t>
      </w:r>
      <w:r>
        <w:rPr>
          <w:spacing w:val="-12"/>
        </w:rPr>
        <w:t xml:space="preserve"> </w:t>
      </w:r>
      <w:r>
        <w:t>A</w:t>
      </w:r>
      <w:r>
        <w:rPr>
          <w:spacing w:val="-13"/>
        </w:rPr>
        <w:t xml:space="preserve"> </w:t>
      </w:r>
      <w:r>
        <w:t>possible</w:t>
      </w:r>
      <w:r>
        <w:rPr>
          <w:spacing w:val="-12"/>
        </w:rPr>
        <w:t xml:space="preserve"> </w:t>
      </w:r>
      <w:r>
        <w:t>formulation</w:t>
      </w:r>
      <w:r>
        <w:rPr>
          <w:spacing w:val="-12"/>
        </w:rPr>
        <w:t xml:space="preserve"> </w:t>
      </w:r>
      <w:r>
        <w:t>is</w:t>
      </w:r>
      <w:r>
        <w:rPr>
          <w:spacing w:val="-11"/>
        </w:rPr>
        <w:t xml:space="preserve"> </w:t>
      </w:r>
      <w:r>
        <w:t>set</w:t>
      </w:r>
      <w:r>
        <w:rPr>
          <w:spacing w:val="-11"/>
        </w:rPr>
        <w:t xml:space="preserve"> </w:t>
      </w:r>
      <w:r>
        <w:t>out</w:t>
      </w:r>
      <w:r>
        <w:rPr>
          <w:spacing w:val="-13"/>
        </w:rPr>
        <w:t xml:space="preserve"> </w:t>
      </w:r>
      <w:r>
        <w:t>at</w:t>
      </w:r>
      <w:r>
        <w:rPr>
          <w:spacing w:val="-13"/>
        </w:rPr>
        <w:t xml:space="preserve"> </w:t>
      </w:r>
      <w:r>
        <w:t>para</w:t>
      </w:r>
      <w:r>
        <w:rPr>
          <w:spacing w:val="-14"/>
        </w:rPr>
        <w:t xml:space="preserve"> </w:t>
      </w:r>
      <w:r>
        <w:t>[4.16.14].</w:t>
      </w:r>
      <w:r>
        <w:rPr>
          <w:spacing w:val="-11"/>
        </w:rPr>
        <w:t xml:space="preserve"> </w:t>
      </w:r>
      <w:r>
        <w:t>This</w:t>
      </w:r>
      <w:r>
        <w:rPr>
          <w:spacing w:val="-14"/>
        </w:rPr>
        <w:t xml:space="preserve"> </w:t>
      </w:r>
      <w:r>
        <w:t>provision</w:t>
      </w:r>
      <w:r>
        <w:rPr>
          <w:spacing w:val="-13"/>
        </w:rPr>
        <w:t xml:space="preserve"> </w:t>
      </w:r>
      <w:r>
        <w:t>should</w:t>
      </w:r>
      <w:r>
        <w:rPr>
          <w:spacing w:val="-14"/>
        </w:rPr>
        <w:t xml:space="preserve"> </w:t>
      </w:r>
      <w:r>
        <w:t>also</w:t>
      </w:r>
      <w:r>
        <w:rPr>
          <w:spacing w:val="-11"/>
        </w:rPr>
        <w:t xml:space="preserve"> </w:t>
      </w:r>
      <w:r>
        <w:t>state that measures taken for the purpose of assisting or advancing persons or groups of persons disadvantaged because of discrimination do not constitute discrimination.</w:t>
      </w:r>
    </w:p>
    <w:p w14:paraId="7CB263FB" w14:textId="77777777" w:rsidR="008A4099" w:rsidRDefault="008A4099">
      <w:pPr>
        <w:spacing w:line="254" w:lineRule="auto"/>
        <w:jc w:val="both"/>
        <w:sectPr w:rsidR="008A4099" w:rsidSect="00D43B2D">
          <w:pgSz w:w="11910" w:h="16840"/>
          <w:pgMar w:top="980" w:right="760" w:bottom="940" w:left="1280" w:header="718" w:footer="753" w:gutter="0"/>
          <w:cols w:space="720"/>
        </w:sectPr>
      </w:pPr>
    </w:p>
    <w:p w14:paraId="7CB263FC" w14:textId="77777777" w:rsidR="008A4099" w:rsidRDefault="008A4099">
      <w:pPr>
        <w:pStyle w:val="BodyText"/>
        <w:spacing w:before="196"/>
      </w:pPr>
    </w:p>
    <w:p w14:paraId="7CB263FD" w14:textId="77777777" w:rsidR="008A4099" w:rsidRDefault="006A6EE2">
      <w:pPr>
        <w:pStyle w:val="ListParagraph"/>
        <w:numPr>
          <w:ilvl w:val="0"/>
          <w:numId w:val="2"/>
        </w:numPr>
        <w:tabs>
          <w:tab w:val="left" w:pos="729"/>
        </w:tabs>
        <w:spacing w:before="1" w:line="252" w:lineRule="auto"/>
        <w:ind w:right="675"/>
      </w:pPr>
      <w:r>
        <w:t>The right of children to special protection by reason of being children and to be free from economic and social exploitation should be enacted as specified in para [4.16.35]. The distinct rights</w:t>
      </w:r>
      <w:r>
        <w:rPr>
          <w:spacing w:val="-5"/>
        </w:rPr>
        <w:t xml:space="preserve"> </w:t>
      </w:r>
      <w:r>
        <w:t>of</w:t>
      </w:r>
      <w:r>
        <w:rPr>
          <w:spacing w:val="-5"/>
        </w:rPr>
        <w:t xml:space="preserve"> </w:t>
      </w:r>
      <w:r>
        <w:t>children</w:t>
      </w:r>
      <w:r>
        <w:rPr>
          <w:spacing w:val="-6"/>
        </w:rPr>
        <w:t xml:space="preserve"> </w:t>
      </w:r>
      <w:r>
        <w:t>in</w:t>
      </w:r>
      <w:r>
        <w:rPr>
          <w:spacing w:val="-6"/>
        </w:rPr>
        <w:t xml:space="preserve"> </w:t>
      </w:r>
      <w:r>
        <w:t>the</w:t>
      </w:r>
      <w:r>
        <w:rPr>
          <w:spacing w:val="-6"/>
        </w:rPr>
        <w:t xml:space="preserve"> </w:t>
      </w:r>
      <w:r>
        <w:t>criminal</w:t>
      </w:r>
      <w:r>
        <w:rPr>
          <w:spacing w:val="-5"/>
        </w:rPr>
        <w:t xml:space="preserve"> </w:t>
      </w:r>
      <w:r>
        <w:t>justice</w:t>
      </w:r>
      <w:r>
        <w:rPr>
          <w:spacing w:val="-6"/>
        </w:rPr>
        <w:t xml:space="preserve"> </w:t>
      </w:r>
      <w:r>
        <w:t>process</w:t>
      </w:r>
      <w:r>
        <w:rPr>
          <w:spacing w:val="-5"/>
        </w:rPr>
        <w:t xml:space="preserve"> </w:t>
      </w:r>
      <w:r>
        <w:t>as</w:t>
      </w:r>
      <w:r>
        <w:rPr>
          <w:spacing w:val="-5"/>
        </w:rPr>
        <w:t xml:space="preserve"> </w:t>
      </w:r>
      <w:r>
        <w:t>set</w:t>
      </w:r>
      <w:r>
        <w:rPr>
          <w:spacing w:val="-8"/>
        </w:rPr>
        <w:t xml:space="preserve"> </w:t>
      </w:r>
      <w:r>
        <w:t>out</w:t>
      </w:r>
      <w:r>
        <w:rPr>
          <w:spacing w:val="-5"/>
        </w:rPr>
        <w:t xml:space="preserve"> </w:t>
      </w:r>
      <w:r>
        <w:t>at</w:t>
      </w:r>
      <w:r>
        <w:rPr>
          <w:spacing w:val="-5"/>
        </w:rPr>
        <w:t xml:space="preserve"> </w:t>
      </w:r>
      <w:r>
        <w:t>para</w:t>
      </w:r>
      <w:r>
        <w:rPr>
          <w:spacing w:val="-6"/>
        </w:rPr>
        <w:t xml:space="preserve"> </w:t>
      </w:r>
      <w:r>
        <w:t>[4.16.35]</w:t>
      </w:r>
      <w:r>
        <w:rPr>
          <w:spacing w:val="-5"/>
        </w:rPr>
        <w:t xml:space="preserve"> </w:t>
      </w:r>
      <w:r>
        <w:t>should</w:t>
      </w:r>
      <w:r>
        <w:rPr>
          <w:spacing w:val="-9"/>
        </w:rPr>
        <w:t xml:space="preserve"> </w:t>
      </w:r>
      <w:r>
        <w:t>be</w:t>
      </w:r>
      <w:r>
        <w:rPr>
          <w:spacing w:val="-6"/>
        </w:rPr>
        <w:t xml:space="preserve"> </w:t>
      </w:r>
      <w:r>
        <w:t>included</w:t>
      </w:r>
      <w:r>
        <w:rPr>
          <w:spacing w:val="-6"/>
        </w:rPr>
        <w:t xml:space="preserve"> </w:t>
      </w:r>
      <w:r>
        <w:t>in the Tasmanian Charter.</w:t>
      </w:r>
    </w:p>
    <w:p w14:paraId="7CB263FE" w14:textId="77777777" w:rsidR="008A4099" w:rsidRDefault="006A6EE2">
      <w:pPr>
        <w:pStyle w:val="ListParagraph"/>
        <w:numPr>
          <w:ilvl w:val="0"/>
          <w:numId w:val="2"/>
        </w:numPr>
        <w:tabs>
          <w:tab w:val="left" w:pos="729"/>
        </w:tabs>
        <w:spacing w:before="172" w:line="254" w:lineRule="auto"/>
        <w:ind w:right="675"/>
      </w:pPr>
      <w:r>
        <w:t>Property</w:t>
      </w:r>
      <w:r>
        <w:rPr>
          <w:spacing w:val="-1"/>
        </w:rPr>
        <w:t xml:space="preserve"> </w:t>
      </w:r>
      <w:r>
        <w:t>rights</w:t>
      </w:r>
      <w:r>
        <w:rPr>
          <w:spacing w:val="-1"/>
        </w:rPr>
        <w:t xml:space="preserve"> </w:t>
      </w:r>
      <w:r>
        <w:t>should</w:t>
      </w:r>
      <w:r>
        <w:rPr>
          <w:spacing w:val="-1"/>
        </w:rPr>
        <w:t xml:space="preserve"> </w:t>
      </w:r>
      <w:r>
        <w:t>be</w:t>
      </w:r>
      <w:r>
        <w:rPr>
          <w:spacing w:val="-1"/>
        </w:rPr>
        <w:t xml:space="preserve"> </w:t>
      </w:r>
      <w:r>
        <w:t>protected</w:t>
      </w:r>
      <w:r>
        <w:rPr>
          <w:spacing w:val="-1"/>
        </w:rPr>
        <w:t xml:space="preserve"> </w:t>
      </w:r>
      <w:r>
        <w:t>by</w:t>
      </w:r>
      <w:r>
        <w:rPr>
          <w:spacing w:val="-1"/>
        </w:rPr>
        <w:t xml:space="preserve"> </w:t>
      </w:r>
      <w:r>
        <w:t>a</w:t>
      </w:r>
      <w:r>
        <w:rPr>
          <w:spacing w:val="-1"/>
        </w:rPr>
        <w:t xml:space="preserve"> </w:t>
      </w:r>
      <w:r>
        <w:t>provision</w:t>
      </w:r>
      <w:r>
        <w:rPr>
          <w:spacing w:val="-1"/>
        </w:rPr>
        <w:t xml:space="preserve"> </w:t>
      </w:r>
      <w:r>
        <w:t>that</w:t>
      </w:r>
      <w:r>
        <w:rPr>
          <w:spacing w:val="-3"/>
        </w:rPr>
        <w:t xml:space="preserve"> </w:t>
      </w:r>
      <w:r>
        <w:t>states</w:t>
      </w:r>
      <w:r>
        <w:rPr>
          <w:spacing w:val="-1"/>
        </w:rPr>
        <w:t xml:space="preserve"> </w:t>
      </w:r>
      <w:r>
        <w:t>that every</w:t>
      </w:r>
      <w:r>
        <w:rPr>
          <w:spacing w:val="-1"/>
        </w:rPr>
        <w:t xml:space="preserve"> </w:t>
      </w:r>
      <w:r>
        <w:t>person</w:t>
      </w:r>
      <w:r>
        <w:rPr>
          <w:spacing w:val="-1"/>
        </w:rPr>
        <w:t xml:space="preserve"> </w:t>
      </w:r>
      <w:r>
        <w:t>has</w:t>
      </w:r>
      <w:r>
        <w:rPr>
          <w:spacing w:val="-1"/>
        </w:rPr>
        <w:t xml:space="preserve"> </w:t>
      </w:r>
      <w:r>
        <w:t>a</w:t>
      </w:r>
      <w:r>
        <w:rPr>
          <w:spacing w:val="-1"/>
        </w:rPr>
        <w:t xml:space="preserve"> </w:t>
      </w:r>
      <w:r>
        <w:t>right not to be deprived of his or her property except on fair and just terms. This right must be expressed in general</w:t>
      </w:r>
      <w:r>
        <w:rPr>
          <w:spacing w:val="-13"/>
        </w:rPr>
        <w:t xml:space="preserve"> </w:t>
      </w:r>
      <w:r>
        <w:t>terms</w:t>
      </w:r>
      <w:r>
        <w:rPr>
          <w:spacing w:val="-13"/>
        </w:rPr>
        <w:t xml:space="preserve"> </w:t>
      </w:r>
      <w:r>
        <w:t>to</w:t>
      </w:r>
      <w:r>
        <w:rPr>
          <w:spacing w:val="-12"/>
        </w:rPr>
        <w:t xml:space="preserve"> </w:t>
      </w:r>
      <w:r>
        <w:t>ensure</w:t>
      </w:r>
      <w:r>
        <w:rPr>
          <w:spacing w:val="-13"/>
        </w:rPr>
        <w:t xml:space="preserve"> </w:t>
      </w:r>
      <w:r>
        <w:t>that</w:t>
      </w:r>
      <w:r>
        <w:rPr>
          <w:spacing w:val="-13"/>
        </w:rPr>
        <w:t xml:space="preserve"> </w:t>
      </w:r>
      <w:r>
        <w:t>it</w:t>
      </w:r>
      <w:r>
        <w:rPr>
          <w:spacing w:val="-13"/>
        </w:rPr>
        <w:t xml:space="preserve"> </w:t>
      </w:r>
      <w:r>
        <w:t>covers</w:t>
      </w:r>
      <w:r>
        <w:rPr>
          <w:spacing w:val="-11"/>
        </w:rPr>
        <w:t xml:space="preserve"> </w:t>
      </w:r>
      <w:r>
        <w:t>deprivations</w:t>
      </w:r>
      <w:r>
        <w:rPr>
          <w:spacing w:val="-13"/>
        </w:rPr>
        <w:t xml:space="preserve"> </w:t>
      </w:r>
      <w:r>
        <w:t>of</w:t>
      </w:r>
      <w:r>
        <w:rPr>
          <w:spacing w:val="-11"/>
        </w:rPr>
        <w:t xml:space="preserve"> </w:t>
      </w:r>
      <w:r>
        <w:t>property</w:t>
      </w:r>
      <w:r>
        <w:rPr>
          <w:spacing w:val="-12"/>
        </w:rPr>
        <w:t xml:space="preserve"> </w:t>
      </w:r>
      <w:r>
        <w:t>by</w:t>
      </w:r>
      <w:r>
        <w:rPr>
          <w:spacing w:val="-13"/>
        </w:rPr>
        <w:t xml:space="preserve"> </w:t>
      </w:r>
      <w:r>
        <w:t>any</w:t>
      </w:r>
      <w:r>
        <w:rPr>
          <w:spacing w:val="-13"/>
        </w:rPr>
        <w:t xml:space="preserve"> </w:t>
      </w:r>
      <w:r>
        <w:t>means</w:t>
      </w:r>
      <w:r>
        <w:rPr>
          <w:spacing w:val="-13"/>
        </w:rPr>
        <w:t xml:space="preserve"> </w:t>
      </w:r>
      <w:r>
        <w:t>and</w:t>
      </w:r>
      <w:r>
        <w:rPr>
          <w:spacing w:val="-13"/>
        </w:rPr>
        <w:t xml:space="preserve"> </w:t>
      </w:r>
      <w:r>
        <w:t>also</w:t>
      </w:r>
      <w:r>
        <w:rPr>
          <w:spacing w:val="-13"/>
        </w:rPr>
        <w:t xml:space="preserve"> </w:t>
      </w:r>
      <w:r>
        <w:t xml:space="preserve">deprivations of all forms of property including realty, intellectual property and all other forms of personal </w:t>
      </w:r>
      <w:r>
        <w:rPr>
          <w:spacing w:val="-2"/>
        </w:rPr>
        <w:t>property.</w:t>
      </w:r>
    </w:p>
    <w:p w14:paraId="7CB263FF" w14:textId="77777777" w:rsidR="008A4099" w:rsidRDefault="006A6EE2">
      <w:pPr>
        <w:pStyle w:val="ListParagraph"/>
        <w:numPr>
          <w:ilvl w:val="0"/>
          <w:numId w:val="2"/>
        </w:numPr>
        <w:tabs>
          <w:tab w:val="left" w:pos="729"/>
        </w:tabs>
        <w:spacing w:before="164" w:line="252" w:lineRule="auto"/>
        <w:ind w:right="675"/>
      </w:pPr>
      <w:r>
        <w:t>The</w:t>
      </w:r>
      <w:r>
        <w:rPr>
          <w:spacing w:val="-7"/>
        </w:rPr>
        <w:t xml:space="preserve"> </w:t>
      </w:r>
      <w:r>
        <w:t>right</w:t>
      </w:r>
      <w:r>
        <w:rPr>
          <w:spacing w:val="-6"/>
        </w:rPr>
        <w:t xml:space="preserve"> </w:t>
      </w:r>
      <w:r>
        <w:t>to</w:t>
      </w:r>
      <w:r>
        <w:rPr>
          <w:spacing w:val="-7"/>
        </w:rPr>
        <w:t xml:space="preserve"> </w:t>
      </w:r>
      <w:r>
        <w:t>a</w:t>
      </w:r>
      <w:r>
        <w:rPr>
          <w:spacing w:val="-9"/>
        </w:rPr>
        <w:t xml:space="preserve"> </w:t>
      </w:r>
      <w:r>
        <w:t>fair</w:t>
      </w:r>
      <w:r>
        <w:rPr>
          <w:spacing w:val="-6"/>
        </w:rPr>
        <w:t xml:space="preserve"> </w:t>
      </w:r>
      <w:r>
        <w:t>hearing</w:t>
      </w:r>
      <w:r>
        <w:rPr>
          <w:spacing w:val="-10"/>
        </w:rPr>
        <w:t xml:space="preserve"> </w:t>
      </w:r>
      <w:r>
        <w:t>should</w:t>
      </w:r>
      <w:r>
        <w:rPr>
          <w:spacing w:val="-10"/>
        </w:rPr>
        <w:t xml:space="preserve"> </w:t>
      </w:r>
      <w:r>
        <w:t>be</w:t>
      </w:r>
      <w:r>
        <w:rPr>
          <w:spacing w:val="-7"/>
        </w:rPr>
        <w:t xml:space="preserve"> </w:t>
      </w:r>
      <w:r>
        <w:t>expressed</w:t>
      </w:r>
      <w:r>
        <w:rPr>
          <w:spacing w:val="-7"/>
        </w:rPr>
        <w:t xml:space="preserve"> </w:t>
      </w:r>
      <w:r>
        <w:t>broadly</w:t>
      </w:r>
      <w:r>
        <w:rPr>
          <w:spacing w:val="-10"/>
        </w:rPr>
        <w:t xml:space="preserve"> </w:t>
      </w:r>
      <w:r>
        <w:t>to</w:t>
      </w:r>
      <w:r>
        <w:rPr>
          <w:spacing w:val="-7"/>
        </w:rPr>
        <w:t xml:space="preserve"> </w:t>
      </w:r>
      <w:r>
        <w:t>encompass</w:t>
      </w:r>
      <w:r>
        <w:rPr>
          <w:spacing w:val="-6"/>
        </w:rPr>
        <w:t xml:space="preserve"> </w:t>
      </w:r>
      <w:r>
        <w:t>the</w:t>
      </w:r>
      <w:r>
        <w:rPr>
          <w:spacing w:val="-9"/>
        </w:rPr>
        <w:t xml:space="preserve"> </w:t>
      </w:r>
      <w:r>
        <w:t>rights</w:t>
      </w:r>
      <w:r>
        <w:rPr>
          <w:spacing w:val="-9"/>
        </w:rPr>
        <w:t xml:space="preserve"> </w:t>
      </w:r>
      <w:r>
        <w:t>of</w:t>
      </w:r>
      <w:r>
        <w:rPr>
          <w:spacing w:val="-9"/>
        </w:rPr>
        <w:t xml:space="preserve"> </w:t>
      </w:r>
      <w:r>
        <w:t>all</w:t>
      </w:r>
      <w:r>
        <w:rPr>
          <w:spacing w:val="-6"/>
        </w:rPr>
        <w:t xml:space="preserve"> </w:t>
      </w:r>
      <w:r>
        <w:t>participants in the process and should state that everyone has the right to have criminal charges, and rights and obligations recognised by law, decided by a competent, independent and impartial court, tribunal or administrative decision-making body after a fair and public hearing.</w:t>
      </w:r>
    </w:p>
    <w:p w14:paraId="7CB26400" w14:textId="77777777" w:rsidR="008A4099" w:rsidRDefault="006A6EE2">
      <w:pPr>
        <w:pStyle w:val="ListParagraph"/>
        <w:numPr>
          <w:ilvl w:val="0"/>
          <w:numId w:val="2"/>
        </w:numPr>
        <w:tabs>
          <w:tab w:val="left" w:pos="729"/>
        </w:tabs>
        <w:spacing w:before="173" w:line="254" w:lineRule="auto"/>
        <w:ind w:right="676"/>
      </w:pPr>
      <w:r>
        <w:t>There should be provision that everyone charged with a criminal offence shall have the right to be presumed innocent until proven guilty beyond reasonable doubt. The rights of an accused person in criminal trials should include the right to examine or have examined all the evidence against him or her and to adduce evidence on his or her own behalf. This right should not be limited to the examination of witnesses.</w:t>
      </w:r>
    </w:p>
    <w:p w14:paraId="7CB26401" w14:textId="77777777" w:rsidR="008A4099" w:rsidRDefault="006A6EE2">
      <w:pPr>
        <w:pStyle w:val="ListParagraph"/>
        <w:numPr>
          <w:ilvl w:val="0"/>
          <w:numId w:val="2"/>
        </w:numPr>
        <w:tabs>
          <w:tab w:val="left" w:pos="729"/>
        </w:tabs>
        <w:spacing w:before="165" w:line="249" w:lineRule="auto"/>
        <w:ind w:right="674"/>
      </w:pPr>
      <w:r>
        <w:t>The</w:t>
      </w:r>
      <w:r>
        <w:rPr>
          <w:spacing w:val="-5"/>
        </w:rPr>
        <w:t xml:space="preserve"> </w:t>
      </w:r>
      <w:r>
        <w:t>right</w:t>
      </w:r>
      <w:r>
        <w:rPr>
          <w:spacing w:val="-6"/>
        </w:rPr>
        <w:t xml:space="preserve"> </w:t>
      </w:r>
      <w:r>
        <w:t>to</w:t>
      </w:r>
      <w:r>
        <w:rPr>
          <w:spacing w:val="-7"/>
        </w:rPr>
        <w:t xml:space="preserve"> </w:t>
      </w:r>
      <w:r>
        <w:t>silence</w:t>
      </w:r>
      <w:r>
        <w:rPr>
          <w:spacing w:val="-4"/>
        </w:rPr>
        <w:t xml:space="preserve"> </w:t>
      </w:r>
      <w:r>
        <w:t>and</w:t>
      </w:r>
      <w:r>
        <w:rPr>
          <w:spacing w:val="-7"/>
        </w:rPr>
        <w:t xml:space="preserve"> </w:t>
      </w:r>
      <w:r>
        <w:t>the</w:t>
      </w:r>
      <w:r>
        <w:rPr>
          <w:spacing w:val="-7"/>
        </w:rPr>
        <w:t xml:space="preserve"> </w:t>
      </w:r>
      <w:r>
        <w:t>right</w:t>
      </w:r>
      <w:r>
        <w:rPr>
          <w:spacing w:val="-4"/>
        </w:rPr>
        <w:t xml:space="preserve"> </w:t>
      </w:r>
      <w:r>
        <w:t>not</w:t>
      </w:r>
      <w:r>
        <w:rPr>
          <w:spacing w:val="-4"/>
        </w:rPr>
        <w:t xml:space="preserve"> </w:t>
      </w:r>
      <w:r>
        <w:t>to</w:t>
      </w:r>
      <w:r>
        <w:rPr>
          <w:spacing w:val="-5"/>
        </w:rPr>
        <w:t xml:space="preserve"> </w:t>
      </w:r>
      <w:r>
        <w:t>incriminate</w:t>
      </w:r>
      <w:r>
        <w:rPr>
          <w:spacing w:val="-4"/>
        </w:rPr>
        <w:t xml:space="preserve"> </w:t>
      </w:r>
      <w:r>
        <w:t>oneself</w:t>
      </w:r>
      <w:r>
        <w:rPr>
          <w:spacing w:val="-4"/>
        </w:rPr>
        <w:t xml:space="preserve"> </w:t>
      </w:r>
      <w:r>
        <w:t>should</w:t>
      </w:r>
      <w:r>
        <w:rPr>
          <w:spacing w:val="-5"/>
        </w:rPr>
        <w:t xml:space="preserve"> </w:t>
      </w:r>
      <w:r>
        <w:t>be</w:t>
      </w:r>
      <w:r>
        <w:rPr>
          <w:spacing w:val="-4"/>
        </w:rPr>
        <w:t xml:space="preserve"> </w:t>
      </w:r>
      <w:r>
        <w:t>protected</w:t>
      </w:r>
      <w:r>
        <w:rPr>
          <w:spacing w:val="-4"/>
        </w:rPr>
        <w:t xml:space="preserve"> </w:t>
      </w:r>
      <w:r>
        <w:t>at</w:t>
      </w:r>
      <w:r>
        <w:rPr>
          <w:spacing w:val="-4"/>
        </w:rPr>
        <w:t xml:space="preserve"> </w:t>
      </w:r>
      <w:r>
        <w:t>the</w:t>
      </w:r>
      <w:r>
        <w:rPr>
          <w:spacing w:val="-4"/>
        </w:rPr>
        <w:t xml:space="preserve"> </w:t>
      </w:r>
      <w:r>
        <w:t>pre-trial</w:t>
      </w:r>
      <w:r>
        <w:rPr>
          <w:spacing w:val="-6"/>
        </w:rPr>
        <w:t xml:space="preserve"> </w:t>
      </w:r>
      <w:r>
        <w:t>as well as at the trial stages of the criminal justice process. A recommended formulation is set out at para [4.16.31].</w:t>
      </w:r>
    </w:p>
    <w:p w14:paraId="7CB26402" w14:textId="77777777" w:rsidR="008A4099" w:rsidRDefault="006A6EE2">
      <w:pPr>
        <w:pStyle w:val="ListParagraph"/>
        <w:numPr>
          <w:ilvl w:val="0"/>
          <w:numId w:val="2"/>
        </w:numPr>
        <w:tabs>
          <w:tab w:val="left" w:pos="729"/>
        </w:tabs>
        <w:spacing w:before="171" w:line="249" w:lineRule="auto"/>
        <w:ind w:right="673"/>
      </w:pPr>
      <w:r>
        <w:t xml:space="preserve">The right to self-determination modelled on clause 12 of the ACT Bill of Rights Consultation Committee’s draft Human Rights Bill appended to the Committee’s Report, </w:t>
      </w:r>
      <w:r>
        <w:rPr>
          <w:i/>
        </w:rPr>
        <w:t xml:space="preserve">Towards an ACT Human Rights Act </w:t>
      </w:r>
      <w:r>
        <w:t>should be enacted in the Tasmanian Charter.</w:t>
      </w:r>
    </w:p>
    <w:p w14:paraId="7CB26403" w14:textId="77777777" w:rsidR="008A4099" w:rsidRDefault="006A6EE2">
      <w:pPr>
        <w:pStyle w:val="ListParagraph"/>
        <w:numPr>
          <w:ilvl w:val="0"/>
          <w:numId w:val="2"/>
        </w:numPr>
        <w:tabs>
          <w:tab w:val="left" w:pos="729"/>
        </w:tabs>
        <w:spacing w:before="172" w:line="242" w:lineRule="auto"/>
        <w:ind w:right="683"/>
      </w:pPr>
      <w:r>
        <w:t>A provision protecting the</w:t>
      </w:r>
      <w:r>
        <w:rPr>
          <w:spacing w:val="-1"/>
        </w:rPr>
        <w:t xml:space="preserve"> </w:t>
      </w:r>
      <w:r>
        <w:t>cultural rights of Indigenous Tasmanians and other minority cultural groups modelled on s 19 of the Victorian Charter should be included in the Tasmanian Charter.</w:t>
      </w:r>
    </w:p>
    <w:p w14:paraId="7CB26404" w14:textId="77777777" w:rsidR="008A4099" w:rsidRDefault="006A6EE2">
      <w:pPr>
        <w:pStyle w:val="ListParagraph"/>
        <w:numPr>
          <w:ilvl w:val="0"/>
          <w:numId w:val="2"/>
        </w:numPr>
        <w:tabs>
          <w:tab w:val="left" w:pos="729"/>
        </w:tabs>
        <w:spacing w:before="176" w:line="249" w:lineRule="auto"/>
        <w:ind w:right="674"/>
      </w:pPr>
      <w:r>
        <w:t>The</w:t>
      </w:r>
      <w:r>
        <w:rPr>
          <w:spacing w:val="-9"/>
        </w:rPr>
        <w:t xml:space="preserve"> </w:t>
      </w:r>
      <w:r>
        <w:t>right</w:t>
      </w:r>
      <w:r>
        <w:rPr>
          <w:spacing w:val="-10"/>
        </w:rPr>
        <w:t xml:space="preserve"> </w:t>
      </w:r>
      <w:r>
        <w:t>to</w:t>
      </w:r>
      <w:r>
        <w:rPr>
          <w:spacing w:val="-11"/>
        </w:rPr>
        <w:t xml:space="preserve"> </w:t>
      </w:r>
      <w:r>
        <w:t>a</w:t>
      </w:r>
      <w:r>
        <w:rPr>
          <w:spacing w:val="-11"/>
        </w:rPr>
        <w:t xml:space="preserve"> </w:t>
      </w:r>
      <w:r>
        <w:t>clean</w:t>
      </w:r>
      <w:r>
        <w:rPr>
          <w:spacing w:val="-11"/>
        </w:rPr>
        <w:t xml:space="preserve"> </w:t>
      </w:r>
      <w:r>
        <w:t>and</w:t>
      </w:r>
      <w:r>
        <w:rPr>
          <w:spacing w:val="-11"/>
        </w:rPr>
        <w:t xml:space="preserve"> </w:t>
      </w:r>
      <w:r>
        <w:t>safe</w:t>
      </w:r>
      <w:r>
        <w:rPr>
          <w:spacing w:val="-11"/>
        </w:rPr>
        <w:t xml:space="preserve"> </w:t>
      </w:r>
      <w:r>
        <w:t>environment</w:t>
      </w:r>
      <w:r>
        <w:rPr>
          <w:spacing w:val="-10"/>
        </w:rPr>
        <w:t xml:space="preserve"> </w:t>
      </w:r>
      <w:r>
        <w:t>and</w:t>
      </w:r>
      <w:r>
        <w:rPr>
          <w:spacing w:val="-11"/>
        </w:rPr>
        <w:t xml:space="preserve"> </w:t>
      </w:r>
      <w:r>
        <w:t>to</w:t>
      </w:r>
      <w:r>
        <w:rPr>
          <w:spacing w:val="-11"/>
        </w:rPr>
        <w:t xml:space="preserve"> </w:t>
      </w:r>
      <w:r>
        <w:t>the</w:t>
      </w:r>
      <w:r>
        <w:rPr>
          <w:spacing w:val="-11"/>
        </w:rPr>
        <w:t xml:space="preserve"> </w:t>
      </w:r>
      <w:r>
        <w:t>protection</w:t>
      </w:r>
      <w:r>
        <w:rPr>
          <w:spacing w:val="-9"/>
        </w:rPr>
        <w:t xml:space="preserve"> </w:t>
      </w:r>
      <w:r>
        <w:t>of</w:t>
      </w:r>
      <w:r>
        <w:rPr>
          <w:spacing w:val="-10"/>
        </w:rPr>
        <w:t xml:space="preserve"> </w:t>
      </w:r>
      <w:r>
        <w:t>the</w:t>
      </w:r>
      <w:r>
        <w:rPr>
          <w:spacing w:val="-11"/>
        </w:rPr>
        <w:t xml:space="preserve"> </w:t>
      </w:r>
      <w:r>
        <w:t>environment</w:t>
      </w:r>
      <w:r>
        <w:rPr>
          <w:spacing w:val="-10"/>
        </w:rPr>
        <w:t xml:space="preserve"> </w:t>
      </w:r>
      <w:r>
        <w:t>from</w:t>
      </w:r>
      <w:r>
        <w:rPr>
          <w:spacing w:val="-10"/>
        </w:rPr>
        <w:t xml:space="preserve"> </w:t>
      </w:r>
      <w:r>
        <w:t>pollution and</w:t>
      </w:r>
      <w:r>
        <w:rPr>
          <w:spacing w:val="-14"/>
        </w:rPr>
        <w:t xml:space="preserve"> </w:t>
      </w:r>
      <w:r>
        <w:t>ecological</w:t>
      </w:r>
      <w:r>
        <w:rPr>
          <w:spacing w:val="-14"/>
        </w:rPr>
        <w:t xml:space="preserve"> </w:t>
      </w:r>
      <w:r>
        <w:t>degradation</w:t>
      </w:r>
      <w:r>
        <w:rPr>
          <w:spacing w:val="-14"/>
        </w:rPr>
        <w:t xml:space="preserve"> </w:t>
      </w:r>
      <w:r>
        <w:t>modelled</w:t>
      </w:r>
      <w:r>
        <w:rPr>
          <w:spacing w:val="-13"/>
        </w:rPr>
        <w:t xml:space="preserve"> </w:t>
      </w:r>
      <w:r>
        <w:t>on</w:t>
      </w:r>
      <w:r>
        <w:rPr>
          <w:spacing w:val="-14"/>
        </w:rPr>
        <w:t xml:space="preserve"> </w:t>
      </w:r>
      <w:r>
        <w:t>s</w:t>
      </w:r>
      <w:r>
        <w:rPr>
          <w:spacing w:val="-14"/>
        </w:rPr>
        <w:t xml:space="preserve"> </w:t>
      </w:r>
      <w:r>
        <w:t>24</w:t>
      </w:r>
      <w:r>
        <w:rPr>
          <w:spacing w:val="-14"/>
        </w:rPr>
        <w:t xml:space="preserve"> </w:t>
      </w:r>
      <w:r>
        <w:t>of</w:t>
      </w:r>
      <w:r>
        <w:rPr>
          <w:spacing w:val="-13"/>
        </w:rPr>
        <w:t xml:space="preserve"> </w:t>
      </w:r>
      <w:r>
        <w:t>the</w:t>
      </w:r>
      <w:r>
        <w:rPr>
          <w:spacing w:val="-14"/>
        </w:rPr>
        <w:t xml:space="preserve"> </w:t>
      </w:r>
      <w:r>
        <w:t>South</w:t>
      </w:r>
      <w:r>
        <w:rPr>
          <w:spacing w:val="-14"/>
        </w:rPr>
        <w:t xml:space="preserve"> </w:t>
      </w:r>
      <w:r>
        <w:t>African</w:t>
      </w:r>
      <w:r>
        <w:rPr>
          <w:spacing w:val="-10"/>
        </w:rPr>
        <w:t xml:space="preserve"> </w:t>
      </w:r>
      <w:r>
        <w:rPr>
          <w:i/>
        </w:rPr>
        <w:t>Bill</w:t>
      </w:r>
      <w:r>
        <w:rPr>
          <w:i/>
          <w:spacing w:val="-13"/>
        </w:rPr>
        <w:t xml:space="preserve"> </w:t>
      </w:r>
      <w:r>
        <w:rPr>
          <w:i/>
        </w:rPr>
        <w:t>of</w:t>
      </w:r>
      <w:r>
        <w:rPr>
          <w:i/>
          <w:spacing w:val="-13"/>
        </w:rPr>
        <w:t xml:space="preserve"> </w:t>
      </w:r>
      <w:r>
        <w:rPr>
          <w:i/>
        </w:rPr>
        <w:t>Rights</w:t>
      </w:r>
      <w:r>
        <w:rPr>
          <w:i/>
          <w:spacing w:val="-13"/>
        </w:rPr>
        <w:t xml:space="preserve"> </w:t>
      </w:r>
      <w:r>
        <w:t>should</w:t>
      </w:r>
      <w:r>
        <w:rPr>
          <w:spacing w:val="-14"/>
        </w:rPr>
        <w:t xml:space="preserve"> </w:t>
      </w:r>
      <w:r>
        <w:t>be</w:t>
      </w:r>
      <w:r>
        <w:rPr>
          <w:spacing w:val="-14"/>
        </w:rPr>
        <w:t xml:space="preserve"> </w:t>
      </w:r>
      <w:r>
        <w:t>enacted in the Tasmanian Charter.</w:t>
      </w:r>
    </w:p>
    <w:p w14:paraId="7CB26405" w14:textId="77777777" w:rsidR="008A4099" w:rsidRDefault="006A6EE2">
      <w:pPr>
        <w:pStyle w:val="ListParagraph"/>
        <w:numPr>
          <w:ilvl w:val="0"/>
          <w:numId w:val="2"/>
        </w:numPr>
        <w:tabs>
          <w:tab w:val="left" w:pos="729"/>
        </w:tabs>
        <w:spacing w:before="171" w:line="249" w:lineRule="auto"/>
        <w:ind w:right="680"/>
      </w:pPr>
      <w:r>
        <w:t>Other</w:t>
      </w:r>
      <w:r>
        <w:rPr>
          <w:spacing w:val="-13"/>
        </w:rPr>
        <w:t xml:space="preserve"> </w:t>
      </w:r>
      <w:r>
        <w:t>civil</w:t>
      </w:r>
      <w:r>
        <w:rPr>
          <w:spacing w:val="-11"/>
        </w:rPr>
        <w:t xml:space="preserve"> </w:t>
      </w:r>
      <w:r>
        <w:t>and</w:t>
      </w:r>
      <w:r>
        <w:rPr>
          <w:spacing w:val="-12"/>
        </w:rPr>
        <w:t xml:space="preserve"> </w:t>
      </w:r>
      <w:r>
        <w:t>political</w:t>
      </w:r>
      <w:r>
        <w:rPr>
          <w:spacing w:val="-13"/>
        </w:rPr>
        <w:t xml:space="preserve"> </w:t>
      </w:r>
      <w:r>
        <w:t>rights</w:t>
      </w:r>
      <w:r>
        <w:rPr>
          <w:spacing w:val="-11"/>
        </w:rPr>
        <w:t xml:space="preserve"> </w:t>
      </w:r>
      <w:r>
        <w:t>and</w:t>
      </w:r>
      <w:r>
        <w:rPr>
          <w:spacing w:val="-12"/>
        </w:rPr>
        <w:t xml:space="preserve"> </w:t>
      </w:r>
      <w:r>
        <w:t>economic,</w:t>
      </w:r>
      <w:r>
        <w:rPr>
          <w:spacing w:val="-12"/>
        </w:rPr>
        <w:t xml:space="preserve"> </w:t>
      </w:r>
      <w:r>
        <w:t>social</w:t>
      </w:r>
      <w:r>
        <w:rPr>
          <w:spacing w:val="-13"/>
        </w:rPr>
        <w:t xml:space="preserve"> </w:t>
      </w:r>
      <w:r>
        <w:t>and</w:t>
      </w:r>
      <w:r>
        <w:rPr>
          <w:spacing w:val="-12"/>
        </w:rPr>
        <w:t xml:space="preserve"> </w:t>
      </w:r>
      <w:r>
        <w:t>cultural</w:t>
      </w:r>
      <w:r>
        <w:rPr>
          <w:spacing w:val="-11"/>
        </w:rPr>
        <w:t xml:space="preserve"> </w:t>
      </w:r>
      <w:r>
        <w:t>rights</w:t>
      </w:r>
      <w:r>
        <w:rPr>
          <w:spacing w:val="-14"/>
        </w:rPr>
        <w:t xml:space="preserve"> </w:t>
      </w:r>
      <w:r>
        <w:t>listed</w:t>
      </w:r>
      <w:r>
        <w:rPr>
          <w:spacing w:val="-12"/>
        </w:rPr>
        <w:t xml:space="preserve"> </w:t>
      </w:r>
      <w:r>
        <w:t>in</w:t>
      </w:r>
      <w:r>
        <w:rPr>
          <w:spacing w:val="-12"/>
        </w:rPr>
        <w:t xml:space="preserve"> </w:t>
      </w:r>
      <w:r>
        <w:t>Recommendation 16 should be included and modified and adapted to the Tasmanian context as recommended at para [4.14.25].</w:t>
      </w:r>
    </w:p>
    <w:p w14:paraId="7CB26406" w14:textId="77777777" w:rsidR="008A4099" w:rsidRDefault="008A4099">
      <w:pPr>
        <w:pStyle w:val="BodyText"/>
        <w:spacing w:before="118"/>
      </w:pPr>
    </w:p>
    <w:p w14:paraId="7CB26407" w14:textId="77777777" w:rsidR="008A4099" w:rsidRDefault="006A6EE2">
      <w:pPr>
        <w:pStyle w:val="Heading5"/>
      </w:pPr>
      <w:r>
        <w:t>Recommendation</w:t>
      </w:r>
      <w:r>
        <w:rPr>
          <w:spacing w:val="-3"/>
        </w:rPr>
        <w:t xml:space="preserve"> </w:t>
      </w:r>
      <w:r>
        <w:t>18</w:t>
      </w:r>
      <w:r>
        <w:rPr>
          <w:spacing w:val="-3"/>
        </w:rPr>
        <w:t xml:space="preserve"> </w:t>
      </w:r>
      <w:r>
        <w:t>–</w:t>
      </w:r>
      <w:r>
        <w:rPr>
          <w:spacing w:val="-3"/>
        </w:rPr>
        <w:t xml:space="preserve"> </w:t>
      </w:r>
      <w:r>
        <w:rPr>
          <w:spacing w:val="-2"/>
        </w:rPr>
        <w:t>Responsibilities</w:t>
      </w:r>
    </w:p>
    <w:p w14:paraId="7CB26408" w14:textId="77777777" w:rsidR="008A4099" w:rsidRDefault="006A6EE2">
      <w:pPr>
        <w:pStyle w:val="ListParagraph"/>
        <w:numPr>
          <w:ilvl w:val="0"/>
          <w:numId w:val="2"/>
        </w:numPr>
        <w:tabs>
          <w:tab w:val="left" w:pos="729"/>
        </w:tabs>
        <w:spacing w:before="223"/>
        <w:ind w:right="683"/>
      </w:pPr>
      <w:r>
        <w:t xml:space="preserve">It is not necessary to include in a Tasmanian Charter separate provisions relating to </w:t>
      </w:r>
      <w:r>
        <w:rPr>
          <w:spacing w:val="-2"/>
        </w:rPr>
        <w:t>responsibilities.</w:t>
      </w:r>
    </w:p>
    <w:p w14:paraId="7CB26409" w14:textId="77777777" w:rsidR="008A4099" w:rsidRDefault="006A6EE2">
      <w:pPr>
        <w:pStyle w:val="ListParagraph"/>
        <w:numPr>
          <w:ilvl w:val="0"/>
          <w:numId w:val="2"/>
        </w:numPr>
        <w:tabs>
          <w:tab w:val="left" w:pos="729"/>
        </w:tabs>
        <w:spacing w:before="181"/>
        <w:ind w:right="682"/>
      </w:pPr>
      <w:r>
        <w:t xml:space="preserve">It is not necessary to include the word ‘responsibilities’ in the proposed title of the Tasmanian </w:t>
      </w:r>
      <w:r>
        <w:rPr>
          <w:spacing w:val="-2"/>
        </w:rPr>
        <w:t>Charter.</w:t>
      </w:r>
    </w:p>
    <w:p w14:paraId="7CB2640A" w14:textId="77777777" w:rsidR="008A4099" w:rsidRDefault="006A6EE2">
      <w:pPr>
        <w:pStyle w:val="ListParagraph"/>
        <w:numPr>
          <w:ilvl w:val="0"/>
          <w:numId w:val="2"/>
        </w:numPr>
        <w:tabs>
          <w:tab w:val="left" w:pos="729"/>
        </w:tabs>
        <w:spacing w:before="181" w:line="249" w:lineRule="auto"/>
        <w:ind w:right="679"/>
      </w:pPr>
      <w:r>
        <w:t>The preamble of a Tasmanian Charter should set down the principles on which it is founded including</w:t>
      </w:r>
      <w:r>
        <w:rPr>
          <w:spacing w:val="-2"/>
        </w:rPr>
        <w:t xml:space="preserve"> </w:t>
      </w:r>
      <w:r>
        <w:t>the</w:t>
      </w:r>
      <w:r>
        <w:rPr>
          <w:spacing w:val="-2"/>
        </w:rPr>
        <w:t xml:space="preserve"> </w:t>
      </w:r>
      <w:r>
        <w:t>principle</w:t>
      </w:r>
      <w:r>
        <w:rPr>
          <w:spacing w:val="-4"/>
        </w:rPr>
        <w:t xml:space="preserve"> </w:t>
      </w:r>
      <w:r>
        <w:t>that</w:t>
      </w:r>
      <w:r>
        <w:rPr>
          <w:spacing w:val="-4"/>
        </w:rPr>
        <w:t xml:space="preserve"> </w:t>
      </w:r>
      <w:r>
        <w:t>human</w:t>
      </w:r>
      <w:r>
        <w:rPr>
          <w:spacing w:val="-4"/>
        </w:rPr>
        <w:t xml:space="preserve"> </w:t>
      </w:r>
      <w:r>
        <w:t>beings</w:t>
      </w:r>
      <w:r>
        <w:rPr>
          <w:spacing w:val="-4"/>
        </w:rPr>
        <w:t xml:space="preserve"> </w:t>
      </w:r>
      <w:r>
        <w:t>are</w:t>
      </w:r>
      <w:r>
        <w:rPr>
          <w:spacing w:val="-2"/>
        </w:rPr>
        <w:t xml:space="preserve"> </w:t>
      </w:r>
      <w:r>
        <w:t>the</w:t>
      </w:r>
      <w:r>
        <w:rPr>
          <w:spacing w:val="-2"/>
        </w:rPr>
        <w:t xml:space="preserve"> </w:t>
      </w:r>
      <w:r>
        <w:t>holders</w:t>
      </w:r>
      <w:r>
        <w:rPr>
          <w:spacing w:val="-2"/>
        </w:rPr>
        <w:t xml:space="preserve"> </w:t>
      </w:r>
      <w:r>
        <w:t>of</w:t>
      </w:r>
      <w:r>
        <w:rPr>
          <w:spacing w:val="-2"/>
        </w:rPr>
        <w:t xml:space="preserve"> </w:t>
      </w:r>
      <w:r>
        <w:t>rights</w:t>
      </w:r>
      <w:r>
        <w:rPr>
          <w:spacing w:val="-2"/>
        </w:rPr>
        <w:t xml:space="preserve"> </w:t>
      </w:r>
      <w:r>
        <w:t>and</w:t>
      </w:r>
      <w:r>
        <w:rPr>
          <w:spacing w:val="-2"/>
        </w:rPr>
        <w:t xml:space="preserve"> </w:t>
      </w:r>
      <w:r>
        <w:t>that</w:t>
      </w:r>
      <w:r>
        <w:rPr>
          <w:spacing w:val="-3"/>
        </w:rPr>
        <w:t xml:space="preserve"> </w:t>
      </w:r>
      <w:r>
        <w:t>they</w:t>
      </w:r>
      <w:r>
        <w:rPr>
          <w:spacing w:val="-2"/>
        </w:rPr>
        <w:t xml:space="preserve"> </w:t>
      </w:r>
      <w:r>
        <w:t>have</w:t>
      </w:r>
      <w:r>
        <w:rPr>
          <w:spacing w:val="-2"/>
        </w:rPr>
        <w:t xml:space="preserve"> </w:t>
      </w:r>
      <w:r>
        <w:t>the</w:t>
      </w:r>
      <w:r>
        <w:rPr>
          <w:spacing w:val="-2"/>
        </w:rPr>
        <w:t xml:space="preserve"> </w:t>
      </w:r>
      <w:r>
        <w:t>duty</w:t>
      </w:r>
      <w:r>
        <w:rPr>
          <w:spacing w:val="-5"/>
        </w:rPr>
        <w:t xml:space="preserve"> </w:t>
      </w:r>
      <w:r>
        <w:t>to promote and uphold the rights of all other human beings.</w:t>
      </w:r>
    </w:p>
    <w:p w14:paraId="7CB2640B" w14:textId="77777777" w:rsidR="008A4099" w:rsidRDefault="008A4099">
      <w:pPr>
        <w:spacing w:line="249" w:lineRule="auto"/>
        <w:jc w:val="both"/>
        <w:sectPr w:rsidR="008A4099" w:rsidSect="00D43B2D">
          <w:pgSz w:w="11910" w:h="16840"/>
          <w:pgMar w:top="980" w:right="760" w:bottom="940" w:left="1280" w:header="718" w:footer="753" w:gutter="0"/>
          <w:cols w:space="720"/>
        </w:sectPr>
      </w:pPr>
    </w:p>
    <w:p w14:paraId="7CB2640C" w14:textId="77777777" w:rsidR="008A4099" w:rsidRDefault="008A4099">
      <w:pPr>
        <w:pStyle w:val="BodyText"/>
        <w:spacing w:before="196"/>
      </w:pPr>
    </w:p>
    <w:p w14:paraId="7CB2640D" w14:textId="77777777" w:rsidR="008A4099" w:rsidRDefault="006A6EE2">
      <w:pPr>
        <w:pStyle w:val="Heading5"/>
        <w:spacing w:before="1"/>
      </w:pPr>
      <w:r>
        <w:t>Recommendation</w:t>
      </w:r>
      <w:r>
        <w:rPr>
          <w:spacing w:val="-3"/>
        </w:rPr>
        <w:t xml:space="preserve"> </w:t>
      </w:r>
      <w:r>
        <w:t>19</w:t>
      </w:r>
      <w:r>
        <w:rPr>
          <w:spacing w:val="-3"/>
        </w:rPr>
        <w:t xml:space="preserve"> </w:t>
      </w:r>
      <w:r>
        <w:t>–</w:t>
      </w:r>
      <w:r>
        <w:rPr>
          <w:spacing w:val="-3"/>
        </w:rPr>
        <w:t xml:space="preserve"> </w:t>
      </w:r>
      <w:r>
        <w:rPr>
          <w:spacing w:val="-2"/>
        </w:rPr>
        <w:t>Enforcement</w:t>
      </w:r>
    </w:p>
    <w:p w14:paraId="7CB2640E" w14:textId="77777777" w:rsidR="008A4099" w:rsidRDefault="006A6EE2">
      <w:pPr>
        <w:pStyle w:val="ListParagraph"/>
        <w:numPr>
          <w:ilvl w:val="0"/>
          <w:numId w:val="2"/>
        </w:numPr>
        <w:tabs>
          <w:tab w:val="left" w:pos="729"/>
        </w:tabs>
        <w:spacing w:line="254" w:lineRule="auto"/>
        <w:ind w:right="676"/>
      </w:pPr>
      <w:r>
        <w:t xml:space="preserve">The Tasmanian Charter of Human Rights should contain express provision that where a public authority has acted in a way or proposes to act in a way that is made unlawful by the Charter, a person who is or would be the victim of that unlawful act may bring proceedings against the authority in the Supreme Court of Tasmania or may rely on the Charter rights in any legal </w:t>
      </w:r>
      <w:r>
        <w:rPr>
          <w:spacing w:val="-2"/>
        </w:rPr>
        <w:t>proceedings.</w:t>
      </w:r>
    </w:p>
    <w:p w14:paraId="7CB2640F" w14:textId="77777777" w:rsidR="008A4099" w:rsidRDefault="006A6EE2">
      <w:pPr>
        <w:pStyle w:val="ListParagraph"/>
        <w:numPr>
          <w:ilvl w:val="0"/>
          <w:numId w:val="2"/>
        </w:numPr>
        <w:tabs>
          <w:tab w:val="left" w:pos="729"/>
        </w:tabs>
        <w:spacing w:before="167" w:line="252" w:lineRule="auto"/>
        <w:ind w:right="675"/>
      </w:pPr>
      <w:r>
        <w:t>The Tasmanian Charter should state that the Supreme Court may grant such remedy or relief or make</w:t>
      </w:r>
      <w:r>
        <w:rPr>
          <w:spacing w:val="-5"/>
        </w:rPr>
        <w:t xml:space="preserve"> </w:t>
      </w:r>
      <w:r>
        <w:t>such</w:t>
      </w:r>
      <w:r>
        <w:rPr>
          <w:spacing w:val="-3"/>
        </w:rPr>
        <w:t xml:space="preserve"> </w:t>
      </w:r>
      <w:r>
        <w:t>order</w:t>
      </w:r>
      <w:r>
        <w:rPr>
          <w:spacing w:val="-3"/>
        </w:rPr>
        <w:t xml:space="preserve"> </w:t>
      </w:r>
      <w:r>
        <w:t>as</w:t>
      </w:r>
      <w:r>
        <w:rPr>
          <w:spacing w:val="-5"/>
        </w:rPr>
        <w:t xml:space="preserve"> </w:t>
      </w:r>
      <w:r>
        <w:t>it</w:t>
      </w:r>
      <w:r>
        <w:rPr>
          <w:spacing w:val="-5"/>
        </w:rPr>
        <w:t xml:space="preserve"> </w:t>
      </w:r>
      <w:r>
        <w:t>considers</w:t>
      </w:r>
      <w:r>
        <w:rPr>
          <w:spacing w:val="-6"/>
        </w:rPr>
        <w:t xml:space="preserve"> </w:t>
      </w:r>
      <w:r>
        <w:t>just</w:t>
      </w:r>
      <w:r>
        <w:rPr>
          <w:spacing w:val="-5"/>
        </w:rPr>
        <w:t xml:space="preserve"> </w:t>
      </w:r>
      <w:r>
        <w:t>and</w:t>
      </w:r>
      <w:r>
        <w:rPr>
          <w:spacing w:val="-6"/>
        </w:rPr>
        <w:t xml:space="preserve"> </w:t>
      </w:r>
      <w:r>
        <w:t>appropriate</w:t>
      </w:r>
      <w:r>
        <w:rPr>
          <w:spacing w:val="-6"/>
        </w:rPr>
        <w:t xml:space="preserve"> </w:t>
      </w:r>
      <w:r>
        <w:t>in</w:t>
      </w:r>
      <w:r>
        <w:rPr>
          <w:spacing w:val="-9"/>
        </w:rPr>
        <w:t xml:space="preserve"> </w:t>
      </w:r>
      <w:r>
        <w:t>the</w:t>
      </w:r>
      <w:r>
        <w:rPr>
          <w:spacing w:val="-6"/>
        </w:rPr>
        <w:t xml:space="preserve"> </w:t>
      </w:r>
      <w:r>
        <w:t>circumstances</w:t>
      </w:r>
      <w:r>
        <w:rPr>
          <w:spacing w:val="-5"/>
        </w:rPr>
        <w:t xml:space="preserve"> </w:t>
      </w:r>
      <w:r>
        <w:t>in</w:t>
      </w:r>
      <w:r>
        <w:rPr>
          <w:spacing w:val="-6"/>
        </w:rPr>
        <w:t xml:space="preserve"> </w:t>
      </w:r>
      <w:r>
        <w:t>relation</w:t>
      </w:r>
      <w:r>
        <w:rPr>
          <w:spacing w:val="-4"/>
        </w:rPr>
        <w:t xml:space="preserve"> </w:t>
      </w:r>
      <w:r>
        <w:t>to</w:t>
      </w:r>
      <w:r>
        <w:rPr>
          <w:spacing w:val="-6"/>
        </w:rPr>
        <w:t xml:space="preserve"> </w:t>
      </w:r>
      <w:r>
        <w:t>any</w:t>
      </w:r>
      <w:r>
        <w:rPr>
          <w:spacing w:val="-6"/>
        </w:rPr>
        <w:t xml:space="preserve"> </w:t>
      </w:r>
      <w:r>
        <w:t>act</w:t>
      </w:r>
      <w:r>
        <w:rPr>
          <w:spacing w:val="-3"/>
        </w:rPr>
        <w:t xml:space="preserve"> </w:t>
      </w:r>
      <w:r>
        <w:t xml:space="preserve">or proposed act of a public authority which it finds is or would be unlawful under the Tasmanian </w:t>
      </w:r>
      <w:r>
        <w:rPr>
          <w:spacing w:val="-2"/>
        </w:rPr>
        <w:t>Charter.</w:t>
      </w:r>
    </w:p>
    <w:p w14:paraId="7CB26410" w14:textId="77777777" w:rsidR="008A4099" w:rsidRDefault="008A4099">
      <w:pPr>
        <w:pStyle w:val="BodyText"/>
        <w:spacing w:before="115"/>
      </w:pPr>
    </w:p>
    <w:p w14:paraId="7CB26411" w14:textId="77777777" w:rsidR="008A4099" w:rsidRDefault="006A6EE2">
      <w:pPr>
        <w:pStyle w:val="Heading5"/>
        <w:spacing w:before="1"/>
      </w:pPr>
      <w:r>
        <w:t>Recommendation</w:t>
      </w:r>
      <w:r>
        <w:rPr>
          <w:spacing w:val="-3"/>
        </w:rPr>
        <w:t xml:space="preserve"> </w:t>
      </w:r>
      <w:r>
        <w:t>20</w:t>
      </w:r>
      <w:r>
        <w:rPr>
          <w:spacing w:val="-3"/>
        </w:rPr>
        <w:t xml:space="preserve"> </w:t>
      </w:r>
      <w:r>
        <w:t>–</w:t>
      </w:r>
      <w:r>
        <w:rPr>
          <w:spacing w:val="-3"/>
        </w:rPr>
        <w:t xml:space="preserve"> </w:t>
      </w:r>
      <w:r>
        <w:t>Review</w:t>
      </w:r>
      <w:r>
        <w:rPr>
          <w:spacing w:val="-3"/>
        </w:rPr>
        <w:t xml:space="preserve"> </w:t>
      </w:r>
      <w:r>
        <w:t>of</w:t>
      </w:r>
      <w:r>
        <w:rPr>
          <w:spacing w:val="-2"/>
        </w:rPr>
        <w:t xml:space="preserve"> </w:t>
      </w:r>
      <w:r>
        <w:t>the</w:t>
      </w:r>
      <w:r>
        <w:rPr>
          <w:spacing w:val="-3"/>
        </w:rPr>
        <w:t xml:space="preserve"> </w:t>
      </w:r>
      <w:r>
        <w:rPr>
          <w:spacing w:val="-2"/>
        </w:rPr>
        <w:t>Charter</w:t>
      </w:r>
    </w:p>
    <w:p w14:paraId="7CB26412" w14:textId="77777777" w:rsidR="008A4099" w:rsidRDefault="006A6EE2">
      <w:pPr>
        <w:pStyle w:val="ListParagraph"/>
        <w:numPr>
          <w:ilvl w:val="0"/>
          <w:numId w:val="2"/>
        </w:numPr>
        <w:tabs>
          <w:tab w:val="left" w:pos="729"/>
        </w:tabs>
        <w:spacing w:before="222"/>
        <w:ind w:right="677"/>
      </w:pPr>
      <w:r>
        <w:t>The Tasmanian Law Reform Institute recommends that the operation of the Tasmanian Charter be comprehensively reviewed after four and eight years from the date of its commencement.</w:t>
      </w:r>
    </w:p>
    <w:p w14:paraId="7CB26413" w14:textId="77777777" w:rsidR="008A4099" w:rsidRDefault="006A6EE2">
      <w:pPr>
        <w:pStyle w:val="ListParagraph"/>
        <w:numPr>
          <w:ilvl w:val="0"/>
          <w:numId w:val="2"/>
        </w:numPr>
        <w:tabs>
          <w:tab w:val="left" w:pos="729"/>
        </w:tabs>
        <w:spacing w:before="182" w:line="242" w:lineRule="auto"/>
        <w:ind w:right="679"/>
      </w:pPr>
      <w:r>
        <w:t>The review should be conducted by an independent body such as the proposed Office of the Tasmanian Human Rights Commissioner and should involve public consultation.</w:t>
      </w:r>
    </w:p>
    <w:p w14:paraId="7CB26414" w14:textId="77777777" w:rsidR="008A4099" w:rsidRDefault="006A6EE2">
      <w:pPr>
        <w:pStyle w:val="ListParagraph"/>
        <w:numPr>
          <w:ilvl w:val="0"/>
          <w:numId w:val="2"/>
        </w:numPr>
        <w:tabs>
          <w:tab w:val="left" w:pos="728"/>
        </w:tabs>
        <w:spacing w:before="176"/>
        <w:ind w:left="728" w:hanging="285"/>
        <w:jc w:val="left"/>
      </w:pPr>
      <w:r>
        <w:t>The</w:t>
      </w:r>
      <w:r>
        <w:rPr>
          <w:spacing w:val="-4"/>
        </w:rPr>
        <w:t xml:space="preserve"> </w:t>
      </w:r>
      <w:r>
        <w:t>review</w:t>
      </w:r>
      <w:r>
        <w:rPr>
          <w:spacing w:val="-5"/>
        </w:rPr>
        <w:t xml:space="preserve"> </w:t>
      </w:r>
      <w:r>
        <w:t>should</w:t>
      </w:r>
      <w:r>
        <w:rPr>
          <w:spacing w:val="-3"/>
        </w:rPr>
        <w:t xml:space="preserve"> </w:t>
      </w:r>
      <w:r>
        <w:t>assess</w:t>
      </w:r>
      <w:r>
        <w:rPr>
          <w:spacing w:val="-4"/>
        </w:rPr>
        <w:t xml:space="preserve"> </w:t>
      </w:r>
      <w:r>
        <w:t>the</w:t>
      </w:r>
      <w:r>
        <w:rPr>
          <w:spacing w:val="-3"/>
        </w:rPr>
        <w:t xml:space="preserve"> </w:t>
      </w:r>
      <w:r>
        <w:t>following</w:t>
      </w:r>
      <w:r>
        <w:rPr>
          <w:spacing w:val="-5"/>
        </w:rPr>
        <w:t xml:space="preserve"> </w:t>
      </w:r>
      <w:r>
        <w:rPr>
          <w:spacing w:val="-2"/>
        </w:rPr>
        <w:t>matters:</w:t>
      </w:r>
    </w:p>
    <w:p w14:paraId="7CB26415" w14:textId="77777777" w:rsidR="008A4099" w:rsidRDefault="006A6EE2">
      <w:pPr>
        <w:pStyle w:val="ListParagraph"/>
        <w:numPr>
          <w:ilvl w:val="1"/>
          <w:numId w:val="2"/>
        </w:numPr>
        <w:tabs>
          <w:tab w:val="left" w:pos="1576"/>
          <w:tab w:val="left" w:pos="1578"/>
        </w:tabs>
        <w:spacing w:before="160" w:line="249" w:lineRule="auto"/>
        <w:ind w:right="680"/>
      </w:pPr>
      <w:r>
        <w:t>Whether the model implemented, (for example, the ‘dialogue model’), is operating to protect</w:t>
      </w:r>
      <w:r>
        <w:rPr>
          <w:spacing w:val="-6"/>
        </w:rPr>
        <w:t xml:space="preserve"> </w:t>
      </w:r>
      <w:r>
        <w:t>human</w:t>
      </w:r>
      <w:r>
        <w:rPr>
          <w:spacing w:val="-7"/>
        </w:rPr>
        <w:t xml:space="preserve"> </w:t>
      </w:r>
      <w:r>
        <w:t>rights</w:t>
      </w:r>
      <w:r>
        <w:rPr>
          <w:spacing w:val="-6"/>
        </w:rPr>
        <w:t xml:space="preserve"> </w:t>
      </w:r>
      <w:r>
        <w:t>and</w:t>
      </w:r>
      <w:r>
        <w:rPr>
          <w:spacing w:val="-4"/>
        </w:rPr>
        <w:t xml:space="preserve"> </w:t>
      </w:r>
      <w:r>
        <w:t>whether</w:t>
      </w:r>
      <w:r>
        <w:rPr>
          <w:spacing w:val="-6"/>
        </w:rPr>
        <w:t xml:space="preserve"> </w:t>
      </w:r>
      <w:r>
        <w:t>it</w:t>
      </w:r>
      <w:r>
        <w:rPr>
          <w:spacing w:val="-6"/>
        </w:rPr>
        <w:t xml:space="preserve"> </w:t>
      </w:r>
      <w:r>
        <w:t>should</w:t>
      </w:r>
      <w:r>
        <w:rPr>
          <w:spacing w:val="-5"/>
        </w:rPr>
        <w:t xml:space="preserve"> </w:t>
      </w:r>
      <w:r>
        <w:t>be</w:t>
      </w:r>
      <w:r>
        <w:rPr>
          <w:spacing w:val="-7"/>
        </w:rPr>
        <w:t xml:space="preserve"> </w:t>
      </w:r>
      <w:r>
        <w:t>amended</w:t>
      </w:r>
      <w:r>
        <w:rPr>
          <w:spacing w:val="-5"/>
        </w:rPr>
        <w:t xml:space="preserve"> </w:t>
      </w:r>
      <w:r>
        <w:t>to</w:t>
      </w:r>
      <w:r>
        <w:rPr>
          <w:spacing w:val="-5"/>
        </w:rPr>
        <w:t xml:space="preserve"> </w:t>
      </w:r>
      <w:r>
        <w:t>enact</w:t>
      </w:r>
      <w:r>
        <w:rPr>
          <w:spacing w:val="-4"/>
        </w:rPr>
        <w:t xml:space="preserve"> </w:t>
      </w:r>
      <w:r>
        <w:t>a</w:t>
      </w:r>
      <w:r>
        <w:rPr>
          <w:spacing w:val="-4"/>
        </w:rPr>
        <w:t xml:space="preserve"> </w:t>
      </w:r>
      <w:r>
        <w:t>different</w:t>
      </w:r>
      <w:r>
        <w:rPr>
          <w:spacing w:val="-4"/>
        </w:rPr>
        <w:t xml:space="preserve"> </w:t>
      </w:r>
      <w:r>
        <w:t>model,</w:t>
      </w:r>
      <w:r>
        <w:rPr>
          <w:spacing w:val="-5"/>
        </w:rPr>
        <w:t xml:space="preserve"> </w:t>
      </w:r>
      <w:r>
        <w:t>(for example, an entrenched model), to strengthen the protection of human rights;</w:t>
      </w:r>
    </w:p>
    <w:p w14:paraId="7CB26416" w14:textId="77777777" w:rsidR="008A4099" w:rsidRDefault="006A6EE2">
      <w:pPr>
        <w:pStyle w:val="ListParagraph"/>
        <w:numPr>
          <w:ilvl w:val="1"/>
          <w:numId w:val="2"/>
        </w:numPr>
        <w:tabs>
          <w:tab w:val="left" w:pos="1578"/>
        </w:tabs>
        <w:spacing w:before="172"/>
        <w:ind w:hanging="566"/>
        <w:jc w:val="left"/>
      </w:pPr>
      <w:r>
        <w:t>Whether</w:t>
      </w:r>
      <w:r>
        <w:rPr>
          <w:spacing w:val="-4"/>
        </w:rPr>
        <w:t xml:space="preserve"> </w:t>
      </w:r>
      <w:r>
        <w:t>additional</w:t>
      </w:r>
      <w:r>
        <w:rPr>
          <w:spacing w:val="-2"/>
        </w:rPr>
        <w:t xml:space="preserve"> </w:t>
      </w:r>
      <w:r>
        <w:t>rights</w:t>
      </w:r>
      <w:r>
        <w:rPr>
          <w:spacing w:val="-5"/>
        </w:rPr>
        <w:t xml:space="preserve"> </w:t>
      </w:r>
      <w:r>
        <w:t>should</w:t>
      </w:r>
      <w:r>
        <w:rPr>
          <w:spacing w:val="-3"/>
        </w:rPr>
        <w:t xml:space="preserve"> </w:t>
      </w:r>
      <w:r>
        <w:t>be</w:t>
      </w:r>
      <w:r>
        <w:rPr>
          <w:spacing w:val="-2"/>
        </w:rPr>
        <w:t xml:space="preserve"> </w:t>
      </w:r>
      <w:r>
        <w:t>included</w:t>
      </w:r>
      <w:r>
        <w:rPr>
          <w:spacing w:val="-5"/>
        </w:rPr>
        <w:t xml:space="preserve"> </w:t>
      </w:r>
      <w:r>
        <w:t>in</w:t>
      </w:r>
      <w:r>
        <w:rPr>
          <w:spacing w:val="-6"/>
        </w:rPr>
        <w:t xml:space="preserve"> </w:t>
      </w:r>
      <w:r>
        <w:t>the</w:t>
      </w:r>
      <w:r>
        <w:rPr>
          <w:spacing w:val="-2"/>
        </w:rPr>
        <w:t xml:space="preserve"> Charter;</w:t>
      </w:r>
    </w:p>
    <w:p w14:paraId="7CB26417" w14:textId="77777777" w:rsidR="008A4099" w:rsidRDefault="006A6EE2">
      <w:pPr>
        <w:pStyle w:val="ListParagraph"/>
        <w:numPr>
          <w:ilvl w:val="1"/>
          <w:numId w:val="2"/>
        </w:numPr>
        <w:tabs>
          <w:tab w:val="left" w:pos="1576"/>
          <w:tab w:val="left" w:pos="1578"/>
        </w:tabs>
        <w:spacing w:before="163"/>
        <w:ind w:right="684"/>
      </w:pPr>
      <w:r>
        <w:t>Whether the Charter is fostering the development of a culture of human rights awareness across government and in the community;</w:t>
      </w:r>
    </w:p>
    <w:p w14:paraId="7CB26418" w14:textId="77777777" w:rsidR="008A4099" w:rsidRDefault="006A6EE2">
      <w:pPr>
        <w:pStyle w:val="ListParagraph"/>
        <w:numPr>
          <w:ilvl w:val="1"/>
          <w:numId w:val="2"/>
        </w:numPr>
        <w:tabs>
          <w:tab w:val="left" w:pos="1576"/>
          <w:tab w:val="left" w:pos="1578"/>
        </w:tabs>
        <w:spacing w:before="181" w:line="249" w:lineRule="auto"/>
        <w:ind w:right="681"/>
      </w:pPr>
      <w:r>
        <w:t>Whether the different arms</w:t>
      </w:r>
      <w:r>
        <w:rPr>
          <w:spacing w:val="-1"/>
        </w:rPr>
        <w:t xml:space="preserve"> </w:t>
      </w:r>
      <w:r>
        <w:t>of government are</w:t>
      </w:r>
      <w:r>
        <w:rPr>
          <w:spacing w:val="-1"/>
        </w:rPr>
        <w:t xml:space="preserve"> </w:t>
      </w:r>
      <w:r>
        <w:t>implementing and</w:t>
      </w:r>
      <w:r>
        <w:rPr>
          <w:spacing w:val="-1"/>
        </w:rPr>
        <w:t xml:space="preserve"> </w:t>
      </w:r>
      <w:r>
        <w:t xml:space="preserve">applying the Charter effectively and whether changes need to be made to improve compliance with the </w:t>
      </w:r>
      <w:r>
        <w:rPr>
          <w:spacing w:val="-2"/>
        </w:rPr>
        <w:t>Charter;</w:t>
      </w:r>
    </w:p>
    <w:p w14:paraId="7CB26419" w14:textId="77777777" w:rsidR="008A4099" w:rsidRDefault="006A6EE2">
      <w:pPr>
        <w:pStyle w:val="ListParagraph"/>
        <w:numPr>
          <w:ilvl w:val="1"/>
          <w:numId w:val="2"/>
        </w:numPr>
        <w:tabs>
          <w:tab w:val="left" w:pos="1576"/>
          <w:tab w:val="left" w:pos="1578"/>
        </w:tabs>
        <w:spacing w:before="172" w:line="252" w:lineRule="auto"/>
        <w:ind w:right="679"/>
      </w:pPr>
      <w:r>
        <w:t>Where the enacted Charter differs from the recommendations made in this report, or where an incremental approach has been adopted in respect of rights protection, whether the full recommendations in this report should be introduced and/or what further</w:t>
      </w:r>
      <w:r>
        <w:rPr>
          <w:spacing w:val="-5"/>
        </w:rPr>
        <w:t xml:space="preserve"> </w:t>
      </w:r>
      <w:r>
        <w:t>steps</w:t>
      </w:r>
      <w:r>
        <w:rPr>
          <w:spacing w:val="-7"/>
        </w:rPr>
        <w:t xml:space="preserve"> </w:t>
      </w:r>
      <w:r>
        <w:t>should</w:t>
      </w:r>
      <w:r>
        <w:rPr>
          <w:spacing w:val="-6"/>
        </w:rPr>
        <w:t xml:space="preserve"> </w:t>
      </w:r>
      <w:r>
        <w:t>be</w:t>
      </w:r>
      <w:r>
        <w:rPr>
          <w:spacing w:val="-8"/>
        </w:rPr>
        <w:t xml:space="preserve"> </w:t>
      </w:r>
      <w:r>
        <w:t>taken</w:t>
      </w:r>
      <w:r>
        <w:rPr>
          <w:spacing w:val="-6"/>
        </w:rPr>
        <w:t xml:space="preserve"> </w:t>
      </w:r>
      <w:r>
        <w:t>to</w:t>
      </w:r>
      <w:r>
        <w:rPr>
          <w:spacing w:val="-8"/>
        </w:rPr>
        <w:t xml:space="preserve"> </w:t>
      </w:r>
      <w:r>
        <w:t>achieve</w:t>
      </w:r>
      <w:r>
        <w:rPr>
          <w:spacing w:val="-8"/>
        </w:rPr>
        <w:t xml:space="preserve"> </w:t>
      </w:r>
      <w:r>
        <w:t>the</w:t>
      </w:r>
      <w:r>
        <w:rPr>
          <w:spacing w:val="-8"/>
        </w:rPr>
        <w:t xml:space="preserve"> </w:t>
      </w:r>
      <w:r>
        <w:t>progressive</w:t>
      </w:r>
      <w:r>
        <w:rPr>
          <w:spacing w:val="-8"/>
        </w:rPr>
        <w:t xml:space="preserve"> </w:t>
      </w:r>
      <w:r>
        <w:t>realisation</w:t>
      </w:r>
      <w:r>
        <w:rPr>
          <w:spacing w:val="-6"/>
        </w:rPr>
        <w:t xml:space="preserve"> </w:t>
      </w:r>
      <w:r>
        <w:t>of</w:t>
      </w:r>
      <w:r>
        <w:rPr>
          <w:spacing w:val="-7"/>
        </w:rPr>
        <w:t xml:space="preserve"> </w:t>
      </w:r>
      <w:r>
        <w:t>rights</w:t>
      </w:r>
      <w:r>
        <w:rPr>
          <w:spacing w:val="-8"/>
        </w:rPr>
        <w:t xml:space="preserve"> </w:t>
      </w:r>
      <w:r>
        <w:t>protection;</w:t>
      </w:r>
    </w:p>
    <w:p w14:paraId="7CB2641A" w14:textId="77777777" w:rsidR="008A4099" w:rsidRDefault="006A6EE2">
      <w:pPr>
        <w:pStyle w:val="ListParagraph"/>
        <w:numPr>
          <w:ilvl w:val="1"/>
          <w:numId w:val="2"/>
        </w:numPr>
        <w:tabs>
          <w:tab w:val="left" w:pos="1576"/>
          <w:tab w:val="left" w:pos="1578"/>
        </w:tabs>
        <w:spacing w:before="169" w:line="242" w:lineRule="auto"/>
        <w:ind w:right="681"/>
      </w:pPr>
      <w:r>
        <w:t>If a ‘dialogue model’ is enacted, the extent to which the Parliament and executive respond to declarations made by the courts;</w:t>
      </w:r>
    </w:p>
    <w:p w14:paraId="7CB2641B" w14:textId="77777777" w:rsidR="008A4099" w:rsidRDefault="006A6EE2">
      <w:pPr>
        <w:pStyle w:val="ListParagraph"/>
        <w:numPr>
          <w:ilvl w:val="1"/>
          <w:numId w:val="2"/>
        </w:numPr>
        <w:tabs>
          <w:tab w:val="left" w:pos="1576"/>
          <w:tab w:val="left" w:pos="1578"/>
        </w:tabs>
        <w:spacing w:before="179" w:line="249" w:lineRule="auto"/>
        <w:ind w:right="681"/>
      </w:pPr>
      <w:r>
        <w:t>Whether the definition of ‘public authority’ should include private businesses and enterprises that receive public funding and that carry out functions that have a public benefit including non-government schools and private health services;</w:t>
      </w:r>
    </w:p>
    <w:p w14:paraId="7CB2641C" w14:textId="77777777" w:rsidR="008A4099" w:rsidRDefault="006A6EE2">
      <w:pPr>
        <w:pStyle w:val="ListParagraph"/>
        <w:numPr>
          <w:ilvl w:val="1"/>
          <w:numId w:val="2"/>
        </w:numPr>
        <w:tabs>
          <w:tab w:val="left" w:pos="1576"/>
          <w:tab w:val="left" w:pos="1578"/>
        </w:tabs>
        <w:spacing w:before="171"/>
        <w:ind w:right="683"/>
      </w:pPr>
      <w:r>
        <w:t>Whether</w:t>
      </w:r>
      <w:r>
        <w:rPr>
          <w:spacing w:val="-8"/>
        </w:rPr>
        <w:t xml:space="preserve"> </w:t>
      </w:r>
      <w:r>
        <w:t>the</w:t>
      </w:r>
      <w:r>
        <w:rPr>
          <w:spacing w:val="-7"/>
        </w:rPr>
        <w:t xml:space="preserve"> </w:t>
      </w:r>
      <w:r>
        <w:t>Charter</w:t>
      </w:r>
      <w:r>
        <w:rPr>
          <w:spacing w:val="-6"/>
        </w:rPr>
        <w:t xml:space="preserve"> </w:t>
      </w:r>
      <w:r>
        <w:t>should</w:t>
      </w:r>
      <w:r>
        <w:rPr>
          <w:spacing w:val="-10"/>
        </w:rPr>
        <w:t xml:space="preserve"> </w:t>
      </w:r>
      <w:r>
        <w:t>bind</w:t>
      </w:r>
      <w:r>
        <w:rPr>
          <w:spacing w:val="-7"/>
        </w:rPr>
        <w:t xml:space="preserve"> </w:t>
      </w:r>
      <w:r>
        <w:t>not</w:t>
      </w:r>
      <w:r>
        <w:rPr>
          <w:spacing w:val="-6"/>
        </w:rPr>
        <w:t xml:space="preserve"> </w:t>
      </w:r>
      <w:r>
        <w:t>only</w:t>
      </w:r>
      <w:r>
        <w:rPr>
          <w:spacing w:val="-7"/>
        </w:rPr>
        <w:t xml:space="preserve"> </w:t>
      </w:r>
      <w:r>
        <w:t>public</w:t>
      </w:r>
      <w:r>
        <w:rPr>
          <w:spacing w:val="-7"/>
        </w:rPr>
        <w:t xml:space="preserve"> </w:t>
      </w:r>
      <w:r>
        <w:t>authorities</w:t>
      </w:r>
      <w:r>
        <w:rPr>
          <w:spacing w:val="-6"/>
        </w:rPr>
        <w:t xml:space="preserve"> </w:t>
      </w:r>
      <w:r>
        <w:t>but</w:t>
      </w:r>
      <w:r>
        <w:rPr>
          <w:spacing w:val="-6"/>
        </w:rPr>
        <w:t xml:space="preserve"> </w:t>
      </w:r>
      <w:r>
        <w:t>all</w:t>
      </w:r>
      <w:r>
        <w:rPr>
          <w:spacing w:val="-6"/>
        </w:rPr>
        <w:t xml:space="preserve"> </w:t>
      </w:r>
      <w:r>
        <w:t>citizens</w:t>
      </w:r>
      <w:r>
        <w:rPr>
          <w:spacing w:val="-6"/>
        </w:rPr>
        <w:t xml:space="preserve"> </w:t>
      </w:r>
      <w:r>
        <w:t>and</w:t>
      </w:r>
      <w:r>
        <w:rPr>
          <w:spacing w:val="-7"/>
        </w:rPr>
        <w:t xml:space="preserve"> </w:t>
      </w:r>
      <w:r>
        <w:t>entities in the community.</w:t>
      </w:r>
    </w:p>
    <w:p w14:paraId="7CB2641D" w14:textId="77777777" w:rsidR="008A4099" w:rsidRDefault="008A4099">
      <w:pPr>
        <w:jc w:val="both"/>
        <w:sectPr w:rsidR="008A4099" w:rsidSect="00D43B2D">
          <w:pgSz w:w="11910" w:h="16840"/>
          <w:pgMar w:top="980" w:right="760" w:bottom="940" w:left="1280" w:header="718" w:footer="753" w:gutter="0"/>
          <w:cols w:space="720"/>
        </w:sectPr>
      </w:pPr>
    </w:p>
    <w:p w14:paraId="7CB2641E" w14:textId="77777777" w:rsidR="008A4099" w:rsidRDefault="008A4099">
      <w:pPr>
        <w:pStyle w:val="BodyText"/>
        <w:spacing w:before="196"/>
      </w:pPr>
    </w:p>
    <w:p w14:paraId="7CB2641F" w14:textId="77777777" w:rsidR="008A4099" w:rsidRDefault="006A6EE2">
      <w:pPr>
        <w:pStyle w:val="Heading5"/>
        <w:spacing w:before="1"/>
      </w:pPr>
      <w:r>
        <w:t>Recommendation</w:t>
      </w:r>
      <w:r>
        <w:rPr>
          <w:spacing w:val="-4"/>
        </w:rPr>
        <w:t xml:space="preserve"> </w:t>
      </w:r>
      <w:r>
        <w:t>21</w:t>
      </w:r>
      <w:r>
        <w:rPr>
          <w:spacing w:val="-4"/>
        </w:rPr>
        <w:t xml:space="preserve"> </w:t>
      </w:r>
      <w:r>
        <w:t>–</w:t>
      </w:r>
      <w:r>
        <w:rPr>
          <w:spacing w:val="-4"/>
        </w:rPr>
        <w:t xml:space="preserve"> </w:t>
      </w:r>
      <w:r>
        <w:t>Education</w:t>
      </w:r>
      <w:r>
        <w:rPr>
          <w:spacing w:val="-3"/>
        </w:rPr>
        <w:t xml:space="preserve"> </w:t>
      </w:r>
      <w:r>
        <w:rPr>
          <w:spacing w:val="-2"/>
        </w:rPr>
        <w:t>programs</w:t>
      </w:r>
    </w:p>
    <w:p w14:paraId="7CB26420" w14:textId="77777777" w:rsidR="008A4099" w:rsidRDefault="006A6EE2">
      <w:pPr>
        <w:pStyle w:val="BodyText"/>
        <w:spacing w:before="220"/>
        <w:ind w:left="160"/>
      </w:pPr>
      <w:r>
        <w:t>The</w:t>
      </w:r>
      <w:r>
        <w:rPr>
          <w:spacing w:val="-7"/>
        </w:rPr>
        <w:t xml:space="preserve"> </w:t>
      </w:r>
      <w:r>
        <w:t>Tasmanian</w:t>
      </w:r>
      <w:r>
        <w:rPr>
          <w:spacing w:val="-6"/>
        </w:rPr>
        <w:t xml:space="preserve"> </w:t>
      </w:r>
      <w:r>
        <w:t>government</w:t>
      </w:r>
      <w:r>
        <w:rPr>
          <w:spacing w:val="-3"/>
        </w:rPr>
        <w:t xml:space="preserve"> </w:t>
      </w:r>
      <w:r>
        <w:t>should</w:t>
      </w:r>
      <w:r>
        <w:rPr>
          <w:spacing w:val="-7"/>
        </w:rPr>
        <w:t xml:space="preserve"> </w:t>
      </w:r>
      <w:r>
        <w:t>implement</w:t>
      </w:r>
      <w:r>
        <w:rPr>
          <w:spacing w:val="-6"/>
        </w:rPr>
        <w:t xml:space="preserve"> </w:t>
      </w:r>
      <w:r>
        <w:t>and</w:t>
      </w:r>
      <w:r>
        <w:rPr>
          <w:spacing w:val="-5"/>
        </w:rPr>
        <w:t xml:space="preserve"> </w:t>
      </w:r>
      <w:r>
        <w:t>support</w:t>
      </w:r>
      <w:r>
        <w:rPr>
          <w:spacing w:val="-6"/>
        </w:rPr>
        <w:t xml:space="preserve"> </w:t>
      </w:r>
      <w:r>
        <w:t>the</w:t>
      </w:r>
      <w:r>
        <w:rPr>
          <w:spacing w:val="-6"/>
        </w:rPr>
        <w:t xml:space="preserve"> </w:t>
      </w:r>
      <w:r>
        <w:t>following</w:t>
      </w:r>
      <w:r>
        <w:rPr>
          <w:spacing w:val="-4"/>
        </w:rPr>
        <w:t xml:space="preserve"> </w:t>
      </w:r>
      <w:r>
        <w:t>education</w:t>
      </w:r>
      <w:r>
        <w:rPr>
          <w:spacing w:val="-4"/>
        </w:rPr>
        <w:t xml:space="preserve"> </w:t>
      </w:r>
      <w:r>
        <w:rPr>
          <w:spacing w:val="-2"/>
        </w:rPr>
        <w:t>programs:</w:t>
      </w:r>
    </w:p>
    <w:p w14:paraId="7CB26421" w14:textId="77777777" w:rsidR="008A4099" w:rsidRDefault="006A6EE2">
      <w:pPr>
        <w:pStyle w:val="ListParagraph"/>
        <w:numPr>
          <w:ilvl w:val="0"/>
          <w:numId w:val="2"/>
        </w:numPr>
        <w:tabs>
          <w:tab w:val="left" w:pos="729"/>
        </w:tabs>
        <w:spacing w:line="249" w:lineRule="auto"/>
        <w:ind w:right="680"/>
      </w:pPr>
      <w:r>
        <w:t>Those</w:t>
      </w:r>
      <w:r>
        <w:rPr>
          <w:spacing w:val="-8"/>
        </w:rPr>
        <w:t xml:space="preserve"> </w:t>
      </w:r>
      <w:r>
        <w:t>working</w:t>
      </w:r>
      <w:r>
        <w:rPr>
          <w:spacing w:val="-11"/>
        </w:rPr>
        <w:t xml:space="preserve"> </w:t>
      </w:r>
      <w:r>
        <w:t>for</w:t>
      </w:r>
      <w:r>
        <w:rPr>
          <w:spacing w:val="-7"/>
        </w:rPr>
        <w:t xml:space="preserve"> </w:t>
      </w:r>
      <w:r>
        <w:t>public</w:t>
      </w:r>
      <w:r>
        <w:rPr>
          <w:spacing w:val="-10"/>
        </w:rPr>
        <w:t xml:space="preserve"> </w:t>
      </w:r>
      <w:r>
        <w:t>authorities</w:t>
      </w:r>
      <w:r>
        <w:rPr>
          <w:spacing w:val="-10"/>
        </w:rPr>
        <w:t xml:space="preserve"> </w:t>
      </w:r>
      <w:r>
        <w:t>(government</w:t>
      </w:r>
      <w:r>
        <w:rPr>
          <w:spacing w:val="-10"/>
        </w:rPr>
        <w:t xml:space="preserve"> </w:t>
      </w:r>
      <w:r>
        <w:t>departments,</w:t>
      </w:r>
      <w:r>
        <w:rPr>
          <w:spacing w:val="-10"/>
        </w:rPr>
        <w:t xml:space="preserve"> </w:t>
      </w:r>
      <w:r>
        <w:t>the</w:t>
      </w:r>
      <w:r>
        <w:rPr>
          <w:spacing w:val="-10"/>
        </w:rPr>
        <w:t xml:space="preserve"> </w:t>
      </w:r>
      <w:r>
        <w:t>police,</w:t>
      </w:r>
      <w:r>
        <w:rPr>
          <w:spacing w:val="-11"/>
        </w:rPr>
        <w:t xml:space="preserve"> </w:t>
      </w:r>
      <w:r>
        <w:t>local</w:t>
      </w:r>
      <w:r>
        <w:rPr>
          <w:spacing w:val="-10"/>
        </w:rPr>
        <w:t xml:space="preserve"> </w:t>
      </w:r>
      <w:r>
        <w:t>government</w:t>
      </w:r>
      <w:r>
        <w:rPr>
          <w:spacing w:val="-10"/>
        </w:rPr>
        <w:t xml:space="preserve"> </w:t>
      </w:r>
      <w:r>
        <w:t>and any other body falling within the definition of ‘public</w:t>
      </w:r>
      <w:r>
        <w:rPr>
          <w:spacing w:val="-2"/>
        </w:rPr>
        <w:t xml:space="preserve"> </w:t>
      </w:r>
      <w:r>
        <w:t>authority’</w:t>
      </w:r>
      <w:r>
        <w:rPr>
          <w:spacing w:val="-2"/>
        </w:rPr>
        <w:t xml:space="preserve"> </w:t>
      </w:r>
      <w:r>
        <w:t>under the Charter) should have access to human rights training and education;</w:t>
      </w:r>
    </w:p>
    <w:p w14:paraId="7CB26422" w14:textId="77777777" w:rsidR="008A4099" w:rsidRDefault="006A6EE2">
      <w:pPr>
        <w:pStyle w:val="ListParagraph"/>
        <w:numPr>
          <w:ilvl w:val="0"/>
          <w:numId w:val="2"/>
        </w:numPr>
        <w:tabs>
          <w:tab w:val="left" w:pos="729"/>
        </w:tabs>
        <w:spacing w:before="171" w:line="242" w:lineRule="auto"/>
        <w:ind w:right="682"/>
      </w:pPr>
      <w:r>
        <w:t>Judges, magistrates and members of tribunals should have access to human rights training and education programs;</w:t>
      </w:r>
    </w:p>
    <w:p w14:paraId="7CB26423" w14:textId="77777777" w:rsidR="008A4099" w:rsidRDefault="006A6EE2">
      <w:pPr>
        <w:pStyle w:val="ListParagraph"/>
        <w:numPr>
          <w:ilvl w:val="0"/>
          <w:numId w:val="2"/>
        </w:numPr>
        <w:tabs>
          <w:tab w:val="left" w:pos="729"/>
        </w:tabs>
        <w:spacing w:before="176" w:line="242" w:lineRule="auto"/>
        <w:ind w:right="680"/>
      </w:pPr>
      <w:r>
        <w:t>Members of Parliament and their staff should have access to human rights education programs and</w:t>
      </w:r>
      <w:r>
        <w:rPr>
          <w:spacing w:val="-7"/>
        </w:rPr>
        <w:t xml:space="preserve"> </w:t>
      </w:r>
      <w:r>
        <w:t>to</w:t>
      </w:r>
      <w:r>
        <w:rPr>
          <w:spacing w:val="-7"/>
        </w:rPr>
        <w:t xml:space="preserve"> </w:t>
      </w:r>
      <w:r>
        <w:t>programs</w:t>
      </w:r>
      <w:r>
        <w:rPr>
          <w:spacing w:val="-9"/>
        </w:rPr>
        <w:t xml:space="preserve"> </w:t>
      </w:r>
      <w:r>
        <w:t>relating</w:t>
      </w:r>
      <w:r>
        <w:rPr>
          <w:spacing w:val="-7"/>
        </w:rPr>
        <w:t xml:space="preserve"> </w:t>
      </w:r>
      <w:r>
        <w:t>specifically</w:t>
      </w:r>
      <w:r>
        <w:rPr>
          <w:spacing w:val="-10"/>
        </w:rPr>
        <w:t xml:space="preserve"> </w:t>
      </w:r>
      <w:r>
        <w:t>to</w:t>
      </w:r>
      <w:r>
        <w:rPr>
          <w:spacing w:val="-10"/>
        </w:rPr>
        <w:t xml:space="preserve"> </w:t>
      </w:r>
      <w:r>
        <w:t>the</w:t>
      </w:r>
      <w:r>
        <w:rPr>
          <w:spacing w:val="-7"/>
        </w:rPr>
        <w:t xml:space="preserve"> </w:t>
      </w:r>
      <w:r>
        <w:t>operation</w:t>
      </w:r>
      <w:r>
        <w:rPr>
          <w:spacing w:val="-7"/>
        </w:rPr>
        <w:t xml:space="preserve"> </w:t>
      </w:r>
      <w:r>
        <w:t>of</w:t>
      </w:r>
      <w:r>
        <w:rPr>
          <w:spacing w:val="-6"/>
        </w:rPr>
        <w:t xml:space="preserve"> </w:t>
      </w:r>
      <w:r>
        <w:t>the</w:t>
      </w:r>
      <w:r>
        <w:rPr>
          <w:spacing w:val="-7"/>
        </w:rPr>
        <w:t xml:space="preserve"> </w:t>
      </w:r>
      <w:r>
        <w:t>Charter</w:t>
      </w:r>
      <w:r>
        <w:rPr>
          <w:spacing w:val="-6"/>
        </w:rPr>
        <w:t xml:space="preserve"> </w:t>
      </w:r>
      <w:r>
        <w:t>within</w:t>
      </w:r>
      <w:r>
        <w:rPr>
          <w:spacing w:val="-10"/>
        </w:rPr>
        <w:t xml:space="preserve"> </w:t>
      </w:r>
      <w:r>
        <w:t>the</w:t>
      </w:r>
      <w:r>
        <w:rPr>
          <w:spacing w:val="-9"/>
        </w:rPr>
        <w:t xml:space="preserve"> </w:t>
      </w:r>
      <w:r>
        <w:t>legislative</w:t>
      </w:r>
      <w:r>
        <w:rPr>
          <w:spacing w:val="-7"/>
        </w:rPr>
        <w:t xml:space="preserve"> </w:t>
      </w:r>
      <w:r>
        <w:t>sphere;</w:t>
      </w:r>
    </w:p>
    <w:p w14:paraId="7CB26424" w14:textId="77777777" w:rsidR="008A4099" w:rsidRDefault="006A6EE2">
      <w:pPr>
        <w:pStyle w:val="ListParagraph"/>
        <w:numPr>
          <w:ilvl w:val="0"/>
          <w:numId w:val="2"/>
        </w:numPr>
        <w:tabs>
          <w:tab w:val="left" w:pos="729"/>
        </w:tabs>
        <w:spacing w:before="176" w:line="242" w:lineRule="auto"/>
        <w:ind w:right="682"/>
      </w:pPr>
      <w:r>
        <w:t>Members of the legal profession should have access to human rights education as part of the continuing education programs conducted within the profession;</w:t>
      </w:r>
    </w:p>
    <w:p w14:paraId="7CB26425" w14:textId="77777777" w:rsidR="008A4099" w:rsidRDefault="006A6EE2">
      <w:pPr>
        <w:pStyle w:val="ListParagraph"/>
        <w:numPr>
          <w:ilvl w:val="0"/>
          <w:numId w:val="2"/>
        </w:numPr>
        <w:tabs>
          <w:tab w:val="left" w:pos="729"/>
        </w:tabs>
        <w:spacing w:before="179"/>
        <w:ind w:right="682"/>
      </w:pPr>
      <w:r>
        <w:t>Education programs and strategies should be developed for the community, schools, businesses and community based organisations.</w:t>
      </w:r>
    </w:p>
    <w:p w14:paraId="7CB26426" w14:textId="77777777" w:rsidR="008A4099" w:rsidRDefault="006A6EE2">
      <w:pPr>
        <w:pStyle w:val="Heading5"/>
        <w:spacing w:before="241"/>
      </w:pPr>
      <w:r>
        <w:t>Recommendation</w:t>
      </w:r>
      <w:r>
        <w:rPr>
          <w:spacing w:val="-4"/>
        </w:rPr>
        <w:t xml:space="preserve"> </w:t>
      </w:r>
      <w:r>
        <w:t>22</w:t>
      </w:r>
      <w:r>
        <w:rPr>
          <w:spacing w:val="-3"/>
        </w:rPr>
        <w:t xml:space="preserve"> </w:t>
      </w:r>
      <w:r>
        <w:t>–</w:t>
      </w:r>
      <w:r>
        <w:rPr>
          <w:spacing w:val="-7"/>
        </w:rPr>
        <w:t xml:space="preserve"> </w:t>
      </w:r>
      <w:r>
        <w:t>Human</w:t>
      </w:r>
      <w:r>
        <w:rPr>
          <w:spacing w:val="-3"/>
        </w:rPr>
        <w:t xml:space="preserve"> </w:t>
      </w:r>
      <w:r>
        <w:t>rights</w:t>
      </w:r>
      <w:r>
        <w:rPr>
          <w:spacing w:val="-3"/>
        </w:rPr>
        <w:t xml:space="preserve"> </w:t>
      </w:r>
      <w:r>
        <w:rPr>
          <w:spacing w:val="-4"/>
        </w:rPr>
        <w:t>unit</w:t>
      </w:r>
    </w:p>
    <w:p w14:paraId="7CB26427" w14:textId="77777777" w:rsidR="008A4099" w:rsidRDefault="006A6EE2">
      <w:pPr>
        <w:pStyle w:val="BodyText"/>
        <w:spacing w:before="220"/>
        <w:ind w:left="160"/>
      </w:pPr>
      <w:r>
        <w:t>A</w:t>
      </w:r>
      <w:r>
        <w:rPr>
          <w:spacing w:val="-8"/>
        </w:rPr>
        <w:t xml:space="preserve"> </w:t>
      </w:r>
      <w:r>
        <w:t>Department</w:t>
      </w:r>
      <w:r>
        <w:rPr>
          <w:spacing w:val="-3"/>
        </w:rPr>
        <w:t xml:space="preserve"> </w:t>
      </w:r>
      <w:r>
        <w:t>of</w:t>
      </w:r>
      <w:r>
        <w:rPr>
          <w:spacing w:val="-4"/>
        </w:rPr>
        <w:t xml:space="preserve"> </w:t>
      </w:r>
      <w:r>
        <w:t>Justice</w:t>
      </w:r>
      <w:r>
        <w:rPr>
          <w:spacing w:val="-6"/>
        </w:rPr>
        <w:t xml:space="preserve"> </w:t>
      </w:r>
      <w:r>
        <w:t>Human</w:t>
      </w:r>
      <w:r>
        <w:rPr>
          <w:spacing w:val="-4"/>
        </w:rPr>
        <w:t xml:space="preserve"> </w:t>
      </w:r>
      <w:r>
        <w:t>Rights</w:t>
      </w:r>
      <w:r>
        <w:rPr>
          <w:spacing w:val="-4"/>
        </w:rPr>
        <w:t xml:space="preserve"> </w:t>
      </w:r>
      <w:r>
        <w:t>Unit</w:t>
      </w:r>
      <w:r>
        <w:rPr>
          <w:spacing w:val="-3"/>
        </w:rPr>
        <w:t xml:space="preserve"> </w:t>
      </w:r>
      <w:r>
        <w:t>should</w:t>
      </w:r>
      <w:r>
        <w:rPr>
          <w:spacing w:val="-4"/>
        </w:rPr>
        <w:t xml:space="preserve"> </w:t>
      </w:r>
      <w:r>
        <w:t>be</w:t>
      </w:r>
      <w:r>
        <w:rPr>
          <w:spacing w:val="-4"/>
        </w:rPr>
        <w:t xml:space="preserve"> </w:t>
      </w:r>
      <w:r>
        <w:t>created</w:t>
      </w:r>
      <w:r>
        <w:rPr>
          <w:spacing w:val="-4"/>
        </w:rPr>
        <w:t xml:space="preserve"> </w:t>
      </w:r>
      <w:r>
        <w:t>with</w:t>
      </w:r>
      <w:r>
        <w:rPr>
          <w:spacing w:val="-4"/>
        </w:rPr>
        <w:t xml:space="preserve"> </w:t>
      </w:r>
      <w:r>
        <w:t>responsibility</w:t>
      </w:r>
      <w:r>
        <w:rPr>
          <w:spacing w:val="-4"/>
        </w:rPr>
        <w:t xml:space="preserve"> for:</w:t>
      </w:r>
    </w:p>
    <w:p w14:paraId="7CB26428" w14:textId="77777777" w:rsidR="008A4099" w:rsidRDefault="006A6EE2">
      <w:pPr>
        <w:pStyle w:val="ListParagraph"/>
        <w:numPr>
          <w:ilvl w:val="0"/>
          <w:numId w:val="2"/>
        </w:numPr>
        <w:tabs>
          <w:tab w:val="left" w:pos="728"/>
        </w:tabs>
        <w:ind w:left="728" w:hanging="285"/>
        <w:jc w:val="left"/>
      </w:pPr>
      <w:r>
        <w:t>Guiding</w:t>
      </w:r>
      <w:r>
        <w:rPr>
          <w:spacing w:val="-7"/>
        </w:rPr>
        <w:t xml:space="preserve"> </w:t>
      </w:r>
      <w:r>
        <w:t>public</w:t>
      </w:r>
      <w:r>
        <w:rPr>
          <w:spacing w:val="-6"/>
        </w:rPr>
        <w:t xml:space="preserve"> </w:t>
      </w:r>
      <w:r>
        <w:t>authorities</w:t>
      </w:r>
      <w:r>
        <w:rPr>
          <w:spacing w:val="-4"/>
        </w:rPr>
        <w:t xml:space="preserve"> </w:t>
      </w:r>
      <w:r>
        <w:t>in</w:t>
      </w:r>
      <w:r>
        <w:rPr>
          <w:spacing w:val="-4"/>
        </w:rPr>
        <w:t xml:space="preserve"> </w:t>
      </w:r>
      <w:r>
        <w:t>the</w:t>
      </w:r>
      <w:r>
        <w:rPr>
          <w:spacing w:val="-6"/>
        </w:rPr>
        <w:t xml:space="preserve"> </w:t>
      </w:r>
      <w:r>
        <w:t>implementation</w:t>
      </w:r>
      <w:r>
        <w:rPr>
          <w:spacing w:val="-4"/>
        </w:rPr>
        <w:t xml:space="preserve"> </w:t>
      </w:r>
      <w:r>
        <w:t>of</w:t>
      </w:r>
      <w:r>
        <w:rPr>
          <w:spacing w:val="-4"/>
        </w:rPr>
        <w:t xml:space="preserve"> </w:t>
      </w:r>
      <w:r>
        <w:t>the</w:t>
      </w:r>
      <w:r>
        <w:rPr>
          <w:spacing w:val="-6"/>
        </w:rPr>
        <w:t xml:space="preserve"> </w:t>
      </w:r>
      <w:r>
        <w:rPr>
          <w:spacing w:val="-2"/>
        </w:rPr>
        <w:t>Charter;</w:t>
      </w:r>
    </w:p>
    <w:p w14:paraId="7CB26429" w14:textId="77777777" w:rsidR="008A4099" w:rsidRDefault="006A6EE2">
      <w:pPr>
        <w:pStyle w:val="ListParagraph"/>
        <w:numPr>
          <w:ilvl w:val="0"/>
          <w:numId w:val="2"/>
        </w:numPr>
        <w:tabs>
          <w:tab w:val="left" w:pos="728"/>
        </w:tabs>
        <w:spacing w:before="161"/>
        <w:ind w:left="728" w:hanging="285"/>
        <w:jc w:val="left"/>
      </w:pPr>
      <w:r>
        <w:t>Conducting</w:t>
      </w:r>
      <w:r>
        <w:rPr>
          <w:spacing w:val="-7"/>
        </w:rPr>
        <w:t xml:space="preserve"> </w:t>
      </w:r>
      <w:r>
        <w:t>human</w:t>
      </w:r>
      <w:r>
        <w:rPr>
          <w:spacing w:val="-4"/>
        </w:rPr>
        <w:t xml:space="preserve"> </w:t>
      </w:r>
      <w:r>
        <w:t>rights</w:t>
      </w:r>
      <w:r>
        <w:rPr>
          <w:spacing w:val="-7"/>
        </w:rPr>
        <w:t xml:space="preserve"> </w:t>
      </w:r>
      <w:r>
        <w:t>training</w:t>
      </w:r>
      <w:r>
        <w:rPr>
          <w:spacing w:val="-4"/>
        </w:rPr>
        <w:t xml:space="preserve"> </w:t>
      </w:r>
      <w:r>
        <w:t>programs</w:t>
      </w:r>
      <w:r>
        <w:rPr>
          <w:spacing w:val="-5"/>
        </w:rPr>
        <w:t xml:space="preserve"> </w:t>
      </w:r>
      <w:r>
        <w:t>for</w:t>
      </w:r>
      <w:r>
        <w:rPr>
          <w:spacing w:val="-4"/>
        </w:rPr>
        <w:t xml:space="preserve"> </w:t>
      </w:r>
      <w:r>
        <w:t>public</w:t>
      </w:r>
      <w:r>
        <w:rPr>
          <w:spacing w:val="-6"/>
        </w:rPr>
        <w:t xml:space="preserve"> </w:t>
      </w:r>
      <w:r>
        <w:rPr>
          <w:spacing w:val="-2"/>
        </w:rPr>
        <w:t>authorities;</w:t>
      </w:r>
    </w:p>
    <w:p w14:paraId="7CB2642A" w14:textId="77777777" w:rsidR="008A4099" w:rsidRDefault="006A6EE2">
      <w:pPr>
        <w:pStyle w:val="ListParagraph"/>
        <w:numPr>
          <w:ilvl w:val="0"/>
          <w:numId w:val="2"/>
        </w:numPr>
        <w:tabs>
          <w:tab w:val="left" w:pos="729"/>
        </w:tabs>
        <w:spacing w:before="163" w:line="242" w:lineRule="auto"/>
        <w:ind w:right="682"/>
      </w:pPr>
      <w:r>
        <w:t>Assisting the design and implementation of protocols within public authorities to facilitate compliance with the Charter in their decision-making and conduct;</w:t>
      </w:r>
    </w:p>
    <w:p w14:paraId="7CB2642B" w14:textId="77777777" w:rsidR="008A4099" w:rsidRDefault="006A6EE2">
      <w:pPr>
        <w:pStyle w:val="ListParagraph"/>
        <w:numPr>
          <w:ilvl w:val="0"/>
          <w:numId w:val="2"/>
        </w:numPr>
        <w:tabs>
          <w:tab w:val="left" w:pos="729"/>
        </w:tabs>
        <w:spacing w:before="176" w:line="242" w:lineRule="auto"/>
        <w:ind w:right="683"/>
      </w:pPr>
      <w:r>
        <w:t>Devising or revising</w:t>
      </w:r>
      <w:r>
        <w:rPr>
          <w:spacing w:val="-1"/>
        </w:rPr>
        <w:t xml:space="preserve"> </w:t>
      </w:r>
      <w:r>
        <w:t>documentation</w:t>
      </w:r>
      <w:r>
        <w:rPr>
          <w:spacing w:val="-1"/>
        </w:rPr>
        <w:t xml:space="preserve"> </w:t>
      </w:r>
      <w:r>
        <w:t>relevant to</w:t>
      </w:r>
      <w:r>
        <w:rPr>
          <w:spacing w:val="-1"/>
        </w:rPr>
        <w:t xml:space="preserve"> </w:t>
      </w:r>
      <w:r>
        <w:t>the provision of advice to</w:t>
      </w:r>
      <w:r>
        <w:rPr>
          <w:spacing w:val="-1"/>
        </w:rPr>
        <w:t xml:space="preserve"> </w:t>
      </w:r>
      <w:r>
        <w:t>Ministers, Parliament and Cabinet on the human rights implications of policy and other proposals;</w:t>
      </w:r>
    </w:p>
    <w:p w14:paraId="7CB2642C" w14:textId="77777777" w:rsidR="008A4099" w:rsidRDefault="006A6EE2">
      <w:pPr>
        <w:pStyle w:val="ListParagraph"/>
        <w:numPr>
          <w:ilvl w:val="0"/>
          <w:numId w:val="2"/>
        </w:numPr>
        <w:tabs>
          <w:tab w:val="left" w:pos="729"/>
        </w:tabs>
        <w:spacing w:before="176" w:line="242" w:lineRule="auto"/>
        <w:ind w:right="682"/>
      </w:pPr>
      <w:r>
        <w:t>Provision of advice and assistance in the preparation of Statements of Compatibility to accompany new legislation;</w:t>
      </w:r>
    </w:p>
    <w:p w14:paraId="7CB2642D" w14:textId="77777777" w:rsidR="008A4099" w:rsidRDefault="006A6EE2">
      <w:pPr>
        <w:pStyle w:val="ListParagraph"/>
        <w:numPr>
          <w:ilvl w:val="0"/>
          <w:numId w:val="2"/>
        </w:numPr>
        <w:tabs>
          <w:tab w:val="left" w:pos="729"/>
        </w:tabs>
        <w:spacing w:before="176" w:line="242" w:lineRule="auto"/>
        <w:ind w:right="680"/>
      </w:pPr>
      <w:r>
        <w:t>Provision</w:t>
      </w:r>
      <w:r>
        <w:rPr>
          <w:spacing w:val="-2"/>
        </w:rPr>
        <w:t xml:space="preserve"> </w:t>
      </w:r>
      <w:r>
        <w:t>of</w:t>
      </w:r>
      <w:r>
        <w:rPr>
          <w:spacing w:val="-2"/>
        </w:rPr>
        <w:t xml:space="preserve"> </w:t>
      </w:r>
      <w:r>
        <w:t>advice</w:t>
      </w:r>
      <w:r>
        <w:rPr>
          <w:spacing w:val="-4"/>
        </w:rPr>
        <w:t xml:space="preserve"> </w:t>
      </w:r>
      <w:r>
        <w:t>in</w:t>
      </w:r>
      <w:r>
        <w:rPr>
          <w:spacing w:val="-2"/>
        </w:rPr>
        <w:t xml:space="preserve"> </w:t>
      </w:r>
      <w:r>
        <w:t>the</w:t>
      </w:r>
      <w:r>
        <w:rPr>
          <w:spacing w:val="-2"/>
        </w:rPr>
        <w:t xml:space="preserve"> </w:t>
      </w:r>
      <w:r>
        <w:t>preparation</w:t>
      </w:r>
      <w:r>
        <w:rPr>
          <w:spacing w:val="-5"/>
        </w:rPr>
        <w:t xml:space="preserve"> </w:t>
      </w:r>
      <w:r>
        <w:t>of</w:t>
      </w:r>
      <w:r>
        <w:rPr>
          <w:spacing w:val="-2"/>
        </w:rPr>
        <w:t xml:space="preserve"> </w:t>
      </w:r>
      <w:r>
        <w:t>documentation</w:t>
      </w:r>
      <w:r>
        <w:rPr>
          <w:spacing w:val="-2"/>
        </w:rPr>
        <w:t xml:space="preserve"> </w:t>
      </w:r>
      <w:r>
        <w:t>for</w:t>
      </w:r>
      <w:r>
        <w:rPr>
          <w:spacing w:val="-2"/>
        </w:rPr>
        <w:t xml:space="preserve"> </w:t>
      </w:r>
      <w:r>
        <w:t>Cabinet</w:t>
      </w:r>
      <w:r>
        <w:rPr>
          <w:spacing w:val="-4"/>
        </w:rPr>
        <w:t xml:space="preserve"> </w:t>
      </w:r>
      <w:r>
        <w:t>relating</w:t>
      </w:r>
      <w:r>
        <w:rPr>
          <w:spacing w:val="-5"/>
        </w:rPr>
        <w:t xml:space="preserve"> </w:t>
      </w:r>
      <w:r>
        <w:t>to</w:t>
      </w:r>
      <w:r>
        <w:rPr>
          <w:spacing w:val="-2"/>
        </w:rPr>
        <w:t xml:space="preserve"> </w:t>
      </w:r>
      <w:r>
        <w:t>the</w:t>
      </w:r>
      <w:r>
        <w:rPr>
          <w:spacing w:val="-4"/>
        </w:rPr>
        <w:t xml:space="preserve"> </w:t>
      </w:r>
      <w:r>
        <w:t>human</w:t>
      </w:r>
      <w:r>
        <w:rPr>
          <w:spacing w:val="-2"/>
        </w:rPr>
        <w:t xml:space="preserve"> </w:t>
      </w:r>
      <w:r>
        <w:t>rights compatibility of proposed policy.</w:t>
      </w:r>
    </w:p>
    <w:p w14:paraId="7CB2642E" w14:textId="77777777" w:rsidR="008A4099" w:rsidRDefault="008A4099">
      <w:pPr>
        <w:pStyle w:val="BodyText"/>
        <w:spacing w:before="122"/>
      </w:pPr>
    </w:p>
    <w:p w14:paraId="7CB2642F" w14:textId="77777777" w:rsidR="008A4099" w:rsidRDefault="006A6EE2">
      <w:pPr>
        <w:pStyle w:val="Heading5"/>
        <w:spacing w:before="1"/>
      </w:pPr>
      <w:r>
        <w:t>Recommendation</w:t>
      </w:r>
      <w:r>
        <w:rPr>
          <w:spacing w:val="-4"/>
        </w:rPr>
        <w:t xml:space="preserve"> </w:t>
      </w:r>
      <w:r>
        <w:t>23</w:t>
      </w:r>
      <w:r>
        <w:rPr>
          <w:spacing w:val="-3"/>
        </w:rPr>
        <w:t xml:space="preserve"> </w:t>
      </w:r>
      <w:r>
        <w:t>–</w:t>
      </w:r>
      <w:r>
        <w:rPr>
          <w:spacing w:val="-7"/>
        </w:rPr>
        <w:t xml:space="preserve"> </w:t>
      </w:r>
      <w:r>
        <w:t>Human</w:t>
      </w:r>
      <w:r>
        <w:rPr>
          <w:spacing w:val="-3"/>
        </w:rPr>
        <w:t xml:space="preserve"> </w:t>
      </w:r>
      <w:r>
        <w:t>Rights</w:t>
      </w:r>
      <w:r>
        <w:rPr>
          <w:spacing w:val="-3"/>
        </w:rPr>
        <w:t xml:space="preserve"> </w:t>
      </w:r>
      <w:r>
        <w:rPr>
          <w:spacing w:val="-2"/>
        </w:rPr>
        <w:t>Commissioner</w:t>
      </w:r>
    </w:p>
    <w:p w14:paraId="7CB26430" w14:textId="77777777" w:rsidR="008A4099" w:rsidRDefault="006A6EE2">
      <w:pPr>
        <w:pStyle w:val="BodyText"/>
        <w:spacing w:before="219" w:line="242" w:lineRule="auto"/>
        <w:ind w:left="160" w:right="681"/>
        <w:jc w:val="both"/>
      </w:pPr>
      <w:r>
        <w:t xml:space="preserve">The independent office of Tasmanian Human Rights Commissioner should be established under the Tasmanian Charter of Human Rights. The Commissioner should have the following powers and </w:t>
      </w:r>
      <w:r>
        <w:rPr>
          <w:spacing w:val="-2"/>
        </w:rPr>
        <w:t>functions:</w:t>
      </w:r>
    </w:p>
    <w:p w14:paraId="7CB26431" w14:textId="77777777" w:rsidR="008A4099" w:rsidRDefault="006A6EE2">
      <w:pPr>
        <w:pStyle w:val="ListParagraph"/>
        <w:numPr>
          <w:ilvl w:val="0"/>
          <w:numId w:val="2"/>
        </w:numPr>
        <w:tabs>
          <w:tab w:val="left" w:pos="728"/>
        </w:tabs>
        <w:spacing w:before="216"/>
        <w:ind w:left="728" w:hanging="285"/>
        <w:jc w:val="left"/>
      </w:pPr>
      <w:r>
        <w:t>To</w:t>
      </w:r>
      <w:r>
        <w:rPr>
          <w:spacing w:val="-3"/>
        </w:rPr>
        <w:t xml:space="preserve"> </w:t>
      </w:r>
      <w:r>
        <w:t>provide</w:t>
      </w:r>
      <w:r>
        <w:rPr>
          <w:spacing w:val="-3"/>
        </w:rPr>
        <w:t xml:space="preserve"> </w:t>
      </w:r>
      <w:r>
        <w:t>education</w:t>
      </w:r>
      <w:r>
        <w:rPr>
          <w:spacing w:val="-3"/>
        </w:rPr>
        <w:t xml:space="preserve"> </w:t>
      </w:r>
      <w:r>
        <w:t>about</w:t>
      </w:r>
      <w:r>
        <w:rPr>
          <w:spacing w:val="-3"/>
        </w:rPr>
        <w:t xml:space="preserve"> </w:t>
      </w:r>
      <w:r>
        <w:t>human</w:t>
      </w:r>
      <w:r>
        <w:rPr>
          <w:spacing w:val="-2"/>
        </w:rPr>
        <w:t xml:space="preserve"> rights;</w:t>
      </w:r>
    </w:p>
    <w:p w14:paraId="7CB26432" w14:textId="77777777" w:rsidR="008A4099" w:rsidRDefault="006A6EE2">
      <w:pPr>
        <w:pStyle w:val="ListParagraph"/>
        <w:numPr>
          <w:ilvl w:val="0"/>
          <w:numId w:val="2"/>
        </w:numPr>
        <w:tabs>
          <w:tab w:val="left" w:pos="729"/>
        </w:tabs>
        <w:spacing w:before="161" w:line="242" w:lineRule="auto"/>
        <w:ind w:right="682"/>
      </w:pPr>
      <w:r>
        <w:t>To monitor human rights protection under the Charter and advise the government on the operation of the Charter;</w:t>
      </w:r>
    </w:p>
    <w:p w14:paraId="7CB26433" w14:textId="77777777" w:rsidR="008A4099" w:rsidRDefault="006A6EE2">
      <w:pPr>
        <w:pStyle w:val="ListParagraph"/>
        <w:numPr>
          <w:ilvl w:val="0"/>
          <w:numId w:val="2"/>
        </w:numPr>
        <w:tabs>
          <w:tab w:val="left" w:pos="728"/>
        </w:tabs>
        <w:spacing w:before="176"/>
        <w:ind w:left="728" w:hanging="285"/>
        <w:jc w:val="left"/>
      </w:pPr>
      <w:r>
        <w:t>To</w:t>
      </w:r>
      <w:r>
        <w:rPr>
          <w:spacing w:val="-6"/>
        </w:rPr>
        <w:t xml:space="preserve"> </w:t>
      </w:r>
      <w:r>
        <w:t>promote</w:t>
      </w:r>
      <w:r>
        <w:rPr>
          <w:spacing w:val="-3"/>
        </w:rPr>
        <w:t xml:space="preserve"> </w:t>
      </w:r>
      <w:r>
        <w:t>public</w:t>
      </w:r>
      <w:r>
        <w:rPr>
          <w:spacing w:val="-3"/>
        </w:rPr>
        <w:t xml:space="preserve"> </w:t>
      </w:r>
      <w:r>
        <w:t>awareness</w:t>
      </w:r>
      <w:r>
        <w:rPr>
          <w:spacing w:val="-3"/>
        </w:rPr>
        <w:t xml:space="preserve"> </w:t>
      </w:r>
      <w:r>
        <w:t>and</w:t>
      </w:r>
      <w:r>
        <w:rPr>
          <w:spacing w:val="-5"/>
        </w:rPr>
        <w:t xml:space="preserve"> </w:t>
      </w:r>
      <w:r>
        <w:t>understanding</w:t>
      </w:r>
      <w:r>
        <w:rPr>
          <w:spacing w:val="-3"/>
        </w:rPr>
        <w:t xml:space="preserve"> </w:t>
      </w:r>
      <w:r>
        <w:t>of</w:t>
      </w:r>
      <w:r>
        <w:rPr>
          <w:spacing w:val="-3"/>
        </w:rPr>
        <w:t xml:space="preserve"> </w:t>
      </w:r>
      <w:r>
        <w:t>and</w:t>
      </w:r>
      <w:r>
        <w:rPr>
          <w:spacing w:val="-7"/>
        </w:rPr>
        <w:t xml:space="preserve"> </w:t>
      </w:r>
      <w:r>
        <w:t>compliance</w:t>
      </w:r>
      <w:r>
        <w:rPr>
          <w:spacing w:val="-3"/>
        </w:rPr>
        <w:t xml:space="preserve"> </w:t>
      </w:r>
      <w:r>
        <w:t>with</w:t>
      </w:r>
      <w:r>
        <w:rPr>
          <w:spacing w:val="-3"/>
        </w:rPr>
        <w:t xml:space="preserve"> </w:t>
      </w:r>
      <w:r>
        <w:t>the</w:t>
      </w:r>
      <w:r>
        <w:rPr>
          <w:spacing w:val="-3"/>
        </w:rPr>
        <w:t xml:space="preserve"> </w:t>
      </w:r>
      <w:r>
        <w:rPr>
          <w:spacing w:val="-2"/>
        </w:rPr>
        <w:t>Charter;</w:t>
      </w:r>
    </w:p>
    <w:p w14:paraId="7CB26434" w14:textId="77777777" w:rsidR="008A4099" w:rsidRDefault="006A6EE2">
      <w:pPr>
        <w:pStyle w:val="ListParagraph"/>
        <w:numPr>
          <w:ilvl w:val="0"/>
          <w:numId w:val="2"/>
        </w:numPr>
        <w:tabs>
          <w:tab w:val="left" w:pos="729"/>
        </w:tabs>
        <w:spacing w:before="163" w:line="242" w:lineRule="auto"/>
        <w:ind w:right="682"/>
      </w:pPr>
      <w:r>
        <w:t>To intervene as amicus curiae or be joined as a party in any proceedings, (court or tribunal), involving interpretation of the Charter;</w:t>
      </w:r>
    </w:p>
    <w:p w14:paraId="7CB26435" w14:textId="77777777" w:rsidR="008A4099" w:rsidRDefault="006A6EE2">
      <w:pPr>
        <w:pStyle w:val="ListParagraph"/>
        <w:numPr>
          <w:ilvl w:val="0"/>
          <w:numId w:val="2"/>
        </w:numPr>
        <w:tabs>
          <w:tab w:val="left" w:pos="728"/>
        </w:tabs>
        <w:spacing w:before="176"/>
        <w:ind w:left="728" w:hanging="285"/>
        <w:jc w:val="left"/>
      </w:pPr>
      <w:r>
        <w:t>To</w:t>
      </w:r>
      <w:r>
        <w:rPr>
          <w:spacing w:val="-5"/>
        </w:rPr>
        <w:t xml:space="preserve"> </w:t>
      </w:r>
      <w:r>
        <w:t>promote</w:t>
      </w:r>
      <w:r>
        <w:rPr>
          <w:spacing w:val="-3"/>
        </w:rPr>
        <w:t xml:space="preserve"> </w:t>
      </w:r>
      <w:r>
        <w:t>awareness</w:t>
      </w:r>
      <w:r>
        <w:rPr>
          <w:spacing w:val="-4"/>
        </w:rPr>
        <w:t xml:space="preserve"> </w:t>
      </w:r>
      <w:r>
        <w:t>and</w:t>
      </w:r>
      <w:r>
        <w:rPr>
          <w:spacing w:val="-5"/>
        </w:rPr>
        <w:t xml:space="preserve"> </w:t>
      </w:r>
      <w:r>
        <w:t>understanding</w:t>
      </w:r>
      <w:r>
        <w:rPr>
          <w:spacing w:val="-2"/>
        </w:rPr>
        <w:t xml:space="preserve"> </w:t>
      </w:r>
      <w:r>
        <w:t>of</w:t>
      </w:r>
      <w:r>
        <w:rPr>
          <w:spacing w:val="-5"/>
        </w:rPr>
        <w:t xml:space="preserve"> </w:t>
      </w:r>
      <w:r>
        <w:t>the</w:t>
      </w:r>
      <w:r>
        <w:rPr>
          <w:spacing w:val="-4"/>
        </w:rPr>
        <w:t xml:space="preserve"> </w:t>
      </w:r>
      <w:r>
        <w:t>Charter</w:t>
      </w:r>
      <w:r>
        <w:rPr>
          <w:spacing w:val="-3"/>
        </w:rPr>
        <w:t xml:space="preserve"> </w:t>
      </w:r>
      <w:r>
        <w:t>across</w:t>
      </w:r>
      <w:r>
        <w:rPr>
          <w:spacing w:val="-5"/>
        </w:rPr>
        <w:t xml:space="preserve"> </w:t>
      </w:r>
      <w:r>
        <w:t>all</w:t>
      </w:r>
      <w:r>
        <w:rPr>
          <w:spacing w:val="-1"/>
        </w:rPr>
        <w:t xml:space="preserve"> </w:t>
      </w:r>
      <w:r>
        <w:t>arms</w:t>
      </w:r>
      <w:r>
        <w:rPr>
          <w:spacing w:val="-3"/>
        </w:rPr>
        <w:t xml:space="preserve"> </w:t>
      </w:r>
      <w:r>
        <w:t>of</w:t>
      </w:r>
      <w:r>
        <w:rPr>
          <w:spacing w:val="-2"/>
        </w:rPr>
        <w:t xml:space="preserve"> government;</w:t>
      </w:r>
    </w:p>
    <w:p w14:paraId="7CB26436" w14:textId="77777777" w:rsidR="008A4099" w:rsidRDefault="008A4099">
      <w:pPr>
        <w:sectPr w:rsidR="008A4099" w:rsidSect="00D43B2D">
          <w:pgSz w:w="11910" w:h="16840"/>
          <w:pgMar w:top="980" w:right="760" w:bottom="940" w:left="1280" w:header="718" w:footer="753" w:gutter="0"/>
          <w:cols w:space="720"/>
        </w:sectPr>
      </w:pPr>
    </w:p>
    <w:p w14:paraId="7CB26437" w14:textId="77777777" w:rsidR="008A4099" w:rsidRDefault="008A4099">
      <w:pPr>
        <w:pStyle w:val="BodyText"/>
        <w:spacing w:before="196"/>
      </w:pPr>
    </w:p>
    <w:p w14:paraId="7CB26438" w14:textId="77777777" w:rsidR="008A4099" w:rsidRDefault="006A6EE2">
      <w:pPr>
        <w:pStyle w:val="ListParagraph"/>
        <w:numPr>
          <w:ilvl w:val="0"/>
          <w:numId w:val="2"/>
        </w:numPr>
        <w:tabs>
          <w:tab w:val="left" w:pos="729"/>
        </w:tabs>
        <w:spacing w:before="1" w:line="252" w:lineRule="auto"/>
        <w:ind w:right="680"/>
      </w:pPr>
      <w:r>
        <w:t>To</w:t>
      </w:r>
      <w:r>
        <w:rPr>
          <w:spacing w:val="-2"/>
        </w:rPr>
        <w:t xml:space="preserve"> </w:t>
      </w:r>
      <w:r>
        <w:t>present</w:t>
      </w:r>
      <w:r>
        <w:rPr>
          <w:spacing w:val="-1"/>
        </w:rPr>
        <w:t xml:space="preserve"> </w:t>
      </w:r>
      <w:r>
        <w:t>an</w:t>
      </w:r>
      <w:r>
        <w:rPr>
          <w:spacing w:val="-4"/>
        </w:rPr>
        <w:t xml:space="preserve"> </w:t>
      </w:r>
      <w:r>
        <w:t>annual</w:t>
      </w:r>
      <w:r>
        <w:rPr>
          <w:spacing w:val="-4"/>
        </w:rPr>
        <w:t xml:space="preserve"> </w:t>
      </w:r>
      <w:r>
        <w:t>report</w:t>
      </w:r>
      <w:r>
        <w:rPr>
          <w:spacing w:val="-4"/>
        </w:rPr>
        <w:t xml:space="preserve"> </w:t>
      </w:r>
      <w:r>
        <w:t>to</w:t>
      </w:r>
      <w:r>
        <w:rPr>
          <w:spacing w:val="-5"/>
        </w:rPr>
        <w:t xml:space="preserve"> </w:t>
      </w:r>
      <w:r>
        <w:t>the</w:t>
      </w:r>
      <w:r>
        <w:rPr>
          <w:spacing w:val="-2"/>
        </w:rPr>
        <w:t xml:space="preserve"> </w:t>
      </w:r>
      <w:r>
        <w:t>Attorney</w:t>
      </w:r>
      <w:r>
        <w:rPr>
          <w:spacing w:val="-4"/>
        </w:rPr>
        <w:t xml:space="preserve"> </w:t>
      </w:r>
      <w:r>
        <w:t>General</w:t>
      </w:r>
      <w:r>
        <w:rPr>
          <w:spacing w:val="-3"/>
        </w:rPr>
        <w:t xml:space="preserve"> </w:t>
      </w:r>
      <w:r>
        <w:t>(which</w:t>
      </w:r>
      <w:r>
        <w:rPr>
          <w:spacing w:val="-4"/>
        </w:rPr>
        <w:t xml:space="preserve"> </w:t>
      </w:r>
      <w:r>
        <w:t>should</w:t>
      </w:r>
      <w:r>
        <w:rPr>
          <w:spacing w:val="-5"/>
        </w:rPr>
        <w:t xml:space="preserve"> </w:t>
      </w:r>
      <w:r>
        <w:t>then</w:t>
      </w:r>
      <w:r>
        <w:rPr>
          <w:spacing w:val="-4"/>
        </w:rPr>
        <w:t xml:space="preserve"> </w:t>
      </w:r>
      <w:r>
        <w:t>be</w:t>
      </w:r>
      <w:r>
        <w:rPr>
          <w:spacing w:val="-4"/>
        </w:rPr>
        <w:t xml:space="preserve"> </w:t>
      </w:r>
      <w:r>
        <w:t>tabled</w:t>
      </w:r>
      <w:r>
        <w:rPr>
          <w:spacing w:val="-4"/>
        </w:rPr>
        <w:t xml:space="preserve"> </w:t>
      </w:r>
      <w:r>
        <w:t>in</w:t>
      </w:r>
      <w:r>
        <w:rPr>
          <w:spacing w:val="-2"/>
        </w:rPr>
        <w:t xml:space="preserve"> </w:t>
      </w:r>
      <w:r>
        <w:t>Parliament) which examines the operation of the Charter, all declarations of incompatibility made by the courts and all override declarations made by Parliament;</w:t>
      </w:r>
    </w:p>
    <w:p w14:paraId="7CB26439" w14:textId="77777777" w:rsidR="008A4099" w:rsidRDefault="006A6EE2">
      <w:pPr>
        <w:pStyle w:val="ListParagraph"/>
        <w:numPr>
          <w:ilvl w:val="0"/>
          <w:numId w:val="2"/>
        </w:numPr>
        <w:tabs>
          <w:tab w:val="left" w:pos="728"/>
        </w:tabs>
        <w:spacing w:before="164"/>
        <w:ind w:left="728" w:hanging="285"/>
        <w:jc w:val="left"/>
      </w:pPr>
      <w:r>
        <w:t>To</w:t>
      </w:r>
      <w:r>
        <w:rPr>
          <w:spacing w:val="-3"/>
        </w:rPr>
        <w:t xml:space="preserve"> </w:t>
      </w:r>
      <w:r>
        <w:t>assist</w:t>
      </w:r>
      <w:r>
        <w:rPr>
          <w:spacing w:val="-2"/>
        </w:rPr>
        <w:t xml:space="preserve"> </w:t>
      </w:r>
      <w:r>
        <w:t>the</w:t>
      </w:r>
      <w:r>
        <w:rPr>
          <w:spacing w:val="-3"/>
        </w:rPr>
        <w:t xml:space="preserve"> </w:t>
      </w:r>
      <w:r>
        <w:t>Attorney</w:t>
      </w:r>
      <w:r>
        <w:rPr>
          <w:spacing w:val="-2"/>
        </w:rPr>
        <w:t xml:space="preserve"> </w:t>
      </w:r>
      <w:r>
        <w:t>General</w:t>
      </w:r>
      <w:r>
        <w:rPr>
          <w:spacing w:val="-5"/>
        </w:rPr>
        <w:t xml:space="preserve"> </w:t>
      </w:r>
      <w:r>
        <w:t>in</w:t>
      </w:r>
      <w:r>
        <w:rPr>
          <w:spacing w:val="-5"/>
        </w:rPr>
        <w:t xml:space="preserve"> </w:t>
      </w:r>
      <w:r>
        <w:t>reviews</w:t>
      </w:r>
      <w:r>
        <w:rPr>
          <w:spacing w:val="-3"/>
        </w:rPr>
        <w:t xml:space="preserve"> </w:t>
      </w:r>
      <w:r>
        <w:t>of</w:t>
      </w:r>
      <w:r>
        <w:rPr>
          <w:spacing w:val="-3"/>
        </w:rPr>
        <w:t xml:space="preserve"> </w:t>
      </w:r>
      <w:r>
        <w:t>the</w:t>
      </w:r>
      <w:r>
        <w:rPr>
          <w:spacing w:val="-2"/>
        </w:rPr>
        <w:t xml:space="preserve"> Charter;</w:t>
      </w:r>
    </w:p>
    <w:p w14:paraId="7CB2643A" w14:textId="77777777" w:rsidR="008A4099" w:rsidRDefault="006A6EE2">
      <w:pPr>
        <w:pStyle w:val="ListParagraph"/>
        <w:numPr>
          <w:ilvl w:val="0"/>
          <w:numId w:val="2"/>
        </w:numPr>
        <w:tabs>
          <w:tab w:val="left" w:pos="729"/>
        </w:tabs>
        <w:spacing w:before="160" w:line="242" w:lineRule="auto"/>
        <w:ind w:right="679"/>
      </w:pPr>
      <w:r>
        <w:t>To</w:t>
      </w:r>
      <w:r>
        <w:rPr>
          <w:spacing w:val="-7"/>
        </w:rPr>
        <w:t xml:space="preserve"> </w:t>
      </w:r>
      <w:r>
        <w:t>examine</w:t>
      </w:r>
      <w:r>
        <w:rPr>
          <w:spacing w:val="-6"/>
        </w:rPr>
        <w:t xml:space="preserve"> </w:t>
      </w:r>
      <w:r>
        <w:t>the</w:t>
      </w:r>
      <w:r>
        <w:rPr>
          <w:spacing w:val="-6"/>
        </w:rPr>
        <w:t xml:space="preserve"> </w:t>
      </w:r>
      <w:r>
        <w:t>effect</w:t>
      </w:r>
      <w:r>
        <w:rPr>
          <w:spacing w:val="-5"/>
        </w:rPr>
        <w:t xml:space="preserve"> </w:t>
      </w:r>
      <w:r>
        <w:t>of</w:t>
      </w:r>
      <w:r>
        <w:rPr>
          <w:spacing w:val="-5"/>
        </w:rPr>
        <w:t xml:space="preserve"> </w:t>
      </w:r>
      <w:r>
        <w:t>statutory</w:t>
      </w:r>
      <w:r>
        <w:rPr>
          <w:spacing w:val="-6"/>
        </w:rPr>
        <w:t xml:space="preserve"> </w:t>
      </w:r>
      <w:r>
        <w:t>provisions</w:t>
      </w:r>
      <w:r>
        <w:rPr>
          <w:spacing w:val="-5"/>
        </w:rPr>
        <w:t xml:space="preserve"> </w:t>
      </w:r>
      <w:r>
        <w:t>and</w:t>
      </w:r>
      <w:r>
        <w:rPr>
          <w:spacing w:val="-6"/>
        </w:rPr>
        <w:t xml:space="preserve"> </w:t>
      </w:r>
      <w:r>
        <w:t>the</w:t>
      </w:r>
      <w:r>
        <w:rPr>
          <w:spacing w:val="-6"/>
        </w:rPr>
        <w:t xml:space="preserve"> </w:t>
      </w:r>
      <w:r>
        <w:t>common</w:t>
      </w:r>
      <w:r>
        <w:rPr>
          <w:spacing w:val="-6"/>
        </w:rPr>
        <w:t xml:space="preserve"> </w:t>
      </w:r>
      <w:r>
        <w:t>law</w:t>
      </w:r>
      <w:r>
        <w:rPr>
          <w:spacing w:val="-7"/>
        </w:rPr>
        <w:t xml:space="preserve"> </w:t>
      </w:r>
      <w:r>
        <w:t>on</w:t>
      </w:r>
      <w:r>
        <w:rPr>
          <w:spacing w:val="-6"/>
        </w:rPr>
        <w:t xml:space="preserve"> </w:t>
      </w:r>
      <w:r>
        <w:t>human</w:t>
      </w:r>
      <w:r>
        <w:rPr>
          <w:spacing w:val="-6"/>
        </w:rPr>
        <w:t xml:space="preserve"> </w:t>
      </w:r>
      <w:r>
        <w:t>rights</w:t>
      </w:r>
      <w:r>
        <w:rPr>
          <w:spacing w:val="-8"/>
        </w:rPr>
        <w:t xml:space="preserve"> </w:t>
      </w:r>
      <w:r>
        <w:t>and</w:t>
      </w:r>
      <w:r>
        <w:rPr>
          <w:spacing w:val="-6"/>
        </w:rPr>
        <w:t xml:space="preserve"> </w:t>
      </w:r>
      <w:r>
        <w:t>report</w:t>
      </w:r>
      <w:r>
        <w:rPr>
          <w:spacing w:val="-5"/>
        </w:rPr>
        <w:t xml:space="preserve"> </w:t>
      </w:r>
      <w:r>
        <w:t>to the Attorney General on the results of that examination;</w:t>
      </w:r>
    </w:p>
    <w:p w14:paraId="7CB2643B" w14:textId="77777777" w:rsidR="008A4099" w:rsidRDefault="006A6EE2">
      <w:pPr>
        <w:pStyle w:val="ListParagraph"/>
        <w:numPr>
          <w:ilvl w:val="0"/>
          <w:numId w:val="2"/>
        </w:numPr>
        <w:tabs>
          <w:tab w:val="left" w:pos="729"/>
        </w:tabs>
        <w:spacing w:before="179"/>
        <w:ind w:right="682"/>
      </w:pPr>
      <w:r>
        <w:t>To</w:t>
      </w:r>
      <w:r>
        <w:rPr>
          <w:spacing w:val="-2"/>
        </w:rPr>
        <w:t xml:space="preserve"> </w:t>
      </w:r>
      <w:r>
        <w:t>review</w:t>
      </w:r>
      <w:r>
        <w:rPr>
          <w:spacing w:val="-4"/>
        </w:rPr>
        <w:t xml:space="preserve"> </w:t>
      </w:r>
      <w:r>
        <w:t>the</w:t>
      </w:r>
      <w:r>
        <w:rPr>
          <w:spacing w:val="-1"/>
        </w:rPr>
        <w:t xml:space="preserve"> </w:t>
      </w:r>
      <w:r>
        <w:t>programs</w:t>
      </w:r>
      <w:r>
        <w:rPr>
          <w:spacing w:val="-1"/>
        </w:rPr>
        <w:t xml:space="preserve"> </w:t>
      </w:r>
      <w:r>
        <w:t>and</w:t>
      </w:r>
      <w:r>
        <w:rPr>
          <w:spacing w:val="-1"/>
        </w:rPr>
        <w:t xml:space="preserve"> </w:t>
      </w:r>
      <w:r>
        <w:t>practices of public</w:t>
      </w:r>
      <w:r>
        <w:rPr>
          <w:spacing w:val="-3"/>
        </w:rPr>
        <w:t xml:space="preserve"> </w:t>
      </w:r>
      <w:r>
        <w:t>authorities</w:t>
      </w:r>
      <w:r>
        <w:rPr>
          <w:spacing w:val="-3"/>
        </w:rPr>
        <w:t xml:space="preserve"> </w:t>
      </w:r>
      <w:r>
        <w:t>to</w:t>
      </w:r>
      <w:r>
        <w:rPr>
          <w:spacing w:val="-4"/>
        </w:rPr>
        <w:t xml:space="preserve"> </w:t>
      </w:r>
      <w:r>
        <w:t>determine</w:t>
      </w:r>
      <w:r>
        <w:rPr>
          <w:spacing w:val="-3"/>
        </w:rPr>
        <w:t xml:space="preserve"> </w:t>
      </w:r>
      <w:r>
        <w:t>their compatibility</w:t>
      </w:r>
      <w:r>
        <w:rPr>
          <w:spacing w:val="-1"/>
        </w:rPr>
        <w:t xml:space="preserve"> </w:t>
      </w:r>
      <w:r>
        <w:t>with human rights;</w:t>
      </w:r>
    </w:p>
    <w:p w14:paraId="7CB2643C" w14:textId="77777777" w:rsidR="008A4099" w:rsidRDefault="006A6EE2">
      <w:pPr>
        <w:pStyle w:val="ListParagraph"/>
        <w:numPr>
          <w:ilvl w:val="0"/>
          <w:numId w:val="2"/>
        </w:numPr>
        <w:tabs>
          <w:tab w:val="left" w:pos="729"/>
        </w:tabs>
        <w:spacing w:before="181"/>
        <w:ind w:right="680"/>
      </w:pPr>
      <w:r>
        <w:t>To</w:t>
      </w:r>
      <w:r>
        <w:rPr>
          <w:spacing w:val="-2"/>
        </w:rPr>
        <w:t xml:space="preserve"> </w:t>
      </w:r>
      <w:r>
        <w:t>make</w:t>
      </w:r>
      <w:r>
        <w:rPr>
          <w:spacing w:val="-1"/>
        </w:rPr>
        <w:t xml:space="preserve"> </w:t>
      </w:r>
      <w:r>
        <w:t>submissions</w:t>
      </w:r>
      <w:r>
        <w:rPr>
          <w:spacing w:val="-1"/>
        </w:rPr>
        <w:t xml:space="preserve"> </w:t>
      </w:r>
      <w:r>
        <w:t>to</w:t>
      </w:r>
      <w:r>
        <w:rPr>
          <w:spacing w:val="-1"/>
        </w:rPr>
        <w:t xml:space="preserve"> </w:t>
      </w:r>
      <w:r>
        <w:t>the</w:t>
      </w:r>
      <w:r>
        <w:rPr>
          <w:spacing w:val="-1"/>
        </w:rPr>
        <w:t xml:space="preserve"> </w:t>
      </w:r>
      <w:r>
        <w:t>Parliamentary</w:t>
      </w:r>
      <w:r>
        <w:rPr>
          <w:spacing w:val="-1"/>
        </w:rPr>
        <w:t xml:space="preserve"> </w:t>
      </w:r>
      <w:r>
        <w:t>Human</w:t>
      </w:r>
      <w:r>
        <w:rPr>
          <w:spacing w:val="-1"/>
        </w:rPr>
        <w:t xml:space="preserve"> </w:t>
      </w:r>
      <w:r>
        <w:t>Rights</w:t>
      </w:r>
      <w:r>
        <w:rPr>
          <w:spacing w:val="-1"/>
        </w:rPr>
        <w:t xml:space="preserve"> </w:t>
      </w:r>
      <w:r>
        <w:t>Scrutiny</w:t>
      </w:r>
      <w:r>
        <w:rPr>
          <w:spacing w:val="-1"/>
        </w:rPr>
        <w:t xml:space="preserve"> </w:t>
      </w:r>
      <w:r>
        <w:t>Committee</w:t>
      </w:r>
      <w:r>
        <w:rPr>
          <w:spacing w:val="-1"/>
        </w:rPr>
        <w:t xml:space="preserve"> </w:t>
      </w:r>
      <w:r>
        <w:t>about</w:t>
      </w:r>
      <w:r>
        <w:rPr>
          <w:spacing w:val="-2"/>
        </w:rPr>
        <w:t xml:space="preserve"> </w:t>
      </w:r>
      <w:r>
        <w:t>the</w:t>
      </w:r>
      <w:r>
        <w:rPr>
          <w:spacing w:val="-3"/>
        </w:rPr>
        <w:t xml:space="preserve"> </w:t>
      </w:r>
      <w:r>
        <w:t>human rights implications of new Bills;</w:t>
      </w:r>
    </w:p>
    <w:p w14:paraId="7CB2643D" w14:textId="77777777" w:rsidR="008A4099" w:rsidRDefault="006A6EE2">
      <w:pPr>
        <w:pStyle w:val="BodyText"/>
        <w:spacing w:before="181"/>
        <w:ind w:left="160"/>
      </w:pPr>
      <w:r>
        <w:t>To</w:t>
      </w:r>
      <w:r>
        <w:rPr>
          <w:spacing w:val="-5"/>
        </w:rPr>
        <w:t xml:space="preserve"> </w:t>
      </w:r>
      <w:r>
        <w:t>undertake</w:t>
      </w:r>
      <w:r>
        <w:rPr>
          <w:spacing w:val="-3"/>
        </w:rPr>
        <w:t xml:space="preserve"> </w:t>
      </w:r>
      <w:r>
        <w:t>research</w:t>
      </w:r>
      <w:r>
        <w:rPr>
          <w:spacing w:val="-3"/>
        </w:rPr>
        <w:t xml:space="preserve"> </w:t>
      </w:r>
      <w:r>
        <w:t>that</w:t>
      </w:r>
      <w:r>
        <w:rPr>
          <w:spacing w:val="-5"/>
        </w:rPr>
        <w:t xml:space="preserve"> </w:t>
      </w:r>
      <w:r>
        <w:t>promotes</w:t>
      </w:r>
      <w:r>
        <w:rPr>
          <w:spacing w:val="-3"/>
        </w:rPr>
        <w:t xml:space="preserve"> </w:t>
      </w:r>
      <w:r>
        <w:t>the</w:t>
      </w:r>
      <w:r>
        <w:rPr>
          <w:spacing w:val="-3"/>
        </w:rPr>
        <w:t xml:space="preserve"> </w:t>
      </w:r>
      <w:r>
        <w:t>objectives</w:t>
      </w:r>
      <w:r>
        <w:rPr>
          <w:spacing w:val="-5"/>
        </w:rPr>
        <w:t xml:space="preserve"> </w:t>
      </w:r>
      <w:r>
        <w:t>of</w:t>
      </w:r>
      <w:r>
        <w:rPr>
          <w:spacing w:val="-5"/>
        </w:rPr>
        <w:t xml:space="preserve"> </w:t>
      </w:r>
      <w:r>
        <w:t>the</w:t>
      </w:r>
      <w:r>
        <w:rPr>
          <w:spacing w:val="-2"/>
        </w:rPr>
        <w:t xml:space="preserve"> Charter.</w:t>
      </w:r>
    </w:p>
    <w:p w14:paraId="7CB2643E" w14:textId="77777777" w:rsidR="008A4099" w:rsidRDefault="008A4099">
      <w:pPr>
        <w:sectPr w:rsidR="008A4099" w:rsidSect="00D43B2D">
          <w:pgSz w:w="11910" w:h="16840"/>
          <w:pgMar w:top="980" w:right="760" w:bottom="940" w:left="1280" w:header="718" w:footer="753" w:gutter="0"/>
          <w:cols w:space="720"/>
        </w:sectPr>
      </w:pPr>
    </w:p>
    <w:p w14:paraId="7CB2643F" w14:textId="77777777" w:rsidR="008A4099" w:rsidRDefault="008A4099">
      <w:pPr>
        <w:pStyle w:val="BodyText"/>
        <w:spacing w:before="339"/>
        <w:rPr>
          <w:sz w:val="32"/>
        </w:rPr>
      </w:pPr>
    </w:p>
    <w:p w14:paraId="7CB26440" w14:textId="77777777" w:rsidR="008A4099" w:rsidRDefault="006A6EE2">
      <w:pPr>
        <w:ind w:left="160"/>
        <w:rPr>
          <w:b/>
          <w:sz w:val="32"/>
        </w:rPr>
      </w:pPr>
      <w:r>
        <w:rPr>
          <w:b/>
          <w:sz w:val="32"/>
        </w:rPr>
        <w:t>Appendix</w:t>
      </w:r>
      <w:r>
        <w:rPr>
          <w:b/>
          <w:spacing w:val="-14"/>
          <w:sz w:val="32"/>
        </w:rPr>
        <w:t xml:space="preserve"> </w:t>
      </w:r>
      <w:r>
        <w:rPr>
          <w:b/>
          <w:spacing w:val="-10"/>
          <w:sz w:val="32"/>
        </w:rPr>
        <w:t>B</w:t>
      </w:r>
    </w:p>
    <w:p w14:paraId="7CB26441" w14:textId="77777777" w:rsidR="008A4099" w:rsidRDefault="008A4099">
      <w:pPr>
        <w:pStyle w:val="BodyText"/>
        <w:spacing w:before="272"/>
        <w:rPr>
          <w:b/>
          <w:sz w:val="32"/>
        </w:rPr>
      </w:pPr>
    </w:p>
    <w:p w14:paraId="7CB26442" w14:textId="77777777" w:rsidR="008A4099" w:rsidRDefault="006A6EE2">
      <w:pPr>
        <w:ind w:left="160" w:right="680"/>
        <w:rPr>
          <w:b/>
          <w:sz w:val="32"/>
        </w:rPr>
      </w:pPr>
      <w:r>
        <w:rPr>
          <w:b/>
          <w:sz w:val="32"/>
        </w:rPr>
        <w:t>Rights</w:t>
      </w:r>
      <w:r>
        <w:rPr>
          <w:b/>
          <w:spacing w:val="-5"/>
          <w:sz w:val="32"/>
        </w:rPr>
        <w:t xml:space="preserve"> </w:t>
      </w:r>
      <w:r>
        <w:rPr>
          <w:b/>
          <w:sz w:val="32"/>
        </w:rPr>
        <w:t>protected</w:t>
      </w:r>
      <w:r>
        <w:rPr>
          <w:b/>
          <w:spacing w:val="-4"/>
          <w:sz w:val="32"/>
        </w:rPr>
        <w:t xml:space="preserve"> </w:t>
      </w:r>
      <w:r>
        <w:rPr>
          <w:b/>
          <w:sz w:val="32"/>
        </w:rPr>
        <w:t>in</w:t>
      </w:r>
      <w:r>
        <w:rPr>
          <w:b/>
          <w:spacing w:val="-5"/>
          <w:sz w:val="32"/>
        </w:rPr>
        <w:t xml:space="preserve"> </w:t>
      </w:r>
      <w:r>
        <w:rPr>
          <w:b/>
          <w:sz w:val="32"/>
        </w:rPr>
        <w:t>each</w:t>
      </w:r>
      <w:r>
        <w:rPr>
          <w:b/>
          <w:spacing w:val="-5"/>
          <w:sz w:val="32"/>
        </w:rPr>
        <w:t xml:space="preserve"> </w:t>
      </w:r>
      <w:r>
        <w:rPr>
          <w:b/>
          <w:sz w:val="32"/>
        </w:rPr>
        <w:t>jurisdiction</w:t>
      </w:r>
      <w:r>
        <w:rPr>
          <w:b/>
          <w:spacing w:val="-5"/>
          <w:sz w:val="32"/>
        </w:rPr>
        <w:t xml:space="preserve"> </w:t>
      </w:r>
      <w:r>
        <w:rPr>
          <w:b/>
          <w:sz w:val="32"/>
        </w:rPr>
        <w:t>with</w:t>
      </w:r>
      <w:r>
        <w:rPr>
          <w:b/>
          <w:spacing w:val="-4"/>
          <w:sz w:val="32"/>
        </w:rPr>
        <w:t xml:space="preserve"> </w:t>
      </w:r>
      <w:r>
        <w:rPr>
          <w:b/>
          <w:sz w:val="32"/>
        </w:rPr>
        <w:t>a</w:t>
      </w:r>
      <w:r>
        <w:rPr>
          <w:b/>
          <w:spacing w:val="-5"/>
          <w:sz w:val="32"/>
        </w:rPr>
        <w:t xml:space="preserve"> </w:t>
      </w:r>
      <w:r>
        <w:rPr>
          <w:b/>
          <w:sz w:val="32"/>
        </w:rPr>
        <w:t>human</w:t>
      </w:r>
      <w:r>
        <w:rPr>
          <w:b/>
          <w:spacing w:val="-5"/>
          <w:sz w:val="32"/>
        </w:rPr>
        <w:t xml:space="preserve"> </w:t>
      </w:r>
      <w:r>
        <w:rPr>
          <w:b/>
          <w:sz w:val="32"/>
        </w:rPr>
        <w:t xml:space="preserve">rights </w:t>
      </w:r>
      <w:r>
        <w:rPr>
          <w:b/>
          <w:spacing w:val="-2"/>
          <w:sz w:val="32"/>
        </w:rPr>
        <w:t>enactment</w:t>
      </w:r>
    </w:p>
    <w:p w14:paraId="7CB26443" w14:textId="77777777" w:rsidR="008A4099" w:rsidRDefault="008A4099">
      <w:pPr>
        <w:pStyle w:val="BodyText"/>
        <w:rPr>
          <w:b/>
          <w:sz w:val="20"/>
        </w:rPr>
      </w:pPr>
    </w:p>
    <w:p w14:paraId="7CB26444" w14:textId="77777777" w:rsidR="008A4099" w:rsidRDefault="008A4099">
      <w:pPr>
        <w:pStyle w:val="BodyText"/>
        <w:spacing w:before="183"/>
        <w:rPr>
          <w:b/>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4"/>
        <w:gridCol w:w="1513"/>
        <w:gridCol w:w="1513"/>
        <w:gridCol w:w="1561"/>
        <w:gridCol w:w="2361"/>
      </w:tblGrid>
      <w:tr w:rsidR="008A4099" w14:paraId="7CB2644F" w14:textId="77777777">
        <w:trPr>
          <w:trHeight w:val="945"/>
        </w:trPr>
        <w:tc>
          <w:tcPr>
            <w:tcW w:w="2074" w:type="dxa"/>
          </w:tcPr>
          <w:p w14:paraId="7CB26445" w14:textId="77777777" w:rsidR="008A4099" w:rsidRDefault="008A4099">
            <w:pPr>
              <w:pStyle w:val="TableParagraph"/>
              <w:spacing w:before="71"/>
              <w:rPr>
                <w:b/>
              </w:rPr>
            </w:pPr>
          </w:p>
          <w:p w14:paraId="7CB26446" w14:textId="77777777" w:rsidR="008A4099" w:rsidRDefault="006A6EE2">
            <w:pPr>
              <w:pStyle w:val="TableParagraph"/>
              <w:spacing w:before="1"/>
              <w:ind w:left="7"/>
              <w:jc w:val="center"/>
              <w:rPr>
                <w:b/>
              </w:rPr>
            </w:pPr>
            <w:r>
              <w:rPr>
                <w:b/>
                <w:spacing w:val="-2"/>
              </w:rPr>
              <w:t>Rights</w:t>
            </w:r>
          </w:p>
        </w:tc>
        <w:tc>
          <w:tcPr>
            <w:tcW w:w="1513" w:type="dxa"/>
          </w:tcPr>
          <w:p w14:paraId="7CB26447" w14:textId="77777777" w:rsidR="008A4099" w:rsidRDefault="008A4099">
            <w:pPr>
              <w:pStyle w:val="TableParagraph"/>
              <w:spacing w:before="93"/>
              <w:rPr>
                <w:b/>
              </w:rPr>
            </w:pPr>
          </w:p>
          <w:p w14:paraId="7CB26448" w14:textId="77777777" w:rsidR="008A4099" w:rsidRDefault="006A6EE2">
            <w:pPr>
              <w:pStyle w:val="TableParagraph"/>
              <w:ind w:left="11" w:right="5"/>
              <w:jc w:val="center"/>
              <w:rPr>
                <w:b/>
              </w:rPr>
            </w:pPr>
            <w:r>
              <w:rPr>
                <w:b/>
                <w:spacing w:val="-5"/>
              </w:rPr>
              <w:t>ACT</w:t>
            </w:r>
          </w:p>
        </w:tc>
        <w:tc>
          <w:tcPr>
            <w:tcW w:w="1513" w:type="dxa"/>
          </w:tcPr>
          <w:p w14:paraId="7CB26449" w14:textId="77777777" w:rsidR="008A4099" w:rsidRDefault="008A4099">
            <w:pPr>
              <w:pStyle w:val="TableParagraph"/>
              <w:spacing w:before="93"/>
              <w:rPr>
                <w:b/>
              </w:rPr>
            </w:pPr>
          </w:p>
          <w:p w14:paraId="7CB2644A" w14:textId="77777777" w:rsidR="008A4099" w:rsidRDefault="006A6EE2">
            <w:pPr>
              <w:pStyle w:val="TableParagraph"/>
              <w:ind w:left="11" w:right="3"/>
              <w:jc w:val="center"/>
              <w:rPr>
                <w:b/>
              </w:rPr>
            </w:pPr>
            <w:r>
              <w:rPr>
                <w:b/>
                <w:spacing w:val="-5"/>
              </w:rPr>
              <w:t>Vic</w:t>
            </w:r>
          </w:p>
        </w:tc>
        <w:tc>
          <w:tcPr>
            <w:tcW w:w="1561" w:type="dxa"/>
          </w:tcPr>
          <w:p w14:paraId="7CB2644B" w14:textId="77777777" w:rsidR="008A4099" w:rsidRDefault="008A4099">
            <w:pPr>
              <w:pStyle w:val="TableParagraph"/>
              <w:spacing w:before="93"/>
              <w:rPr>
                <w:b/>
              </w:rPr>
            </w:pPr>
          </w:p>
          <w:p w14:paraId="7CB2644C" w14:textId="77777777" w:rsidR="008A4099" w:rsidRDefault="006A6EE2">
            <w:pPr>
              <w:pStyle w:val="TableParagraph"/>
              <w:ind w:left="9"/>
              <w:jc w:val="center"/>
              <w:rPr>
                <w:b/>
              </w:rPr>
            </w:pPr>
            <w:r>
              <w:rPr>
                <w:b/>
                <w:spacing w:val="-5"/>
              </w:rPr>
              <w:t>Qld</w:t>
            </w:r>
          </w:p>
        </w:tc>
        <w:tc>
          <w:tcPr>
            <w:tcW w:w="2361" w:type="dxa"/>
          </w:tcPr>
          <w:p w14:paraId="7CB2644D" w14:textId="77777777" w:rsidR="008A4099" w:rsidRDefault="006A6EE2">
            <w:pPr>
              <w:pStyle w:val="TableParagraph"/>
              <w:spacing w:before="200"/>
              <w:ind w:left="4" w:right="3"/>
              <w:jc w:val="center"/>
              <w:rPr>
                <w:b/>
              </w:rPr>
            </w:pPr>
            <w:r>
              <w:rPr>
                <w:b/>
                <w:spacing w:val="-4"/>
              </w:rPr>
              <w:t>TLRI</w:t>
            </w:r>
          </w:p>
          <w:p w14:paraId="7CB2644E" w14:textId="77777777" w:rsidR="008A4099" w:rsidRDefault="006A6EE2">
            <w:pPr>
              <w:pStyle w:val="TableParagraph"/>
              <w:spacing w:before="1"/>
              <w:ind w:left="4"/>
              <w:jc w:val="center"/>
              <w:rPr>
                <w:b/>
              </w:rPr>
            </w:pPr>
            <w:r>
              <w:rPr>
                <w:b/>
                <w:spacing w:val="-2"/>
              </w:rPr>
              <w:t>Recommendations</w:t>
            </w:r>
          </w:p>
        </w:tc>
      </w:tr>
      <w:tr w:rsidR="008A4099" w14:paraId="7CB26451" w14:textId="77777777">
        <w:trPr>
          <w:trHeight w:val="734"/>
        </w:trPr>
        <w:tc>
          <w:tcPr>
            <w:tcW w:w="9022" w:type="dxa"/>
            <w:gridSpan w:val="5"/>
            <w:shd w:val="clear" w:color="auto" w:fill="F1F1F1"/>
          </w:tcPr>
          <w:p w14:paraId="7CB26450" w14:textId="77777777" w:rsidR="008A4099" w:rsidRDefault="006A6EE2">
            <w:pPr>
              <w:pStyle w:val="TableParagraph"/>
              <w:spacing w:before="241"/>
              <w:ind w:left="107"/>
              <w:rPr>
                <w:b/>
              </w:rPr>
            </w:pPr>
            <w:r>
              <w:rPr>
                <w:b/>
                <w:i/>
              </w:rPr>
              <w:t>International</w:t>
            </w:r>
            <w:r>
              <w:rPr>
                <w:b/>
                <w:i/>
                <w:spacing w:val="-6"/>
              </w:rPr>
              <w:t xml:space="preserve"> </w:t>
            </w:r>
            <w:r>
              <w:rPr>
                <w:b/>
                <w:i/>
              </w:rPr>
              <w:t>Covenant</w:t>
            </w:r>
            <w:r>
              <w:rPr>
                <w:b/>
                <w:i/>
                <w:spacing w:val="-5"/>
              </w:rPr>
              <w:t xml:space="preserve"> </w:t>
            </w:r>
            <w:r>
              <w:rPr>
                <w:b/>
                <w:i/>
              </w:rPr>
              <w:t>on</w:t>
            </w:r>
            <w:r>
              <w:rPr>
                <w:b/>
                <w:i/>
                <w:spacing w:val="-6"/>
              </w:rPr>
              <w:t xml:space="preserve"> </w:t>
            </w:r>
            <w:r>
              <w:rPr>
                <w:b/>
                <w:i/>
              </w:rPr>
              <w:t>Civil</w:t>
            </w:r>
            <w:r>
              <w:rPr>
                <w:b/>
                <w:i/>
                <w:spacing w:val="-4"/>
              </w:rPr>
              <w:t xml:space="preserve"> </w:t>
            </w:r>
            <w:r>
              <w:rPr>
                <w:b/>
                <w:i/>
              </w:rPr>
              <w:t>and</w:t>
            </w:r>
            <w:r>
              <w:rPr>
                <w:b/>
                <w:i/>
                <w:spacing w:val="-5"/>
              </w:rPr>
              <w:t xml:space="preserve"> </w:t>
            </w:r>
            <w:r>
              <w:rPr>
                <w:b/>
                <w:i/>
              </w:rPr>
              <w:t>Political</w:t>
            </w:r>
            <w:r>
              <w:rPr>
                <w:b/>
                <w:i/>
                <w:spacing w:val="-3"/>
              </w:rPr>
              <w:t xml:space="preserve"> </w:t>
            </w:r>
            <w:r>
              <w:rPr>
                <w:b/>
                <w:i/>
              </w:rPr>
              <w:t>Rights</w:t>
            </w:r>
            <w:r>
              <w:rPr>
                <w:b/>
                <w:i/>
                <w:spacing w:val="-4"/>
              </w:rPr>
              <w:t xml:space="preserve"> </w:t>
            </w:r>
            <w:r>
              <w:rPr>
                <w:b/>
              </w:rPr>
              <w:t>(‘ICCPR’)</w:t>
            </w:r>
            <w:r>
              <w:rPr>
                <w:b/>
                <w:spacing w:val="-4"/>
              </w:rPr>
              <w:t xml:space="preserve"> </w:t>
            </w:r>
            <w:r>
              <w:rPr>
                <w:b/>
                <w:spacing w:val="-2"/>
              </w:rPr>
              <w:t>rights</w:t>
            </w:r>
          </w:p>
        </w:tc>
      </w:tr>
      <w:tr w:rsidR="008A4099" w14:paraId="7CB26457" w14:textId="77777777">
        <w:trPr>
          <w:trHeight w:val="491"/>
        </w:trPr>
        <w:tc>
          <w:tcPr>
            <w:tcW w:w="2074" w:type="dxa"/>
          </w:tcPr>
          <w:p w14:paraId="7CB26452" w14:textId="77777777" w:rsidR="008A4099" w:rsidRDefault="006A6EE2">
            <w:pPr>
              <w:pStyle w:val="TableParagraph"/>
              <w:spacing w:before="121"/>
              <w:ind w:left="107"/>
            </w:pPr>
            <w:r>
              <w:t>The</w:t>
            </w:r>
            <w:r>
              <w:rPr>
                <w:spacing w:val="-3"/>
              </w:rPr>
              <w:t xml:space="preserve"> </w:t>
            </w:r>
            <w:r>
              <w:t>right</w:t>
            </w:r>
            <w:r>
              <w:rPr>
                <w:spacing w:val="-3"/>
              </w:rPr>
              <w:t xml:space="preserve"> </w:t>
            </w:r>
            <w:r>
              <w:t>to</w:t>
            </w:r>
            <w:r>
              <w:rPr>
                <w:spacing w:val="-3"/>
              </w:rPr>
              <w:t xml:space="preserve"> </w:t>
            </w:r>
            <w:r>
              <w:rPr>
                <w:spacing w:val="-4"/>
              </w:rPr>
              <w:t>life</w:t>
            </w:r>
          </w:p>
        </w:tc>
        <w:tc>
          <w:tcPr>
            <w:tcW w:w="1513" w:type="dxa"/>
          </w:tcPr>
          <w:p w14:paraId="7CB26453" w14:textId="77777777" w:rsidR="008A4099" w:rsidRDefault="006A6EE2">
            <w:pPr>
              <w:pStyle w:val="TableParagraph"/>
              <w:spacing w:before="121"/>
              <w:ind w:left="11" w:right="1"/>
              <w:jc w:val="center"/>
            </w:pPr>
            <w:r>
              <w:t xml:space="preserve">s </w:t>
            </w:r>
            <w:r>
              <w:rPr>
                <w:spacing w:val="-10"/>
              </w:rPr>
              <w:t>9</w:t>
            </w:r>
          </w:p>
        </w:tc>
        <w:tc>
          <w:tcPr>
            <w:tcW w:w="1513" w:type="dxa"/>
          </w:tcPr>
          <w:p w14:paraId="7CB26454" w14:textId="77777777" w:rsidR="008A4099" w:rsidRDefault="006A6EE2">
            <w:pPr>
              <w:pStyle w:val="TableParagraph"/>
              <w:spacing w:before="121"/>
              <w:ind w:left="11" w:right="3"/>
              <w:jc w:val="center"/>
            </w:pPr>
            <w:r>
              <w:t xml:space="preserve">s </w:t>
            </w:r>
            <w:r>
              <w:rPr>
                <w:spacing w:val="-10"/>
              </w:rPr>
              <w:t>9</w:t>
            </w:r>
          </w:p>
        </w:tc>
        <w:tc>
          <w:tcPr>
            <w:tcW w:w="1561" w:type="dxa"/>
          </w:tcPr>
          <w:p w14:paraId="7CB26455" w14:textId="77777777" w:rsidR="008A4099" w:rsidRDefault="006A6EE2">
            <w:pPr>
              <w:pStyle w:val="TableParagraph"/>
              <w:spacing w:before="121"/>
              <w:ind w:left="9" w:right="2"/>
              <w:jc w:val="center"/>
            </w:pPr>
            <w:r>
              <w:t xml:space="preserve">s </w:t>
            </w:r>
            <w:r>
              <w:rPr>
                <w:spacing w:val="-5"/>
              </w:rPr>
              <w:t>16</w:t>
            </w:r>
          </w:p>
        </w:tc>
        <w:tc>
          <w:tcPr>
            <w:tcW w:w="2361" w:type="dxa"/>
          </w:tcPr>
          <w:p w14:paraId="7CB26456" w14:textId="77777777" w:rsidR="008A4099" w:rsidRDefault="006A6EE2">
            <w:pPr>
              <w:pStyle w:val="TableParagraph"/>
              <w:spacing w:before="131"/>
              <w:ind w:left="4" w:right="2"/>
              <w:jc w:val="center"/>
              <w:rPr>
                <w:rFonts w:ascii="Wingdings 2" w:hAnsi="Wingdings 2"/>
              </w:rPr>
            </w:pPr>
            <w:r>
              <w:rPr>
                <w:rFonts w:ascii="Wingdings 2" w:hAnsi="Wingdings 2"/>
                <w:spacing w:val="-10"/>
              </w:rPr>
              <w:t></w:t>
            </w:r>
          </w:p>
        </w:tc>
      </w:tr>
      <w:tr w:rsidR="008A4099" w14:paraId="7CB2645E" w14:textId="77777777">
        <w:trPr>
          <w:trHeight w:val="746"/>
        </w:trPr>
        <w:tc>
          <w:tcPr>
            <w:tcW w:w="2074" w:type="dxa"/>
          </w:tcPr>
          <w:p w14:paraId="7CB26458" w14:textId="77777777" w:rsidR="008A4099" w:rsidRDefault="006A6EE2">
            <w:pPr>
              <w:pStyle w:val="TableParagraph"/>
              <w:spacing w:before="118" w:line="244" w:lineRule="auto"/>
              <w:ind w:left="107"/>
            </w:pPr>
            <w:r>
              <w:t>The</w:t>
            </w:r>
            <w:r>
              <w:rPr>
                <w:spacing w:val="-13"/>
              </w:rPr>
              <w:t xml:space="preserve"> </w:t>
            </w:r>
            <w:r>
              <w:t>protection</w:t>
            </w:r>
            <w:r>
              <w:rPr>
                <w:spacing w:val="-13"/>
              </w:rPr>
              <w:t xml:space="preserve"> </w:t>
            </w:r>
            <w:r>
              <w:t>of</w:t>
            </w:r>
            <w:r>
              <w:rPr>
                <w:spacing w:val="-13"/>
              </w:rPr>
              <w:t xml:space="preserve"> </w:t>
            </w:r>
            <w:r>
              <w:t>the family and children</w:t>
            </w:r>
          </w:p>
        </w:tc>
        <w:tc>
          <w:tcPr>
            <w:tcW w:w="1513" w:type="dxa"/>
          </w:tcPr>
          <w:p w14:paraId="7CB26459" w14:textId="77777777" w:rsidR="008A4099" w:rsidRDefault="006A6EE2">
            <w:pPr>
              <w:pStyle w:val="TableParagraph"/>
              <w:spacing w:before="248"/>
              <w:ind w:left="11" w:right="1"/>
              <w:jc w:val="center"/>
            </w:pPr>
            <w:r>
              <w:t xml:space="preserve">s </w:t>
            </w:r>
            <w:r>
              <w:rPr>
                <w:spacing w:val="-5"/>
              </w:rPr>
              <w:t>11</w:t>
            </w:r>
          </w:p>
        </w:tc>
        <w:tc>
          <w:tcPr>
            <w:tcW w:w="1513" w:type="dxa"/>
          </w:tcPr>
          <w:p w14:paraId="7CB2645A" w14:textId="77777777" w:rsidR="008A4099" w:rsidRDefault="006A6EE2">
            <w:pPr>
              <w:pStyle w:val="TableParagraph"/>
              <w:spacing w:before="248"/>
              <w:ind w:left="11" w:right="3"/>
              <w:jc w:val="center"/>
            </w:pPr>
            <w:r>
              <w:t xml:space="preserve">s </w:t>
            </w:r>
            <w:r>
              <w:rPr>
                <w:spacing w:val="-5"/>
              </w:rPr>
              <w:t>17</w:t>
            </w:r>
          </w:p>
        </w:tc>
        <w:tc>
          <w:tcPr>
            <w:tcW w:w="1561" w:type="dxa"/>
          </w:tcPr>
          <w:p w14:paraId="7CB2645B" w14:textId="77777777" w:rsidR="008A4099" w:rsidRDefault="006A6EE2">
            <w:pPr>
              <w:pStyle w:val="TableParagraph"/>
              <w:spacing w:before="248"/>
              <w:ind w:left="9" w:right="2"/>
              <w:jc w:val="center"/>
            </w:pPr>
            <w:r>
              <w:t xml:space="preserve">s </w:t>
            </w:r>
            <w:r>
              <w:rPr>
                <w:spacing w:val="-5"/>
              </w:rPr>
              <w:t>26</w:t>
            </w:r>
          </w:p>
        </w:tc>
        <w:tc>
          <w:tcPr>
            <w:tcW w:w="2361" w:type="dxa"/>
          </w:tcPr>
          <w:p w14:paraId="7CB2645C" w14:textId="77777777" w:rsidR="008A4099" w:rsidRDefault="008A4099">
            <w:pPr>
              <w:pStyle w:val="TableParagraph"/>
              <w:spacing w:before="5"/>
              <w:rPr>
                <w:b/>
              </w:rPr>
            </w:pPr>
          </w:p>
          <w:p w14:paraId="7CB2645D"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65" w14:textId="77777777">
        <w:trPr>
          <w:trHeight w:val="746"/>
        </w:trPr>
        <w:tc>
          <w:tcPr>
            <w:tcW w:w="2074" w:type="dxa"/>
          </w:tcPr>
          <w:p w14:paraId="7CB2645F" w14:textId="77777777" w:rsidR="008A4099" w:rsidRDefault="006A6EE2">
            <w:pPr>
              <w:pStyle w:val="TableParagraph"/>
              <w:spacing w:before="118" w:line="244" w:lineRule="auto"/>
              <w:ind w:left="107" w:right="160"/>
            </w:pPr>
            <w:r>
              <w:t>The</w:t>
            </w:r>
            <w:r>
              <w:rPr>
                <w:spacing w:val="-11"/>
              </w:rPr>
              <w:t xml:space="preserve"> </w:t>
            </w:r>
            <w:r>
              <w:t>right</w:t>
            </w:r>
            <w:r>
              <w:rPr>
                <w:spacing w:val="-13"/>
              </w:rPr>
              <w:t xml:space="preserve"> </w:t>
            </w:r>
            <w:r>
              <w:t>to</w:t>
            </w:r>
            <w:r>
              <w:rPr>
                <w:spacing w:val="-14"/>
              </w:rPr>
              <w:t xml:space="preserve"> </w:t>
            </w:r>
            <w:r>
              <w:t>liberty and security</w:t>
            </w:r>
          </w:p>
        </w:tc>
        <w:tc>
          <w:tcPr>
            <w:tcW w:w="1513" w:type="dxa"/>
          </w:tcPr>
          <w:p w14:paraId="7CB26460" w14:textId="77777777" w:rsidR="008A4099" w:rsidRDefault="006A6EE2">
            <w:pPr>
              <w:pStyle w:val="TableParagraph"/>
              <w:spacing w:before="248"/>
              <w:ind w:left="11" w:right="1"/>
              <w:jc w:val="center"/>
            </w:pPr>
            <w:r>
              <w:t xml:space="preserve">s </w:t>
            </w:r>
            <w:r>
              <w:rPr>
                <w:spacing w:val="-5"/>
              </w:rPr>
              <w:t>18</w:t>
            </w:r>
          </w:p>
        </w:tc>
        <w:tc>
          <w:tcPr>
            <w:tcW w:w="1513" w:type="dxa"/>
          </w:tcPr>
          <w:p w14:paraId="7CB26461" w14:textId="77777777" w:rsidR="008A4099" w:rsidRDefault="006A6EE2">
            <w:pPr>
              <w:pStyle w:val="TableParagraph"/>
              <w:spacing w:before="248"/>
              <w:ind w:left="11" w:right="3"/>
              <w:jc w:val="center"/>
            </w:pPr>
            <w:r>
              <w:t xml:space="preserve">s </w:t>
            </w:r>
            <w:r>
              <w:rPr>
                <w:spacing w:val="-5"/>
              </w:rPr>
              <w:t>21</w:t>
            </w:r>
          </w:p>
        </w:tc>
        <w:tc>
          <w:tcPr>
            <w:tcW w:w="1561" w:type="dxa"/>
          </w:tcPr>
          <w:p w14:paraId="7CB26462" w14:textId="77777777" w:rsidR="008A4099" w:rsidRDefault="006A6EE2">
            <w:pPr>
              <w:pStyle w:val="TableParagraph"/>
              <w:spacing w:before="248"/>
              <w:ind w:left="9" w:right="2"/>
              <w:jc w:val="center"/>
            </w:pPr>
            <w:r>
              <w:t xml:space="preserve">s </w:t>
            </w:r>
            <w:r>
              <w:rPr>
                <w:spacing w:val="-5"/>
              </w:rPr>
              <w:t>29</w:t>
            </w:r>
          </w:p>
        </w:tc>
        <w:tc>
          <w:tcPr>
            <w:tcW w:w="2361" w:type="dxa"/>
          </w:tcPr>
          <w:p w14:paraId="7CB26463" w14:textId="77777777" w:rsidR="008A4099" w:rsidRDefault="008A4099">
            <w:pPr>
              <w:pStyle w:val="TableParagraph"/>
              <w:spacing w:before="5"/>
              <w:rPr>
                <w:b/>
              </w:rPr>
            </w:pPr>
          </w:p>
          <w:p w14:paraId="7CB26464"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6F" w14:textId="77777777">
        <w:trPr>
          <w:trHeight w:val="998"/>
        </w:trPr>
        <w:tc>
          <w:tcPr>
            <w:tcW w:w="2074" w:type="dxa"/>
          </w:tcPr>
          <w:p w14:paraId="7CB26466" w14:textId="77777777" w:rsidR="008A4099" w:rsidRDefault="006A6EE2">
            <w:pPr>
              <w:pStyle w:val="TableParagraph"/>
              <w:spacing w:before="118"/>
              <w:ind w:left="107"/>
            </w:pPr>
            <w:r>
              <w:t>The</w:t>
            </w:r>
            <w:r>
              <w:rPr>
                <w:spacing w:val="-12"/>
              </w:rPr>
              <w:t xml:space="preserve"> </w:t>
            </w:r>
            <w:r>
              <w:t>right</w:t>
            </w:r>
            <w:r>
              <w:rPr>
                <w:spacing w:val="-13"/>
              </w:rPr>
              <w:t xml:space="preserve"> </w:t>
            </w:r>
            <w:r>
              <w:t>to</w:t>
            </w:r>
            <w:r>
              <w:rPr>
                <w:spacing w:val="-12"/>
              </w:rPr>
              <w:t xml:space="preserve"> </w:t>
            </w:r>
            <w:r>
              <w:t xml:space="preserve">humane treatment when </w:t>
            </w:r>
            <w:r>
              <w:rPr>
                <w:spacing w:val="-2"/>
              </w:rPr>
              <w:t>detained</w:t>
            </w:r>
          </w:p>
        </w:tc>
        <w:tc>
          <w:tcPr>
            <w:tcW w:w="1513" w:type="dxa"/>
          </w:tcPr>
          <w:p w14:paraId="7CB26467" w14:textId="77777777" w:rsidR="008A4099" w:rsidRDefault="008A4099">
            <w:pPr>
              <w:pStyle w:val="TableParagraph"/>
              <w:spacing w:before="122"/>
              <w:rPr>
                <w:b/>
              </w:rPr>
            </w:pPr>
          </w:p>
          <w:p w14:paraId="7CB26468" w14:textId="77777777" w:rsidR="008A4099" w:rsidRDefault="006A6EE2">
            <w:pPr>
              <w:pStyle w:val="TableParagraph"/>
              <w:ind w:left="11" w:right="1"/>
              <w:jc w:val="center"/>
            </w:pPr>
            <w:r>
              <w:t xml:space="preserve">s </w:t>
            </w:r>
            <w:r>
              <w:rPr>
                <w:spacing w:val="-5"/>
              </w:rPr>
              <w:t>19</w:t>
            </w:r>
          </w:p>
        </w:tc>
        <w:tc>
          <w:tcPr>
            <w:tcW w:w="1513" w:type="dxa"/>
          </w:tcPr>
          <w:p w14:paraId="7CB26469" w14:textId="77777777" w:rsidR="008A4099" w:rsidRDefault="008A4099">
            <w:pPr>
              <w:pStyle w:val="TableParagraph"/>
              <w:spacing w:before="122"/>
              <w:rPr>
                <w:b/>
              </w:rPr>
            </w:pPr>
          </w:p>
          <w:p w14:paraId="7CB2646A" w14:textId="77777777" w:rsidR="008A4099" w:rsidRDefault="006A6EE2">
            <w:pPr>
              <w:pStyle w:val="TableParagraph"/>
              <w:ind w:left="11" w:right="2"/>
              <w:jc w:val="center"/>
            </w:pPr>
            <w:r>
              <w:t xml:space="preserve">s </w:t>
            </w:r>
            <w:r>
              <w:rPr>
                <w:spacing w:val="-5"/>
              </w:rPr>
              <w:t>22</w:t>
            </w:r>
          </w:p>
        </w:tc>
        <w:tc>
          <w:tcPr>
            <w:tcW w:w="1561" w:type="dxa"/>
          </w:tcPr>
          <w:p w14:paraId="7CB2646B" w14:textId="77777777" w:rsidR="008A4099" w:rsidRDefault="008A4099">
            <w:pPr>
              <w:pStyle w:val="TableParagraph"/>
              <w:spacing w:before="122"/>
              <w:rPr>
                <w:b/>
              </w:rPr>
            </w:pPr>
          </w:p>
          <w:p w14:paraId="7CB2646C" w14:textId="77777777" w:rsidR="008A4099" w:rsidRDefault="006A6EE2">
            <w:pPr>
              <w:pStyle w:val="TableParagraph"/>
              <w:ind w:left="9" w:right="2"/>
              <w:jc w:val="center"/>
            </w:pPr>
            <w:r>
              <w:t xml:space="preserve">s </w:t>
            </w:r>
            <w:r>
              <w:rPr>
                <w:spacing w:val="-5"/>
              </w:rPr>
              <w:t>30</w:t>
            </w:r>
          </w:p>
        </w:tc>
        <w:tc>
          <w:tcPr>
            <w:tcW w:w="2361" w:type="dxa"/>
          </w:tcPr>
          <w:p w14:paraId="7CB2646D" w14:textId="77777777" w:rsidR="008A4099" w:rsidRDefault="008A4099">
            <w:pPr>
              <w:pStyle w:val="TableParagraph"/>
              <w:spacing w:before="132"/>
              <w:rPr>
                <w:b/>
              </w:rPr>
            </w:pPr>
          </w:p>
          <w:p w14:paraId="7CB2646E"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76" w14:textId="77777777">
        <w:trPr>
          <w:trHeight w:val="745"/>
        </w:trPr>
        <w:tc>
          <w:tcPr>
            <w:tcW w:w="2074" w:type="dxa"/>
          </w:tcPr>
          <w:p w14:paraId="7CB26470" w14:textId="77777777" w:rsidR="008A4099" w:rsidRDefault="006A6EE2">
            <w:pPr>
              <w:pStyle w:val="TableParagraph"/>
              <w:spacing w:before="121"/>
              <w:ind w:left="107"/>
            </w:pPr>
            <w:r>
              <w:t>The</w:t>
            </w:r>
            <w:r>
              <w:rPr>
                <w:spacing w:val="-8"/>
              </w:rPr>
              <w:t xml:space="preserve"> </w:t>
            </w:r>
            <w:r>
              <w:t>right</w:t>
            </w:r>
            <w:r>
              <w:rPr>
                <w:spacing w:val="-10"/>
              </w:rPr>
              <w:t xml:space="preserve"> </w:t>
            </w:r>
            <w:r>
              <w:t>to</w:t>
            </w:r>
            <w:r>
              <w:rPr>
                <w:spacing w:val="-11"/>
              </w:rPr>
              <w:t xml:space="preserve"> </w:t>
            </w:r>
            <w:r>
              <w:t>a</w:t>
            </w:r>
            <w:r>
              <w:rPr>
                <w:spacing w:val="-8"/>
              </w:rPr>
              <w:t xml:space="preserve"> </w:t>
            </w:r>
            <w:r>
              <w:t xml:space="preserve">fair </w:t>
            </w:r>
            <w:r>
              <w:rPr>
                <w:spacing w:val="-2"/>
              </w:rPr>
              <w:t>hearing</w:t>
            </w:r>
          </w:p>
        </w:tc>
        <w:tc>
          <w:tcPr>
            <w:tcW w:w="1513" w:type="dxa"/>
          </w:tcPr>
          <w:p w14:paraId="7CB26471" w14:textId="77777777" w:rsidR="008A4099" w:rsidRDefault="006A6EE2">
            <w:pPr>
              <w:pStyle w:val="TableParagraph"/>
              <w:spacing w:before="248"/>
              <w:ind w:left="11" w:right="1"/>
              <w:jc w:val="center"/>
            </w:pPr>
            <w:r>
              <w:t xml:space="preserve">s </w:t>
            </w:r>
            <w:r>
              <w:rPr>
                <w:spacing w:val="-5"/>
              </w:rPr>
              <w:t>21</w:t>
            </w:r>
          </w:p>
        </w:tc>
        <w:tc>
          <w:tcPr>
            <w:tcW w:w="1513" w:type="dxa"/>
          </w:tcPr>
          <w:p w14:paraId="7CB26472" w14:textId="77777777" w:rsidR="008A4099" w:rsidRDefault="006A6EE2">
            <w:pPr>
              <w:pStyle w:val="TableParagraph"/>
              <w:spacing w:before="248"/>
              <w:ind w:left="11" w:right="3"/>
              <w:jc w:val="center"/>
            </w:pPr>
            <w:r>
              <w:t xml:space="preserve">s </w:t>
            </w:r>
            <w:r>
              <w:rPr>
                <w:spacing w:val="-5"/>
              </w:rPr>
              <w:t>24</w:t>
            </w:r>
          </w:p>
        </w:tc>
        <w:tc>
          <w:tcPr>
            <w:tcW w:w="1561" w:type="dxa"/>
          </w:tcPr>
          <w:p w14:paraId="7CB26473" w14:textId="77777777" w:rsidR="008A4099" w:rsidRDefault="006A6EE2">
            <w:pPr>
              <w:pStyle w:val="TableParagraph"/>
              <w:spacing w:before="248"/>
              <w:ind w:left="9" w:right="2"/>
              <w:jc w:val="center"/>
            </w:pPr>
            <w:r>
              <w:t xml:space="preserve">s </w:t>
            </w:r>
            <w:r>
              <w:rPr>
                <w:spacing w:val="-5"/>
              </w:rPr>
              <w:t>31</w:t>
            </w:r>
          </w:p>
        </w:tc>
        <w:tc>
          <w:tcPr>
            <w:tcW w:w="2361" w:type="dxa"/>
          </w:tcPr>
          <w:p w14:paraId="7CB26474" w14:textId="77777777" w:rsidR="008A4099" w:rsidRDefault="008A4099">
            <w:pPr>
              <w:pStyle w:val="TableParagraph"/>
              <w:spacing w:before="7"/>
              <w:rPr>
                <w:b/>
              </w:rPr>
            </w:pPr>
          </w:p>
          <w:p w14:paraId="7CB26475"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81" w14:textId="77777777">
        <w:trPr>
          <w:trHeight w:val="1252"/>
        </w:trPr>
        <w:tc>
          <w:tcPr>
            <w:tcW w:w="2074" w:type="dxa"/>
          </w:tcPr>
          <w:p w14:paraId="7CB26477" w14:textId="77777777" w:rsidR="008A4099" w:rsidRDefault="006A6EE2">
            <w:pPr>
              <w:pStyle w:val="TableParagraph"/>
              <w:spacing w:before="121"/>
              <w:ind w:left="107" w:right="588"/>
            </w:pPr>
            <w:r>
              <w:t>The rights of children in the criminal</w:t>
            </w:r>
            <w:r>
              <w:rPr>
                <w:spacing w:val="-14"/>
              </w:rPr>
              <w:t xml:space="preserve"> </w:t>
            </w:r>
            <w:r>
              <w:t xml:space="preserve">justice </w:t>
            </w:r>
            <w:r>
              <w:rPr>
                <w:spacing w:val="-2"/>
              </w:rPr>
              <w:t>process</w:t>
            </w:r>
          </w:p>
        </w:tc>
        <w:tc>
          <w:tcPr>
            <w:tcW w:w="1513" w:type="dxa"/>
          </w:tcPr>
          <w:p w14:paraId="7CB26478" w14:textId="77777777" w:rsidR="008A4099" w:rsidRDefault="008A4099">
            <w:pPr>
              <w:pStyle w:val="TableParagraph"/>
              <w:spacing w:before="249"/>
              <w:rPr>
                <w:b/>
              </w:rPr>
            </w:pPr>
          </w:p>
          <w:p w14:paraId="7CB26479" w14:textId="77777777" w:rsidR="008A4099" w:rsidRDefault="006A6EE2">
            <w:pPr>
              <w:pStyle w:val="TableParagraph"/>
              <w:ind w:left="11" w:right="1"/>
              <w:jc w:val="center"/>
            </w:pPr>
            <w:r>
              <w:t xml:space="preserve">s </w:t>
            </w:r>
            <w:r>
              <w:rPr>
                <w:spacing w:val="-5"/>
              </w:rPr>
              <w:t>20</w:t>
            </w:r>
          </w:p>
        </w:tc>
        <w:tc>
          <w:tcPr>
            <w:tcW w:w="1513" w:type="dxa"/>
          </w:tcPr>
          <w:p w14:paraId="7CB2647A" w14:textId="77777777" w:rsidR="008A4099" w:rsidRDefault="008A4099">
            <w:pPr>
              <w:pStyle w:val="TableParagraph"/>
              <w:spacing w:before="249"/>
              <w:rPr>
                <w:b/>
              </w:rPr>
            </w:pPr>
          </w:p>
          <w:p w14:paraId="7CB2647B" w14:textId="77777777" w:rsidR="008A4099" w:rsidRDefault="006A6EE2">
            <w:pPr>
              <w:pStyle w:val="TableParagraph"/>
              <w:ind w:left="11" w:right="3"/>
              <w:jc w:val="center"/>
            </w:pPr>
            <w:r>
              <w:t xml:space="preserve">s </w:t>
            </w:r>
            <w:r>
              <w:rPr>
                <w:spacing w:val="-5"/>
              </w:rPr>
              <w:t>23</w:t>
            </w:r>
          </w:p>
        </w:tc>
        <w:tc>
          <w:tcPr>
            <w:tcW w:w="1561" w:type="dxa"/>
          </w:tcPr>
          <w:p w14:paraId="7CB2647C" w14:textId="77777777" w:rsidR="008A4099" w:rsidRDefault="008A4099">
            <w:pPr>
              <w:pStyle w:val="TableParagraph"/>
              <w:spacing w:before="249"/>
              <w:rPr>
                <w:b/>
              </w:rPr>
            </w:pPr>
          </w:p>
          <w:p w14:paraId="7CB2647D" w14:textId="77777777" w:rsidR="008A4099" w:rsidRDefault="006A6EE2">
            <w:pPr>
              <w:pStyle w:val="TableParagraph"/>
              <w:ind w:left="9" w:right="2"/>
              <w:jc w:val="center"/>
            </w:pPr>
            <w:r>
              <w:t xml:space="preserve">s </w:t>
            </w:r>
            <w:r>
              <w:rPr>
                <w:spacing w:val="-5"/>
              </w:rPr>
              <w:t>33</w:t>
            </w:r>
          </w:p>
        </w:tc>
        <w:tc>
          <w:tcPr>
            <w:tcW w:w="2361" w:type="dxa"/>
          </w:tcPr>
          <w:p w14:paraId="7CB2647E" w14:textId="77777777" w:rsidR="008A4099" w:rsidRDefault="008A4099">
            <w:pPr>
              <w:pStyle w:val="TableParagraph"/>
              <w:rPr>
                <w:b/>
              </w:rPr>
            </w:pPr>
          </w:p>
          <w:p w14:paraId="7CB2647F" w14:textId="77777777" w:rsidR="008A4099" w:rsidRDefault="008A4099">
            <w:pPr>
              <w:pStyle w:val="TableParagraph"/>
              <w:spacing w:before="6"/>
              <w:rPr>
                <w:b/>
              </w:rPr>
            </w:pPr>
          </w:p>
          <w:p w14:paraId="7CB26480"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89" w14:textId="77777777">
        <w:trPr>
          <w:trHeight w:val="1000"/>
        </w:trPr>
        <w:tc>
          <w:tcPr>
            <w:tcW w:w="2074" w:type="dxa"/>
          </w:tcPr>
          <w:p w14:paraId="7CB26482" w14:textId="77777777" w:rsidR="008A4099" w:rsidRDefault="006A6EE2">
            <w:pPr>
              <w:pStyle w:val="TableParagraph"/>
              <w:spacing w:before="118"/>
              <w:ind w:left="107" w:right="160"/>
            </w:pPr>
            <w:r>
              <w:t>The right to compensation for wrongful</w:t>
            </w:r>
            <w:r>
              <w:rPr>
                <w:spacing w:val="-14"/>
              </w:rPr>
              <w:t xml:space="preserve"> </w:t>
            </w:r>
            <w:r>
              <w:t>conviction</w:t>
            </w:r>
          </w:p>
        </w:tc>
        <w:tc>
          <w:tcPr>
            <w:tcW w:w="1513" w:type="dxa"/>
          </w:tcPr>
          <w:p w14:paraId="7CB26483" w14:textId="77777777" w:rsidR="008A4099" w:rsidRDefault="008A4099">
            <w:pPr>
              <w:pStyle w:val="TableParagraph"/>
              <w:spacing w:before="122"/>
              <w:rPr>
                <w:b/>
              </w:rPr>
            </w:pPr>
          </w:p>
          <w:p w14:paraId="7CB26484" w14:textId="77777777" w:rsidR="008A4099" w:rsidRDefault="006A6EE2">
            <w:pPr>
              <w:pStyle w:val="TableParagraph"/>
              <w:ind w:left="11"/>
              <w:jc w:val="center"/>
            </w:pPr>
            <w:r>
              <w:t>ss</w:t>
            </w:r>
            <w:r>
              <w:rPr>
                <w:spacing w:val="-1"/>
              </w:rPr>
              <w:t xml:space="preserve"> </w:t>
            </w:r>
            <w:r>
              <w:t>22-</w:t>
            </w:r>
            <w:r>
              <w:rPr>
                <w:spacing w:val="-5"/>
              </w:rPr>
              <w:t>23</w:t>
            </w:r>
          </w:p>
        </w:tc>
        <w:tc>
          <w:tcPr>
            <w:tcW w:w="1513" w:type="dxa"/>
          </w:tcPr>
          <w:p w14:paraId="7CB26485" w14:textId="77777777" w:rsidR="008A4099" w:rsidRDefault="006A6EE2">
            <w:pPr>
              <w:pStyle w:val="TableParagraph"/>
              <w:spacing w:before="245" w:line="244" w:lineRule="auto"/>
              <w:ind w:left="106" w:firstLine="261"/>
            </w:pPr>
            <w:r>
              <w:t xml:space="preserve">s 25 (not </w:t>
            </w:r>
            <w:r>
              <w:rPr>
                <w:spacing w:val="-2"/>
              </w:rPr>
              <w:t>compensation)</w:t>
            </w:r>
          </w:p>
        </w:tc>
        <w:tc>
          <w:tcPr>
            <w:tcW w:w="1561" w:type="dxa"/>
          </w:tcPr>
          <w:p w14:paraId="7CB26486" w14:textId="77777777" w:rsidR="008A4099" w:rsidRDefault="006A6EE2">
            <w:pPr>
              <w:pStyle w:val="TableParagraph"/>
              <w:spacing w:before="245" w:line="244" w:lineRule="auto"/>
              <w:ind w:left="130" w:firstLine="261"/>
            </w:pPr>
            <w:r>
              <w:t xml:space="preserve">s 32 (not </w:t>
            </w:r>
            <w:r>
              <w:rPr>
                <w:spacing w:val="-2"/>
              </w:rPr>
              <w:t>compensation)</w:t>
            </w:r>
          </w:p>
        </w:tc>
        <w:tc>
          <w:tcPr>
            <w:tcW w:w="2361" w:type="dxa"/>
          </w:tcPr>
          <w:p w14:paraId="7CB26487" w14:textId="77777777" w:rsidR="008A4099" w:rsidRDefault="008A4099">
            <w:pPr>
              <w:pStyle w:val="TableParagraph"/>
              <w:spacing w:before="132"/>
              <w:rPr>
                <w:b/>
              </w:rPr>
            </w:pPr>
          </w:p>
          <w:p w14:paraId="7CB26488"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93" w14:textId="77777777">
        <w:trPr>
          <w:trHeight w:val="998"/>
        </w:trPr>
        <w:tc>
          <w:tcPr>
            <w:tcW w:w="2074" w:type="dxa"/>
          </w:tcPr>
          <w:p w14:paraId="7CB2648A" w14:textId="77777777" w:rsidR="008A4099" w:rsidRDefault="006A6EE2">
            <w:pPr>
              <w:pStyle w:val="TableParagraph"/>
              <w:spacing w:before="118" w:line="242" w:lineRule="auto"/>
              <w:ind w:left="107" w:right="136"/>
            </w:pPr>
            <w:r>
              <w:t xml:space="preserve">Freedom from </w:t>
            </w:r>
            <w:r>
              <w:rPr>
                <w:spacing w:val="-2"/>
              </w:rPr>
              <w:t xml:space="preserve">retrospective </w:t>
            </w:r>
            <w:r>
              <w:t>criminal</w:t>
            </w:r>
            <w:r>
              <w:rPr>
                <w:spacing w:val="-14"/>
              </w:rPr>
              <w:t xml:space="preserve"> </w:t>
            </w:r>
            <w:r>
              <w:t>punishment</w:t>
            </w:r>
          </w:p>
        </w:tc>
        <w:tc>
          <w:tcPr>
            <w:tcW w:w="1513" w:type="dxa"/>
          </w:tcPr>
          <w:p w14:paraId="7CB2648B" w14:textId="77777777" w:rsidR="008A4099" w:rsidRDefault="008A4099">
            <w:pPr>
              <w:pStyle w:val="TableParagraph"/>
              <w:spacing w:before="120"/>
              <w:rPr>
                <w:b/>
              </w:rPr>
            </w:pPr>
          </w:p>
          <w:p w14:paraId="7CB2648C" w14:textId="77777777" w:rsidR="008A4099" w:rsidRDefault="006A6EE2">
            <w:pPr>
              <w:pStyle w:val="TableParagraph"/>
              <w:ind w:left="11" w:right="1"/>
              <w:jc w:val="center"/>
            </w:pPr>
            <w:r>
              <w:t xml:space="preserve">s </w:t>
            </w:r>
            <w:r>
              <w:rPr>
                <w:spacing w:val="-5"/>
              </w:rPr>
              <w:t>25</w:t>
            </w:r>
          </w:p>
        </w:tc>
        <w:tc>
          <w:tcPr>
            <w:tcW w:w="1513" w:type="dxa"/>
          </w:tcPr>
          <w:p w14:paraId="7CB2648D" w14:textId="77777777" w:rsidR="008A4099" w:rsidRDefault="008A4099">
            <w:pPr>
              <w:pStyle w:val="TableParagraph"/>
              <w:spacing w:before="120"/>
              <w:rPr>
                <w:b/>
              </w:rPr>
            </w:pPr>
          </w:p>
          <w:p w14:paraId="7CB2648E" w14:textId="77777777" w:rsidR="008A4099" w:rsidRDefault="006A6EE2">
            <w:pPr>
              <w:pStyle w:val="TableParagraph"/>
              <w:ind w:left="11" w:right="3"/>
              <w:jc w:val="center"/>
            </w:pPr>
            <w:r>
              <w:t xml:space="preserve">s </w:t>
            </w:r>
            <w:r>
              <w:rPr>
                <w:spacing w:val="-5"/>
              </w:rPr>
              <w:t>27</w:t>
            </w:r>
          </w:p>
        </w:tc>
        <w:tc>
          <w:tcPr>
            <w:tcW w:w="1561" w:type="dxa"/>
          </w:tcPr>
          <w:p w14:paraId="7CB2648F" w14:textId="77777777" w:rsidR="008A4099" w:rsidRDefault="008A4099">
            <w:pPr>
              <w:pStyle w:val="TableParagraph"/>
              <w:spacing w:before="120"/>
              <w:rPr>
                <w:b/>
              </w:rPr>
            </w:pPr>
          </w:p>
          <w:p w14:paraId="7CB26490" w14:textId="77777777" w:rsidR="008A4099" w:rsidRDefault="006A6EE2">
            <w:pPr>
              <w:pStyle w:val="TableParagraph"/>
              <w:ind w:left="9" w:right="2"/>
              <w:jc w:val="center"/>
            </w:pPr>
            <w:r>
              <w:t xml:space="preserve">s </w:t>
            </w:r>
            <w:r>
              <w:rPr>
                <w:spacing w:val="-5"/>
              </w:rPr>
              <w:t>35</w:t>
            </w:r>
          </w:p>
        </w:tc>
        <w:tc>
          <w:tcPr>
            <w:tcW w:w="2361" w:type="dxa"/>
          </w:tcPr>
          <w:p w14:paraId="7CB26491" w14:textId="77777777" w:rsidR="008A4099" w:rsidRDefault="008A4099">
            <w:pPr>
              <w:pStyle w:val="TableParagraph"/>
              <w:spacing w:before="133"/>
              <w:rPr>
                <w:b/>
              </w:rPr>
            </w:pPr>
          </w:p>
          <w:p w14:paraId="7CB26492"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9D" w14:textId="77777777">
        <w:trPr>
          <w:trHeight w:val="998"/>
        </w:trPr>
        <w:tc>
          <w:tcPr>
            <w:tcW w:w="2074" w:type="dxa"/>
          </w:tcPr>
          <w:p w14:paraId="7CB26494" w14:textId="77777777" w:rsidR="008A4099" w:rsidRDefault="006A6EE2">
            <w:pPr>
              <w:pStyle w:val="TableParagraph"/>
              <w:spacing w:before="118"/>
              <w:ind w:left="107"/>
            </w:pPr>
            <w:r>
              <w:t>The right not to be punished</w:t>
            </w:r>
            <w:r>
              <w:rPr>
                <w:spacing w:val="-14"/>
              </w:rPr>
              <w:t xml:space="preserve"> </w:t>
            </w:r>
            <w:r>
              <w:t>more</w:t>
            </w:r>
            <w:r>
              <w:rPr>
                <w:spacing w:val="-14"/>
              </w:rPr>
              <w:t xml:space="preserve"> </w:t>
            </w:r>
            <w:r>
              <w:t xml:space="preserve">than </w:t>
            </w:r>
            <w:r>
              <w:rPr>
                <w:spacing w:val="-4"/>
              </w:rPr>
              <w:t>once</w:t>
            </w:r>
          </w:p>
        </w:tc>
        <w:tc>
          <w:tcPr>
            <w:tcW w:w="1513" w:type="dxa"/>
          </w:tcPr>
          <w:p w14:paraId="7CB26495" w14:textId="77777777" w:rsidR="008A4099" w:rsidRDefault="008A4099">
            <w:pPr>
              <w:pStyle w:val="TableParagraph"/>
              <w:spacing w:before="122"/>
              <w:rPr>
                <w:b/>
              </w:rPr>
            </w:pPr>
          </w:p>
          <w:p w14:paraId="7CB26496" w14:textId="77777777" w:rsidR="008A4099" w:rsidRDefault="006A6EE2">
            <w:pPr>
              <w:pStyle w:val="TableParagraph"/>
              <w:ind w:left="11" w:right="1"/>
              <w:jc w:val="center"/>
            </w:pPr>
            <w:r>
              <w:t xml:space="preserve">s </w:t>
            </w:r>
            <w:r>
              <w:rPr>
                <w:spacing w:val="-5"/>
              </w:rPr>
              <w:t>24</w:t>
            </w:r>
          </w:p>
        </w:tc>
        <w:tc>
          <w:tcPr>
            <w:tcW w:w="1513" w:type="dxa"/>
          </w:tcPr>
          <w:p w14:paraId="7CB26497" w14:textId="77777777" w:rsidR="008A4099" w:rsidRDefault="008A4099">
            <w:pPr>
              <w:pStyle w:val="TableParagraph"/>
              <w:spacing w:before="122"/>
              <w:rPr>
                <w:b/>
              </w:rPr>
            </w:pPr>
          </w:p>
          <w:p w14:paraId="7CB26498" w14:textId="77777777" w:rsidR="008A4099" w:rsidRDefault="006A6EE2">
            <w:pPr>
              <w:pStyle w:val="TableParagraph"/>
              <w:ind w:left="11" w:right="3"/>
              <w:jc w:val="center"/>
            </w:pPr>
            <w:r>
              <w:t xml:space="preserve">s </w:t>
            </w:r>
            <w:r>
              <w:rPr>
                <w:spacing w:val="-5"/>
              </w:rPr>
              <w:t>26</w:t>
            </w:r>
          </w:p>
        </w:tc>
        <w:tc>
          <w:tcPr>
            <w:tcW w:w="1561" w:type="dxa"/>
          </w:tcPr>
          <w:p w14:paraId="7CB26499" w14:textId="77777777" w:rsidR="008A4099" w:rsidRDefault="008A4099">
            <w:pPr>
              <w:pStyle w:val="TableParagraph"/>
              <w:spacing w:before="122"/>
              <w:rPr>
                <w:b/>
              </w:rPr>
            </w:pPr>
          </w:p>
          <w:p w14:paraId="7CB2649A" w14:textId="77777777" w:rsidR="008A4099" w:rsidRDefault="006A6EE2">
            <w:pPr>
              <w:pStyle w:val="TableParagraph"/>
              <w:ind w:left="9" w:right="2"/>
              <w:jc w:val="center"/>
            </w:pPr>
            <w:r>
              <w:t xml:space="preserve">s </w:t>
            </w:r>
            <w:r>
              <w:rPr>
                <w:spacing w:val="-5"/>
              </w:rPr>
              <w:t>34</w:t>
            </w:r>
          </w:p>
        </w:tc>
        <w:tc>
          <w:tcPr>
            <w:tcW w:w="2361" w:type="dxa"/>
          </w:tcPr>
          <w:p w14:paraId="7CB2649B" w14:textId="77777777" w:rsidR="008A4099" w:rsidRDefault="008A4099">
            <w:pPr>
              <w:pStyle w:val="TableParagraph"/>
              <w:spacing w:before="132"/>
              <w:rPr>
                <w:b/>
              </w:rPr>
            </w:pPr>
          </w:p>
          <w:p w14:paraId="7CB2649C"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A4" w14:textId="77777777">
        <w:trPr>
          <w:trHeight w:val="746"/>
        </w:trPr>
        <w:tc>
          <w:tcPr>
            <w:tcW w:w="2074" w:type="dxa"/>
          </w:tcPr>
          <w:p w14:paraId="7CB2649E" w14:textId="77777777" w:rsidR="008A4099" w:rsidRDefault="006A6EE2">
            <w:pPr>
              <w:pStyle w:val="TableParagraph"/>
              <w:spacing w:before="121"/>
              <w:ind w:left="107"/>
            </w:pPr>
            <w:r>
              <w:t>The</w:t>
            </w:r>
            <w:r>
              <w:rPr>
                <w:spacing w:val="-11"/>
              </w:rPr>
              <w:t xml:space="preserve"> </w:t>
            </w:r>
            <w:r>
              <w:t>right</w:t>
            </w:r>
            <w:r>
              <w:rPr>
                <w:spacing w:val="-13"/>
              </w:rPr>
              <w:t xml:space="preserve"> </w:t>
            </w:r>
            <w:r>
              <w:t>to</w:t>
            </w:r>
            <w:r>
              <w:rPr>
                <w:spacing w:val="-11"/>
              </w:rPr>
              <w:t xml:space="preserve"> </w:t>
            </w:r>
            <w:r>
              <w:t>privacy and reputation</w:t>
            </w:r>
          </w:p>
        </w:tc>
        <w:tc>
          <w:tcPr>
            <w:tcW w:w="1513" w:type="dxa"/>
          </w:tcPr>
          <w:p w14:paraId="7CB2649F" w14:textId="77777777" w:rsidR="008A4099" w:rsidRDefault="006A6EE2">
            <w:pPr>
              <w:pStyle w:val="TableParagraph"/>
              <w:spacing w:before="248"/>
              <w:ind w:left="11" w:right="1"/>
              <w:jc w:val="center"/>
            </w:pPr>
            <w:r>
              <w:t xml:space="preserve">s </w:t>
            </w:r>
            <w:r>
              <w:rPr>
                <w:spacing w:val="-5"/>
              </w:rPr>
              <w:t>12</w:t>
            </w:r>
          </w:p>
        </w:tc>
        <w:tc>
          <w:tcPr>
            <w:tcW w:w="1513" w:type="dxa"/>
          </w:tcPr>
          <w:p w14:paraId="7CB264A0" w14:textId="77777777" w:rsidR="008A4099" w:rsidRDefault="006A6EE2">
            <w:pPr>
              <w:pStyle w:val="TableParagraph"/>
              <w:spacing w:before="248"/>
              <w:ind w:left="11" w:right="3"/>
              <w:jc w:val="center"/>
            </w:pPr>
            <w:r>
              <w:t xml:space="preserve">s </w:t>
            </w:r>
            <w:r>
              <w:rPr>
                <w:spacing w:val="-5"/>
              </w:rPr>
              <w:t>13</w:t>
            </w:r>
          </w:p>
        </w:tc>
        <w:tc>
          <w:tcPr>
            <w:tcW w:w="1561" w:type="dxa"/>
          </w:tcPr>
          <w:p w14:paraId="7CB264A1" w14:textId="77777777" w:rsidR="008A4099" w:rsidRDefault="006A6EE2">
            <w:pPr>
              <w:pStyle w:val="TableParagraph"/>
              <w:spacing w:before="248"/>
              <w:ind w:left="9" w:right="2"/>
              <w:jc w:val="center"/>
            </w:pPr>
            <w:r>
              <w:t xml:space="preserve">s </w:t>
            </w:r>
            <w:r>
              <w:rPr>
                <w:spacing w:val="-5"/>
              </w:rPr>
              <w:t>25</w:t>
            </w:r>
          </w:p>
        </w:tc>
        <w:tc>
          <w:tcPr>
            <w:tcW w:w="2361" w:type="dxa"/>
          </w:tcPr>
          <w:p w14:paraId="7CB264A2" w14:textId="77777777" w:rsidR="008A4099" w:rsidRDefault="008A4099">
            <w:pPr>
              <w:pStyle w:val="TableParagraph"/>
              <w:spacing w:before="7"/>
              <w:rPr>
                <w:b/>
              </w:rPr>
            </w:pPr>
          </w:p>
          <w:p w14:paraId="7CB264A3"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AB" w14:textId="77777777">
        <w:trPr>
          <w:trHeight w:val="748"/>
        </w:trPr>
        <w:tc>
          <w:tcPr>
            <w:tcW w:w="2074" w:type="dxa"/>
          </w:tcPr>
          <w:p w14:paraId="7CB264A5" w14:textId="77777777" w:rsidR="008A4099" w:rsidRDefault="006A6EE2">
            <w:pPr>
              <w:pStyle w:val="TableParagraph"/>
              <w:spacing w:before="120"/>
              <w:ind w:left="107" w:right="930"/>
            </w:pPr>
            <w:r>
              <w:t>Freedom</w:t>
            </w:r>
            <w:r>
              <w:rPr>
                <w:spacing w:val="-14"/>
              </w:rPr>
              <w:t xml:space="preserve"> </w:t>
            </w:r>
            <w:r>
              <w:t xml:space="preserve">of </w:t>
            </w:r>
            <w:r>
              <w:rPr>
                <w:spacing w:val="-2"/>
              </w:rPr>
              <w:t>movement</w:t>
            </w:r>
          </w:p>
        </w:tc>
        <w:tc>
          <w:tcPr>
            <w:tcW w:w="1513" w:type="dxa"/>
          </w:tcPr>
          <w:p w14:paraId="7CB264A6" w14:textId="77777777" w:rsidR="008A4099" w:rsidRDefault="006A6EE2">
            <w:pPr>
              <w:pStyle w:val="TableParagraph"/>
              <w:spacing w:before="248"/>
              <w:ind w:left="11" w:right="1"/>
              <w:jc w:val="center"/>
            </w:pPr>
            <w:r>
              <w:t xml:space="preserve">s </w:t>
            </w:r>
            <w:r>
              <w:rPr>
                <w:spacing w:val="-5"/>
              </w:rPr>
              <w:t>13</w:t>
            </w:r>
          </w:p>
        </w:tc>
        <w:tc>
          <w:tcPr>
            <w:tcW w:w="1513" w:type="dxa"/>
          </w:tcPr>
          <w:p w14:paraId="7CB264A7" w14:textId="77777777" w:rsidR="008A4099" w:rsidRDefault="006A6EE2">
            <w:pPr>
              <w:pStyle w:val="TableParagraph"/>
              <w:spacing w:before="248"/>
              <w:ind w:left="11" w:right="3"/>
              <w:jc w:val="center"/>
            </w:pPr>
            <w:r>
              <w:t xml:space="preserve">s </w:t>
            </w:r>
            <w:r>
              <w:rPr>
                <w:spacing w:val="-5"/>
              </w:rPr>
              <w:t>12</w:t>
            </w:r>
          </w:p>
        </w:tc>
        <w:tc>
          <w:tcPr>
            <w:tcW w:w="1561" w:type="dxa"/>
          </w:tcPr>
          <w:p w14:paraId="7CB264A8" w14:textId="77777777" w:rsidR="008A4099" w:rsidRDefault="006A6EE2">
            <w:pPr>
              <w:pStyle w:val="TableParagraph"/>
              <w:spacing w:before="248"/>
              <w:ind w:left="9" w:right="2"/>
              <w:jc w:val="center"/>
            </w:pPr>
            <w:r>
              <w:t xml:space="preserve">s </w:t>
            </w:r>
            <w:r>
              <w:rPr>
                <w:spacing w:val="-5"/>
              </w:rPr>
              <w:t>19</w:t>
            </w:r>
          </w:p>
        </w:tc>
        <w:tc>
          <w:tcPr>
            <w:tcW w:w="2361" w:type="dxa"/>
          </w:tcPr>
          <w:p w14:paraId="7CB264A9" w14:textId="77777777" w:rsidR="008A4099" w:rsidRDefault="008A4099">
            <w:pPr>
              <w:pStyle w:val="TableParagraph"/>
              <w:spacing w:before="7"/>
              <w:rPr>
                <w:b/>
              </w:rPr>
            </w:pPr>
          </w:p>
          <w:p w14:paraId="7CB264AA" w14:textId="77777777" w:rsidR="008A4099" w:rsidRDefault="006A6EE2">
            <w:pPr>
              <w:pStyle w:val="TableParagraph"/>
              <w:ind w:left="4" w:right="2"/>
              <w:jc w:val="center"/>
              <w:rPr>
                <w:rFonts w:ascii="Wingdings 2" w:hAnsi="Wingdings 2"/>
              </w:rPr>
            </w:pPr>
            <w:r>
              <w:rPr>
                <w:rFonts w:ascii="Wingdings 2" w:hAnsi="Wingdings 2"/>
                <w:spacing w:val="-10"/>
              </w:rPr>
              <w:t></w:t>
            </w:r>
          </w:p>
        </w:tc>
      </w:tr>
    </w:tbl>
    <w:p w14:paraId="7CB264AC" w14:textId="77777777" w:rsidR="008A4099" w:rsidRDefault="008A4099">
      <w:pPr>
        <w:jc w:val="center"/>
        <w:rPr>
          <w:rFonts w:ascii="Wingdings 2" w:hAnsi="Wingdings 2"/>
        </w:rPr>
        <w:sectPr w:rsidR="008A4099" w:rsidSect="00D43B2D">
          <w:headerReference w:type="even" r:id="rId161"/>
          <w:headerReference w:type="default" r:id="rId162"/>
          <w:footerReference w:type="even" r:id="rId163"/>
          <w:footerReference w:type="default" r:id="rId164"/>
          <w:pgSz w:w="11910" w:h="16840"/>
          <w:pgMar w:top="980" w:right="760" w:bottom="940" w:left="1280" w:header="718" w:footer="753" w:gutter="0"/>
          <w:pgNumType w:start="96"/>
          <w:cols w:space="720"/>
        </w:sectPr>
      </w:pPr>
    </w:p>
    <w:p w14:paraId="7CB264AD" w14:textId="77777777" w:rsidR="008A4099" w:rsidRDefault="008A4099">
      <w:pPr>
        <w:pStyle w:val="BodyText"/>
        <w:spacing w:before="218" w:after="1"/>
        <w:rPr>
          <w:b/>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4"/>
        <w:gridCol w:w="1513"/>
        <w:gridCol w:w="1513"/>
        <w:gridCol w:w="1561"/>
        <w:gridCol w:w="2361"/>
      </w:tblGrid>
      <w:tr w:rsidR="008A4099" w14:paraId="7CB264B8" w14:textId="77777777">
        <w:trPr>
          <w:trHeight w:val="945"/>
        </w:trPr>
        <w:tc>
          <w:tcPr>
            <w:tcW w:w="2074" w:type="dxa"/>
          </w:tcPr>
          <w:p w14:paraId="7CB264AE" w14:textId="77777777" w:rsidR="008A4099" w:rsidRDefault="008A4099">
            <w:pPr>
              <w:pStyle w:val="TableParagraph"/>
              <w:spacing w:before="74"/>
              <w:rPr>
                <w:b/>
              </w:rPr>
            </w:pPr>
          </w:p>
          <w:p w14:paraId="7CB264AF" w14:textId="77777777" w:rsidR="008A4099" w:rsidRDefault="006A6EE2">
            <w:pPr>
              <w:pStyle w:val="TableParagraph"/>
              <w:ind w:left="7"/>
              <w:jc w:val="center"/>
              <w:rPr>
                <w:b/>
              </w:rPr>
            </w:pPr>
            <w:r>
              <w:rPr>
                <w:b/>
                <w:spacing w:val="-2"/>
              </w:rPr>
              <w:t>Rights</w:t>
            </w:r>
          </w:p>
        </w:tc>
        <w:tc>
          <w:tcPr>
            <w:tcW w:w="1513" w:type="dxa"/>
          </w:tcPr>
          <w:p w14:paraId="7CB264B0" w14:textId="77777777" w:rsidR="008A4099" w:rsidRDefault="008A4099">
            <w:pPr>
              <w:pStyle w:val="TableParagraph"/>
              <w:spacing w:before="96"/>
              <w:rPr>
                <w:b/>
              </w:rPr>
            </w:pPr>
          </w:p>
          <w:p w14:paraId="7CB264B1" w14:textId="77777777" w:rsidR="008A4099" w:rsidRDefault="006A6EE2">
            <w:pPr>
              <w:pStyle w:val="TableParagraph"/>
              <w:ind w:left="11" w:right="5"/>
              <w:jc w:val="center"/>
              <w:rPr>
                <w:b/>
              </w:rPr>
            </w:pPr>
            <w:r>
              <w:rPr>
                <w:b/>
                <w:spacing w:val="-5"/>
              </w:rPr>
              <w:t>ACT</w:t>
            </w:r>
          </w:p>
        </w:tc>
        <w:tc>
          <w:tcPr>
            <w:tcW w:w="1513" w:type="dxa"/>
          </w:tcPr>
          <w:p w14:paraId="7CB264B2" w14:textId="77777777" w:rsidR="008A4099" w:rsidRDefault="008A4099">
            <w:pPr>
              <w:pStyle w:val="TableParagraph"/>
              <w:spacing w:before="96"/>
              <w:rPr>
                <w:b/>
              </w:rPr>
            </w:pPr>
          </w:p>
          <w:p w14:paraId="7CB264B3" w14:textId="77777777" w:rsidR="008A4099" w:rsidRDefault="006A6EE2">
            <w:pPr>
              <w:pStyle w:val="TableParagraph"/>
              <w:ind w:left="11" w:right="3"/>
              <w:jc w:val="center"/>
              <w:rPr>
                <w:b/>
              </w:rPr>
            </w:pPr>
            <w:r>
              <w:rPr>
                <w:b/>
                <w:spacing w:val="-5"/>
              </w:rPr>
              <w:t>Vic</w:t>
            </w:r>
          </w:p>
        </w:tc>
        <w:tc>
          <w:tcPr>
            <w:tcW w:w="1561" w:type="dxa"/>
          </w:tcPr>
          <w:p w14:paraId="7CB264B4" w14:textId="77777777" w:rsidR="008A4099" w:rsidRDefault="008A4099">
            <w:pPr>
              <w:pStyle w:val="TableParagraph"/>
              <w:spacing w:before="96"/>
              <w:rPr>
                <w:b/>
              </w:rPr>
            </w:pPr>
          </w:p>
          <w:p w14:paraId="7CB264B5" w14:textId="77777777" w:rsidR="008A4099" w:rsidRDefault="006A6EE2">
            <w:pPr>
              <w:pStyle w:val="TableParagraph"/>
              <w:ind w:left="9"/>
              <w:jc w:val="center"/>
              <w:rPr>
                <w:b/>
              </w:rPr>
            </w:pPr>
            <w:r>
              <w:rPr>
                <w:b/>
                <w:spacing w:val="-5"/>
              </w:rPr>
              <w:t>Qld</w:t>
            </w:r>
          </w:p>
        </w:tc>
        <w:tc>
          <w:tcPr>
            <w:tcW w:w="2361" w:type="dxa"/>
          </w:tcPr>
          <w:p w14:paraId="7CB264B6" w14:textId="77777777" w:rsidR="008A4099" w:rsidRDefault="006A6EE2">
            <w:pPr>
              <w:pStyle w:val="TableParagraph"/>
              <w:spacing w:before="200"/>
              <w:ind w:left="4" w:right="3"/>
              <w:jc w:val="center"/>
              <w:rPr>
                <w:b/>
              </w:rPr>
            </w:pPr>
            <w:r>
              <w:rPr>
                <w:b/>
                <w:spacing w:val="-4"/>
              </w:rPr>
              <w:t>TLRI</w:t>
            </w:r>
          </w:p>
          <w:p w14:paraId="7CB264B7" w14:textId="77777777" w:rsidR="008A4099" w:rsidRDefault="006A6EE2">
            <w:pPr>
              <w:pStyle w:val="TableParagraph"/>
              <w:spacing w:before="2"/>
              <w:ind w:left="4"/>
              <w:jc w:val="center"/>
              <w:rPr>
                <w:b/>
              </w:rPr>
            </w:pPr>
            <w:r>
              <w:rPr>
                <w:b/>
                <w:spacing w:val="-2"/>
              </w:rPr>
              <w:t>Recommendations</w:t>
            </w:r>
          </w:p>
        </w:tc>
      </w:tr>
      <w:tr w:rsidR="008A4099" w14:paraId="7CB264C2" w14:textId="77777777">
        <w:trPr>
          <w:trHeight w:val="1000"/>
        </w:trPr>
        <w:tc>
          <w:tcPr>
            <w:tcW w:w="2074" w:type="dxa"/>
          </w:tcPr>
          <w:p w14:paraId="7CB264B9" w14:textId="77777777" w:rsidR="008A4099" w:rsidRDefault="006A6EE2">
            <w:pPr>
              <w:pStyle w:val="TableParagraph"/>
              <w:spacing w:before="118"/>
              <w:ind w:left="107" w:right="148"/>
            </w:pPr>
            <w:r>
              <w:t>Freedom of conscience,</w:t>
            </w:r>
            <w:r>
              <w:rPr>
                <w:spacing w:val="-14"/>
              </w:rPr>
              <w:t xml:space="preserve"> </w:t>
            </w:r>
            <w:r>
              <w:t>thought, religion and belief</w:t>
            </w:r>
          </w:p>
        </w:tc>
        <w:tc>
          <w:tcPr>
            <w:tcW w:w="1513" w:type="dxa"/>
          </w:tcPr>
          <w:p w14:paraId="7CB264BA" w14:textId="77777777" w:rsidR="008A4099" w:rsidRDefault="008A4099">
            <w:pPr>
              <w:pStyle w:val="TableParagraph"/>
              <w:spacing w:before="122"/>
              <w:rPr>
                <w:b/>
              </w:rPr>
            </w:pPr>
          </w:p>
          <w:p w14:paraId="7CB264BB" w14:textId="77777777" w:rsidR="008A4099" w:rsidRDefault="006A6EE2">
            <w:pPr>
              <w:pStyle w:val="TableParagraph"/>
              <w:ind w:left="11" w:right="1"/>
              <w:jc w:val="center"/>
            </w:pPr>
            <w:r>
              <w:t xml:space="preserve">s </w:t>
            </w:r>
            <w:r>
              <w:rPr>
                <w:spacing w:val="-5"/>
              </w:rPr>
              <w:t>14</w:t>
            </w:r>
          </w:p>
        </w:tc>
        <w:tc>
          <w:tcPr>
            <w:tcW w:w="1513" w:type="dxa"/>
          </w:tcPr>
          <w:p w14:paraId="7CB264BC" w14:textId="77777777" w:rsidR="008A4099" w:rsidRDefault="008A4099">
            <w:pPr>
              <w:pStyle w:val="TableParagraph"/>
              <w:spacing w:before="122"/>
              <w:rPr>
                <w:b/>
              </w:rPr>
            </w:pPr>
          </w:p>
          <w:p w14:paraId="7CB264BD" w14:textId="77777777" w:rsidR="008A4099" w:rsidRDefault="006A6EE2">
            <w:pPr>
              <w:pStyle w:val="TableParagraph"/>
              <w:ind w:left="11" w:right="3"/>
              <w:jc w:val="center"/>
            </w:pPr>
            <w:r>
              <w:t xml:space="preserve">s </w:t>
            </w:r>
            <w:r>
              <w:rPr>
                <w:spacing w:val="-5"/>
              </w:rPr>
              <w:t>14</w:t>
            </w:r>
          </w:p>
        </w:tc>
        <w:tc>
          <w:tcPr>
            <w:tcW w:w="1561" w:type="dxa"/>
          </w:tcPr>
          <w:p w14:paraId="7CB264BE" w14:textId="77777777" w:rsidR="008A4099" w:rsidRDefault="008A4099">
            <w:pPr>
              <w:pStyle w:val="TableParagraph"/>
              <w:spacing w:before="122"/>
              <w:rPr>
                <w:b/>
              </w:rPr>
            </w:pPr>
          </w:p>
          <w:p w14:paraId="7CB264BF" w14:textId="77777777" w:rsidR="008A4099" w:rsidRDefault="006A6EE2">
            <w:pPr>
              <w:pStyle w:val="TableParagraph"/>
              <w:ind w:left="9" w:right="2"/>
              <w:jc w:val="center"/>
            </w:pPr>
            <w:r>
              <w:t xml:space="preserve">s </w:t>
            </w:r>
            <w:r>
              <w:rPr>
                <w:spacing w:val="-5"/>
              </w:rPr>
              <w:t>20</w:t>
            </w:r>
          </w:p>
        </w:tc>
        <w:tc>
          <w:tcPr>
            <w:tcW w:w="2361" w:type="dxa"/>
          </w:tcPr>
          <w:p w14:paraId="7CB264C0" w14:textId="77777777" w:rsidR="008A4099" w:rsidRDefault="008A4099">
            <w:pPr>
              <w:pStyle w:val="TableParagraph"/>
              <w:spacing w:before="132"/>
              <w:rPr>
                <w:b/>
              </w:rPr>
            </w:pPr>
          </w:p>
          <w:p w14:paraId="7CB264C1"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C9" w14:textId="77777777">
        <w:trPr>
          <w:trHeight w:val="745"/>
        </w:trPr>
        <w:tc>
          <w:tcPr>
            <w:tcW w:w="2074" w:type="dxa"/>
          </w:tcPr>
          <w:p w14:paraId="7CB264C3" w14:textId="77777777" w:rsidR="008A4099" w:rsidRDefault="006A6EE2">
            <w:pPr>
              <w:pStyle w:val="TableParagraph"/>
              <w:spacing w:before="118"/>
              <w:ind w:left="107" w:right="930"/>
            </w:pPr>
            <w:r>
              <w:t>Freedom</w:t>
            </w:r>
            <w:r>
              <w:rPr>
                <w:spacing w:val="-14"/>
              </w:rPr>
              <w:t xml:space="preserve"> </w:t>
            </w:r>
            <w:r>
              <w:t xml:space="preserve">of </w:t>
            </w:r>
            <w:r>
              <w:rPr>
                <w:spacing w:val="-2"/>
              </w:rPr>
              <w:t>expression</w:t>
            </w:r>
          </w:p>
        </w:tc>
        <w:tc>
          <w:tcPr>
            <w:tcW w:w="1513" w:type="dxa"/>
          </w:tcPr>
          <w:p w14:paraId="7CB264C4" w14:textId="77777777" w:rsidR="008A4099" w:rsidRDefault="006A6EE2">
            <w:pPr>
              <w:pStyle w:val="TableParagraph"/>
              <w:spacing w:before="248"/>
              <w:ind w:left="11" w:right="1"/>
              <w:jc w:val="center"/>
            </w:pPr>
            <w:r>
              <w:t xml:space="preserve">s </w:t>
            </w:r>
            <w:r>
              <w:rPr>
                <w:spacing w:val="-5"/>
              </w:rPr>
              <w:t>16</w:t>
            </w:r>
          </w:p>
        </w:tc>
        <w:tc>
          <w:tcPr>
            <w:tcW w:w="1513" w:type="dxa"/>
          </w:tcPr>
          <w:p w14:paraId="7CB264C5" w14:textId="77777777" w:rsidR="008A4099" w:rsidRDefault="006A6EE2">
            <w:pPr>
              <w:pStyle w:val="TableParagraph"/>
              <w:spacing w:before="248"/>
              <w:ind w:left="11" w:right="3"/>
              <w:jc w:val="center"/>
            </w:pPr>
            <w:r>
              <w:t xml:space="preserve">s </w:t>
            </w:r>
            <w:r>
              <w:rPr>
                <w:spacing w:val="-5"/>
              </w:rPr>
              <w:t>15</w:t>
            </w:r>
          </w:p>
        </w:tc>
        <w:tc>
          <w:tcPr>
            <w:tcW w:w="1561" w:type="dxa"/>
          </w:tcPr>
          <w:p w14:paraId="7CB264C6" w14:textId="77777777" w:rsidR="008A4099" w:rsidRDefault="006A6EE2">
            <w:pPr>
              <w:pStyle w:val="TableParagraph"/>
              <w:spacing w:before="248"/>
              <w:ind w:left="9" w:right="2"/>
              <w:jc w:val="center"/>
            </w:pPr>
            <w:r>
              <w:t xml:space="preserve">s </w:t>
            </w:r>
            <w:r>
              <w:rPr>
                <w:spacing w:val="-5"/>
              </w:rPr>
              <w:t>21</w:t>
            </w:r>
          </w:p>
        </w:tc>
        <w:tc>
          <w:tcPr>
            <w:tcW w:w="2361" w:type="dxa"/>
          </w:tcPr>
          <w:p w14:paraId="7CB264C7" w14:textId="77777777" w:rsidR="008A4099" w:rsidRDefault="008A4099">
            <w:pPr>
              <w:pStyle w:val="TableParagraph"/>
              <w:spacing w:before="5"/>
              <w:rPr>
                <w:b/>
              </w:rPr>
            </w:pPr>
          </w:p>
          <w:p w14:paraId="7CB264C8"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D3" w14:textId="77777777">
        <w:trPr>
          <w:trHeight w:val="997"/>
        </w:trPr>
        <w:tc>
          <w:tcPr>
            <w:tcW w:w="2074" w:type="dxa"/>
          </w:tcPr>
          <w:p w14:paraId="7CB264CA" w14:textId="77777777" w:rsidR="008A4099" w:rsidRDefault="006A6EE2">
            <w:pPr>
              <w:pStyle w:val="TableParagraph"/>
              <w:spacing w:before="118" w:line="242" w:lineRule="auto"/>
              <w:ind w:left="107" w:right="332"/>
            </w:pPr>
            <w:r>
              <w:t>Freedom of association and peaceful</w:t>
            </w:r>
            <w:r>
              <w:rPr>
                <w:spacing w:val="-14"/>
              </w:rPr>
              <w:t xml:space="preserve"> </w:t>
            </w:r>
            <w:r>
              <w:t>assembly</w:t>
            </w:r>
          </w:p>
        </w:tc>
        <w:tc>
          <w:tcPr>
            <w:tcW w:w="1513" w:type="dxa"/>
          </w:tcPr>
          <w:p w14:paraId="7CB264CB" w14:textId="77777777" w:rsidR="008A4099" w:rsidRDefault="008A4099">
            <w:pPr>
              <w:pStyle w:val="TableParagraph"/>
              <w:spacing w:before="119"/>
              <w:rPr>
                <w:b/>
              </w:rPr>
            </w:pPr>
          </w:p>
          <w:p w14:paraId="7CB264CC" w14:textId="77777777" w:rsidR="008A4099" w:rsidRDefault="006A6EE2">
            <w:pPr>
              <w:pStyle w:val="TableParagraph"/>
              <w:spacing w:before="1"/>
              <w:ind w:left="11" w:right="1"/>
              <w:jc w:val="center"/>
            </w:pPr>
            <w:r>
              <w:t xml:space="preserve">s </w:t>
            </w:r>
            <w:r>
              <w:rPr>
                <w:spacing w:val="-5"/>
              </w:rPr>
              <w:t>15</w:t>
            </w:r>
          </w:p>
        </w:tc>
        <w:tc>
          <w:tcPr>
            <w:tcW w:w="1513" w:type="dxa"/>
          </w:tcPr>
          <w:p w14:paraId="7CB264CD" w14:textId="77777777" w:rsidR="008A4099" w:rsidRDefault="008A4099">
            <w:pPr>
              <w:pStyle w:val="TableParagraph"/>
              <w:spacing w:before="119"/>
              <w:rPr>
                <w:b/>
              </w:rPr>
            </w:pPr>
          </w:p>
          <w:p w14:paraId="7CB264CE" w14:textId="77777777" w:rsidR="008A4099" w:rsidRDefault="006A6EE2">
            <w:pPr>
              <w:pStyle w:val="TableParagraph"/>
              <w:spacing w:before="1"/>
              <w:ind w:left="11" w:right="3"/>
              <w:jc w:val="center"/>
            </w:pPr>
            <w:r>
              <w:t xml:space="preserve">s </w:t>
            </w:r>
            <w:r>
              <w:rPr>
                <w:spacing w:val="-5"/>
              </w:rPr>
              <w:t>16</w:t>
            </w:r>
          </w:p>
        </w:tc>
        <w:tc>
          <w:tcPr>
            <w:tcW w:w="1561" w:type="dxa"/>
          </w:tcPr>
          <w:p w14:paraId="7CB264CF" w14:textId="77777777" w:rsidR="008A4099" w:rsidRDefault="008A4099">
            <w:pPr>
              <w:pStyle w:val="TableParagraph"/>
              <w:spacing w:before="119"/>
              <w:rPr>
                <w:b/>
              </w:rPr>
            </w:pPr>
          </w:p>
          <w:p w14:paraId="7CB264D0" w14:textId="77777777" w:rsidR="008A4099" w:rsidRDefault="006A6EE2">
            <w:pPr>
              <w:pStyle w:val="TableParagraph"/>
              <w:spacing w:before="1"/>
              <w:ind w:left="9" w:right="2"/>
              <w:jc w:val="center"/>
            </w:pPr>
            <w:r>
              <w:t xml:space="preserve">s </w:t>
            </w:r>
            <w:r>
              <w:rPr>
                <w:spacing w:val="-5"/>
              </w:rPr>
              <w:t>22</w:t>
            </w:r>
          </w:p>
        </w:tc>
        <w:tc>
          <w:tcPr>
            <w:tcW w:w="2361" w:type="dxa"/>
          </w:tcPr>
          <w:p w14:paraId="7CB264D1" w14:textId="77777777" w:rsidR="008A4099" w:rsidRDefault="008A4099">
            <w:pPr>
              <w:pStyle w:val="TableParagraph"/>
              <w:spacing w:before="132"/>
              <w:rPr>
                <w:b/>
              </w:rPr>
            </w:pPr>
          </w:p>
          <w:p w14:paraId="7CB264D2"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DD" w14:textId="77777777">
        <w:trPr>
          <w:trHeight w:val="998"/>
        </w:trPr>
        <w:tc>
          <w:tcPr>
            <w:tcW w:w="2074" w:type="dxa"/>
          </w:tcPr>
          <w:p w14:paraId="7CB264D4" w14:textId="77777777" w:rsidR="008A4099" w:rsidRDefault="006A6EE2">
            <w:pPr>
              <w:pStyle w:val="TableParagraph"/>
              <w:spacing w:before="119"/>
              <w:ind w:left="107" w:right="46"/>
            </w:pPr>
            <w:r>
              <w:t>The</w:t>
            </w:r>
            <w:r>
              <w:rPr>
                <w:spacing w:val="-8"/>
              </w:rPr>
              <w:t xml:space="preserve"> </w:t>
            </w:r>
            <w:r>
              <w:t>right</w:t>
            </w:r>
            <w:r>
              <w:rPr>
                <w:spacing w:val="-10"/>
              </w:rPr>
              <w:t xml:space="preserve"> </w:t>
            </w:r>
            <w:r>
              <w:t>to</w:t>
            </w:r>
            <w:r>
              <w:rPr>
                <w:spacing w:val="-8"/>
              </w:rPr>
              <w:t xml:space="preserve"> </w:t>
            </w:r>
            <w:r>
              <w:t>vote</w:t>
            </w:r>
            <w:r>
              <w:rPr>
                <w:spacing w:val="-10"/>
              </w:rPr>
              <w:t xml:space="preserve"> </w:t>
            </w:r>
            <w:r>
              <w:t>and to participate in public life</w:t>
            </w:r>
          </w:p>
        </w:tc>
        <w:tc>
          <w:tcPr>
            <w:tcW w:w="1513" w:type="dxa"/>
          </w:tcPr>
          <w:p w14:paraId="7CB264D5" w14:textId="77777777" w:rsidR="008A4099" w:rsidRDefault="008A4099">
            <w:pPr>
              <w:pStyle w:val="TableParagraph"/>
              <w:spacing w:before="122"/>
              <w:rPr>
                <w:b/>
              </w:rPr>
            </w:pPr>
          </w:p>
          <w:p w14:paraId="7CB264D6" w14:textId="77777777" w:rsidR="008A4099" w:rsidRDefault="006A6EE2">
            <w:pPr>
              <w:pStyle w:val="TableParagraph"/>
              <w:spacing w:before="1"/>
              <w:ind w:left="11" w:right="1"/>
              <w:jc w:val="center"/>
            </w:pPr>
            <w:r>
              <w:t xml:space="preserve">s </w:t>
            </w:r>
            <w:r>
              <w:rPr>
                <w:spacing w:val="-5"/>
              </w:rPr>
              <w:t>17</w:t>
            </w:r>
          </w:p>
        </w:tc>
        <w:tc>
          <w:tcPr>
            <w:tcW w:w="1513" w:type="dxa"/>
          </w:tcPr>
          <w:p w14:paraId="7CB264D7" w14:textId="77777777" w:rsidR="008A4099" w:rsidRDefault="008A4099">
            <w:pPr>
              <w:pStyle w:val="TableParagraph"/>
              <w:spacing w:before="122"/>
              <w:rPr>
                <w:b/>
              </w:rPr>
            </w:pPr>
          </w:p>
          <w:p w14:paraId="7CB264D8" w14:textId="77777777" w:rsidR="008A4099" w:rsidRDefault="006A6EE2">
            <w:pPr>
              <w:pStyle w:val="TableParagraph"/>
              <w:spacing w:before="1"/>
              <w:ind w:left="11" w:right="3"/>
              <w:jc w:val="center"/>
            </w:pPr>
            <w:r>
              <w:t xml:space="preserve">s </w:t>
            </w:r>
            <w:r>
              <w:rPr>
                <w:spacing w:val="-5"/>
              </w:rPr>
              <w:t>18</w:t>
            </w:r>
          </w:p>
        </w:tc>
        <w:tc>
          <w:tcPr>
            <w:tcW w:w="1561" w:type="dxa"/>
          </w:tcPr>
          <w:p w14:paraId="7CB264D9" w14:textId="77777777" w:rsidR="008A4099" w:rsidRDefault="008A4099">
            <w:pPr>
              <w:pStyle w:val="TableParagraph"/>
              <w:spacing w:before="122"/>
              <w:rPr>
                <w:b/>
              </w:rPr>
            </w:pPr>
          </w:p>
          <w:p w14:paraId="7CB264DA" w14:textId="77777777" w:rsidR="008A4099" w:rsidRDefault="006A6EE2">
            <w:pPr>
              <w:pStyle w:val="TableParagraph"/>
              <w:spacing w:before="1"/>
              <w:ind w:left="9" w:right="2"/>
              <w:jc w:val="center"/>
            </w:pPr>
            <w:r>
              <w:t xml:space="preserve">s </w:t>
            </w:r>
            <w:r>
              <w:rPr>
                <w:spacing w:val="-5"/>
              </w:rPr>
              <w:t>23</w:t>
            </w:r>
          </w:p>
        </w:tc>
        <w:tc>
          <w:tcPr>
            <w:tcW w:w="2361" w:type="dxa"/>
          </w:tcPr>
          <w:p w14:paraId="7CB264DB" w14:textId="77777777" w:rsidR="008A4099" w:rsidRDefault="008A4099">
            <w:pPr>
              <w:pStyle w:val="TableParagraph"/>
              <w:spacing w:before="133"/>
              <w:rPr>
                <w:b/>
              </w:rPr>
            </w:pPr>
          </w:p>
          <w:p w14:paraId="7CB264DC"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E7" w14:textId="77777777">
        <w:trPr>
          <w:trHeight w:val="745"/>
        </w:trPr>
        <w:tc>
          <w:tcPr>
            <w:tcW w:w="2074" w:type="dxa"/>
          </w:tcPr>
          <w:p w14:paraId="7CB264DE" w14:textId="77777777" w:rsidR="008A4099" w:rsidRDefault="006A6EE2">
            <w:pPr>
              <w:pStyle w:val="TableParagraph"/>
              <w:spacing w:before="121"/>
              <w:ind w:left="107" w:right="76"/>
            </w:pPr>
            <w:r>
              <w:t>The</w:t>
            </w:r>
            <w:r>
              <w:rPr>
                <w:spacing w:val="-11"/>
              </w:rPr>
              <w:t xml:space="preserve"> </w:t>
            </w:r>
            <w:r>
              <w:t>right</w:t>
            </w:r>
            <w:r>
              <w:rPr>
                <w:spacing w:val="-12"/>
              </w:rPr>
              <w:t xml:space="preserve"> </w:t>
            </w:r>
            <w:r>
              <w:t>to</w:t>
            </w:r>
            <w:r>
              <w:rPr>
                <w:spacing w:val="-13"/>
              </w:rPr>
              <w:t xml:space="preserve"> </w:t>
            </w:r>
            <w:r>
              <w:t xml:space="preserve">self- </w:t>
            </w:r>
            <w:r>
              <w:rPr>
                <w:spacing w:val="-2"/>
              </w:rPr>
              <w:t>determination</w:t>
            </w:r>
          </w:p>
        </w:tc>
        <w:tc>
          <w:tcPr>
            <w:tcW w:w="1513" w:type="dxa"/>
          </w:tcPr>
          <w:p w14:paraId="7CB264DF" w14:textId="77777777" w:rsidR="008A4099" w:rsidRDefault="008A4099">
            <w:pPr>
              <w:pStyle w:val="TableParagraph"/>
              <w:spacing w:before="7"/>
              <w:rPr>
                <w:b/>
              </w:rPr>
            </w:pPr>
          </w:p>
          <w:p w14:paraId="7CB264E0" w14:textId="77777777" w:rsidR="008A4099" w:rsidRDefault="006A6EE2">
            <w:pPr>
              <w:pStyle w:val="TableParagraph"/>
              <w:ind w:left="11" w:right="4"/>
              <w:jc w:val="center"/>
              <w:rPr>
                <w:rFonts w:ascii="Wingdings 2" w:hAnsi="Wingdings 2"/>
              </w:rPr>
            </w:pPr>
            <w:r>
              <w:rPr>
                <w:rFonts w:ascii="Wingdings 2" w:hAnsi="Wingdings 2"/>
                <w:spacing w:val="-10"/>
              </w:rPr>
              <w:t></w:t>
            </w:r>
          </w:p>
        </w:tc>
        <w:tc>
          <w:tcPr>
            <w:tcW w:w="1513" w:type="dxa"/>
          </w:tcPr>
          <w:p w14:paraId="7CB264E1" w14:textId="77777777" w:rsidR="008A4099" w:rsidRDefault="008A4099">
            <w:pPr>
              <w:pStyle w:val="TableParagraph"/>
              <w:spacing w:before="7"/>
              <w:rPr>
                <w:b/>
              </w:rPr>
            </w:pPr>
          </w:p>
          <w:p w14:paraId="7CB264E2"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4E3" w14:textId="77777777" w:rsidR="008A4099" w:rsidRDefault="008A4099">
            <w:pPr>
              <w:pStyle w:val="TableParagraph"/>
              <w:spacing w:before="7"/>
              <w:rPr>
                <w:b/>
              </w:rPr>
            </w:pPr>
          </w:p>
          <w:p w14:paraId="7CB264E4" w14:textId="77777777" w:rsidR="008A4099" w:rsidRDefault="006A6EE2">
            <w:pPr>
              <w:pStyle w:val="TableParagraph"/>
              <w:ind w:left="9" w:right="5"/>
              <w:jc w:val="center"/>
              <w:rPr>
                <w:rFonts w:ascii="Wingdings 2" w:hAnsi="Wingdings 2"/>
              </w:rPr>
            </w:pPr>
            <w:r>
              <w:rPr>
                <w:rFonts w:ascii="Wingdings 2" w:hAnsi="Wingdings 2"/>
                <w:spacing w:val="-10"/>
              </w:rPr>
              <w:t></w:t>
            </w:r>
          </w:p>
        </w:tc>
        <w:tc>
          <w:tcPr>
            <w:tcW w:w="2361" w:type="dxa"/>
          </w:tcPr>
          <w:p w14:paraId="7CB264E5" w14:textId="77777777" w:rsidR="008A4099" w:rsidRDefault="008A4099">
            <w:pPr>
              <w:pStyle w:val="TableParagraph"/>
              <w:spacing w:before="7"/>
              <w:rPr>
                <w:b/>
              </w:rPr>
            </w:pPr>
          </w:p>
          <w:p w14:paraId="7CB264E6"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F2" w14:textId="77777777">
        <w:trPr>
          <w:trHeight w:val="1252"/>
        </w:trPr>
        <w:tc>
          <w:tcPr>
            <w:tcW w:w="2074" w:type="dxa"/>
          </w:tcPr>
          <w:p w14:paraId="7CB264E8" w14:textId="77777777" w:rsidR="008A4099" w:rsidRDefault="006A6EE2">
            <w:pPr>
              <w:pStyle w:val="TableParagraph"/>
              <w:spacing w:before="121"/>
              <w:ind w:left="107" w:right="160"/>
            </w:pPr>
            <w:r>
              <w:t>The right to recognition and equality</w:t>
            </w:r>
            <w:r>
              <w:rPr>
                <w:spacing w:val="-14"/>
              </w:rPr>
              <w:t xml:space="preserve"> </w:t>
            </w:r>
            <w:r>
              <w:t>before</w:t>
            </w:r>
            <w:r>
              <w:rPr>
                <w:spacing w:val="-14"/>
              </w:rPr>
              <w:t xml:space="preserve"> </w:t>
            </w:r>
            <w:r>
              <w:t xml:space="preserve">the </w:t>
            </w:r>
            <w:r>
              <w:rPr>
                <w:spacing w:val="-4"/>
              </w:rPr>
              <w:t>law</w:t>
            </w:r>
          </w:p>
        </w:tc>
        <w:tc>
          <w:tcPr>
            <w:tcW w:w="1513" w:type="dxa"/>
          </w:tcPr>
          <w:p w14:paraId="7CB264E9" w14:textId="77777777" w:rsidR="008A4099" w:rsidRDefault="008A4099">
            <w:pPr>
              <w:pStyle w:val="TableParagraph"/>
              <w:spacing w:before="249"/>
              <w:rPr>
                <w:b/>
              </w:rPr>
            </w:pPr>
          </w:p>
          <w:p w14:paraId="7CB264EA" w14:textId="77777777" w:rsidR="008A4099" w:rsidRDefault="006A6EE2">
            <w:pPr>
              <w:pStyle w:val="TableParagraph"/>
              <w:ind w:left="11" w:right="1"/>
              <w:jc w:val="center"/>
            </w:pPr>
            <w:r>
              <w:t xml:space="preserve">s </w:t>
            </w:r>
            <w:r>
              <w:rPr>
                <w:spacing w:val="-10"/>
              </w:rPr>
              <w:t>8</w:t>
            </w:r>
          </w:p>
        </w:tc>
        <w:tc>
          <w:tcPr>
            <w:tcW w:w="1513" w:type="dxa"/>
          </w:tcPr>
          <w:p w14:paraId="7CB264EB" w14:textId="77777777" w:rsidR="008A4099" w:rsidRDefault="008A4099">
            <w:pPr>
              <w:pStyle w:val="TableParagraph"/>
              <w:spacing w:before="249"/>
              <w:rPr>
                <w:b/>
              </w:rPr>
            </w:pPr>
          </w:p>
          <w:p w14:paraId="7CB264EC" w14:textId="77777777" w:rsidR="008A4099" w:rsidRDefault="006A6EE2">
            <w:pPr>
              <w:pStyle w:val="TableParagraph"/>
              <w:ind w:left="11" w:right="3"/>
              <w:jc w:val="center"/>
            </w:pPr>
            <w:r>
              <w:t xml:space="preserve">s </w:t>
            </w:r>
            <w:r>
              <w:rPr>
                <w:spacing w:val="-10"/>
              </w:rPr>
              <w:t>8</w:t>
            </w:r>
          </w:p>
        </w:tc>
        <w:tc>
          <w:tcPr>
            <w:tcW w:w="1561" w:type="dxa"/>
          </w:tcPr>
          <w:p w14:paraId="7CB264ED" w14:textId="77777777" w:rsidR="008A4099" w:rsidRDefault="008A4099">
            <w:pPr>
              <w:pStyle w:val="TableParagraph"/>
              <w:spacing w:before="249"/>
              <w:rPr>
                <w:b/>
              </w:rPr>
            </w:pPr>
          </w:p>
          <w:p w14:paraId="7CB264EE" w14:textId="77777777" w:rsidR="008A4099" w:rsidRDefault="006A6EE2">
            <w:pPr>
              <w:pStyle w:val="TableParagraph"/>
              <w:ind w:left="9" w:right="2"/>
              <w:jc w:val="center"/>
            </w:pPr>
            <w:r>
              <w:t xml:space="preserve">s </w:t>
            </w:r>
            <w:r>
              <w:rPr>
                <w:spacing w:val="-5"/>
              </w:rPr>
              <w:t>15</w:t>
            </w:r>
          </w:p>
        </w:tc>
        <w:tc>
          <w:tcPr>
            <w:tcW w:w="2361" w:type="dxa"/>
          </w:tcPr>
          <w:p w14:paraId="7CB264EF" w14:textId="77777777" w:rsidR="008A4099" w:rsidRDefault="008A4099">
            <w:pPr>
              <w:pStyle w:val="TableParagraph"/>
              <w:rPr>
                <w:b/>
              </w:rPr>
            </w:pPr>
          </w:p>
          <w:p w14:paraId="7CB264F0" w14:textId="77777777" w:rsidR="008A4099" w:rsidRDefault="008A4099">
            <w:pPr>
              <w:pStyle w:val="TableParagraph"/>
              <w:spacing w:before="6"/>
              <w:rPr>
                <w:b/>
              </w:rPr>
            </w:pPr>
          </w:p>
          <w:p w14:paraId="7CB264F1"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4F9" w14:textId="77777777">
        <w:trPr>
          <w:trHeight w:val="746"/>
        </w:trPr>
        <w:tc>
          <w:tcPr>
            <w:tcW w:w="2074" w:type="dxa"/>
          </w:tcPr>
          <w:p w14:paraId="7CB264F3" w14:textId="77777777" w:rsidR="008A4099" w:rsidRDefault="006A6EE2">
            <w:pPr>
              <w:pStyle w:val="TableParagraph"/>
              <w:spacing w:before="118" w:line="244" w:lineRule="auto"/>
              <w:ind w:left="107"/>
            </w:pPr>
            <w:r>
              <w:t>Freedom</w:t>
            </w:r>
            <w:r>
              <w:rPr>
                <w:spacing w:val="-14"/>
              </w:rPr>
              <w:t xml:space="preserve"> </w:t>
            </w:r>
            <w:r>
              <w:t xml:space="preserve">from </w:t>
            </w:r>
            <w:r>
              <w:rPr>
                <w:spacing w:val="-2"/>
              </w:rPr>
              <w:t>discrimination</w:t>
            </w:r>
          </w:p>
        </w:tc>
        <w:tc>
          <w:tcPr>
            <w:tcW w:w="1513" w:type="dxa"/>
          </w:tcPr>
          <w:p w14:paraId="7CB264F4" w14:textId="77777777" w:rsidR="008A4099" w:rsidRDefault="006A6EE2">
            <w:pPr>
              <w:pStyle w:val="TableParagraph"/>
              <w:spacing w:before="248"/>
              <w:ind w:left="11" w:right="1"/>
              <w:jc w:val="center"/>
            </w:pPr>
            <w:r>
              <w:t xml:space="preserve">s </w:t>
            </w:r>
            <w:r>
              <w:rPr>
                <w:spacing w:val="-10"/>
              </w:rPr>
              <w:t>8</w:t>
            </w:r>
          </w:p>
        </w:tc>
        <w:tc>
          <w:tcPr>
            <w:tcW w:w="1513" w:type="dxa"/>
          </w:tcPr>
          <w:p w14:paraId="7CB264F5" w14:textId="77777777" w:rsidR="008A4099" w:rsidRDefault="006A6EE2">
            <w:pPr>
              <w:pStyle w:val="TableParagraph"/>
              <w:spacing w:before="248"/>
              <w:ind w:left="11" w:right="3"/>
              <w:jc w:val="center"/>
            </w:pPr>
            <w:r>
              <w:t xml:space="preserve">s </w:t>
            </w:r>
            <w:r>
              <w:rPr>
                <w:spacing w:val="-10"/>
              </w:rPr>
              <w:t>8</w:t>
            </w:r>
          </w:p>
        </w:tc>
        <w:tc>
          <w:tcPr>
            <w:tcW w:w="1561" w:type="dxa"/>
          </w:tcPr>
          <w:p w14:paraId="7CB264F6" w14:textId="77777777" w:rsidR="008A4099" w:rsidRDefault="006A6EE2">
            <w:pPr>
              <w:pStyle w:val="TableParagraph"/>
              <w:spacing w:before="248"/>
              <w:ind w:left="9" w:right="2"/>
              <w:jc w:val="center"/>
            </w:pPr>
            <w:r>
              <w:t xml:space="preserve">s </w:t>
            </w:r>
            <w:r>
              <w:rPr>
                <w:spacing w:val="-5"/>
              </w:rPr>
              <w:t>15</w:t>
            </w:r>
          </w:p>
        </w:tc>
        <w:tc>
          <w:tcPr>
            <w:tcW w:w="2361" w:type="dxa"/>
          </w:tcPr>
          <w:p w14:paraId="7CB264F7" w14:textId="77777777" w:rsidR="008A4099" w:rsidRDefault="008A4099">
            <w:pPr>
              <w:pStyle w:val="TableParagraph"/>
              <w:spacing w:before="7"/>
              <w:rPr>
                <w:b/>
              </w:rPr>
            </w:pPr>
          </w:p>
          <w:p w14:paraId="7CB264F8"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00" w14:textId="77777777">
        <w:trPr>
          <w:trHeight w:val="746"/>
        </w:trPr>
        <w:tc>
          <w:tcPr>
            <w:tcW w:w="2074" w:type="dxa"/>
          </w:tcPr>
          <w:p w14:paraId="7CB264FA" w14:textId="77777777" w:rsidR="008A4099" w:rsidRDefault="006A6EE2">
            <w:pPr>
              <w:pStyle w:val="TableParagraph"/>
              <w:spacing w:before="118" w:line="244" w:lineRule="auto"/>
              <w:ind w:left="107"/>
            </w:pPr>
            <w:r>
              <w:t>Cultural</w:t>
            </w:r>
            <w:r>
              <w:rPr>
                <w:spacing w:val="-14"/>
              </w:rPr>
              <w:t xml:space="preserve"> </w:t>
            </w:r>
            <w:r>
              <w:t>rights</w:t>
            </w:r>
            <w:r>
              <w:rPr>
                <w:spacing w:val="-14"/>
              </w:rPr>
              <w:t xml:space="preserve"> </w:t>
            </w:r>
            <w:r>
              <w:t xml:space="preserve">– </w:t>
            </w:r>
            <w:r>
              <w:rPr>
                <w:spacing w:val="-2"/>
              </w:rPr>
              <w:t>general</w:t>
            </w:r>
          </w:p>
        </w:tc>
        <w:tc>
          <w:tcPr>
            <w:tcW w:w="1513" w:type="dxa"/>
          </w:tcPr>
          <w:p w14:paraId="7CB264FB" w14:textId="77777777" w:rsidR="008A4099" w:rsidRDefault="006A6EE2">
            <w:pPr>
              <w:pStyle w:val="TableParagraph"/>
              <w:spacing w:before="248"/>
              <w:ind w:left="11" w:right="1"/>
              <w:jc w:val="center"/>
            </w:pPr>
            <w:r>
              <w:t xml:space="preserve">s </w:t>
            </w:r>
            <w:r>
              <w:rPr>
                <w:spacing w:val="-5"/>
              </w:rPr>
              <w:t>27</w:t>
            </w:r>
          </w:p>
        </w:tc>
        <w:tc>
          <w:tcPr>
            <w:tcW w:w="1513" w:type="dxa"/>
          </w:tcPr>
          <w:p w14:paraId="7CB264FC" w14:textId="77777777" w:rsidR="008A4099" w:rsidRDefault="006A6EE2">
            <w:pPr>
              <w:pStyle w:val="TableParagraph"/>
              <w:spacing w:before="248"/>
              <w:ind w:left="11" w:right="3"/>
              <w:jc w:val="center"/>
            </w:pPr>
            <w:r>
              <w:t xml:space="preserve">s </w:t>
            </w:r>
            <w:r>
              <w:rPr>
                <w:spacing w:val="-5"/>
              </w:rPr>
              <w:t>19</w:t>
            </w:r>
          </w:p>
        </w:tc>
        <w:tc>
          <w:tcPr>
            <w:tcW w:w="1561" w:type="dxa"/>
          </w:tcPr>
          <w:p w14:paraId="7CB264FD" w14:textId="77777777" w:rsidR="008A4099" w:rsidRDefault="006A6EE2">
            <w:pPr>
              <w:pStyle w:val="TableParagraph"/>
              <w:spacing w:before="248"/>
              <w:ind w:left="9" w:right="2"/>
              <w:jc w:val="center"/>
            </w:pPr>
            <w:r>
              <w:t xml:space="preserve">s </w:t>
            </w:r>
            <w:r>
              <w:rPr>
                <w:spacing w:val="-5"/>
              </w:rPr>
              <w:t>27</w:t>
            </w:r>
          </w:p>
        </w:tc>
        <w:tc>
          <w:tcPr>
            <w:tcW w:w="2361" w:type="dxa"/>
          </w:tcPr>
          <w:p w14:paraId="7CB264FE" w14:textId="77777777" w:rsidR="008A4099" w:rsidRDefault="008A4099">
            <w:pPr>
              <w:pStyle w:val="TableParagraph"/>
              <w:spacing w:before="5"/>
              <w:rPr>
                <w:b/>
              </w:rPr>
            </w:pPr>
          </w:p>
          <w:p w14:paraId="7CB264FF"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16" w14:textId="77777777">
        <w:trPr>
          <w:trHeight w:val="2615"/>
        </w:trPr>
        <w:tc>
          <w:tcPr>
            <w:tcW w:w="2074" w:type="dxa"/>
          </w:tcPr>
          <w:p w14:paraId="7CB26501" w14:textId="77777777" w:rsidR="008A4099" w:rsidRDefault="008A4099">
            <w:pPr>
              <w:pStyle w:val="TableParagraph"/>
              <w:rPr>
                <w:b/>
              </w:rPr>
            </w:pPr>
          </w:p>
          <w:p w14:paraId="7CB26502" w14:textId="77777777" w:rsidR="008A4099" w:rsidRDefault="008A4099">
            <w:pPr>
              <w:pStyle w:val="TableParagraph"/>
              <w:rPr>
                <w:b/>
              </w:rPr>
            </w:pPr>
          </w:p>
          <w:p w14:paraId="7CB26503" w14:textId="77777777" w:rsidR="008A4099" w:rsidRDefault="008A4099">
            <w:pPr>
              <w:pStyle w:val="TableParagraph"/>
              <w:spacing w:before="43"/>
              <w:rPr>
                <w:b/>
              </w:rPr>
            </w:pPr>
          </w:p>
          <w:p w14:paraId="7CB26504" w14:textId="77777777" w:rsidR="008A4099" w:rsidRDefault="006A6EE2">
            <w:pPr>
              <w:pStyle w:val="TableParagraph"/>
              <w:ind w:left="107" w:right="332"/>
            </w:pPr>
            <w:r>
              <w:t>Cultural</w:t>
            </w:r>
            <w:r>
              <w:rPr>
                <w:spacing w:val="-14"/>
              </w:rPr>
              <w:t xml:space="preserve"> </w:t>
            </w:r>
            <w:r>
              <w:t>rights</w:t>
            </w:r>
            <w:r>
              <w:rPr>
                <w:spacing w:val="-14"/>
              </w:rPr>
              <w:t xml:space="preserve"> </w:t>
            </w:r>
            <w:r>
              <w:t xml:space="preserve">– Aboriginal and Torres Strait </w:t>
            </w:r>
            <w:r>
              <w:rPr>
                <w:spacing w:val="-2"/>
              </w:rPr>
              <w:t>Islander</w:t>
            </w:r>
          </w:p>
        </w:tc>
        <w:tc>
          <w:tcPr>
            <w:tcW w:w="1513" w:type="dxa"/>
          </w:tcPr>
          <w:p w14:paraId="7CB26505" w14:textId="77777777" w:rsidR="008A4099" w:rsidRDefault="008A4099">
            <w:pPr>
              <w:pStyle w:val="TableParagraph"/>
              <w:rPr>
                <w:b/>
              </w:rPr>
            </w:pPr>
          </w:p>
          <w:p w14:paraId="7CB26506" w14:textId="77777777" w:rsidR="008A4099" w:rsidRDefault="008A4099">
            <w:pPr>
              <w:pStyle w:val="TableParagraph"/>
              <w:rPr>
                <w:b/>
              </w:rPr>
            </w:pPr>
          </w:p>
          <w:p w14:paraId="7CB26507" w14:textId="77777777" w:rsidR="008A4099" w:rsidRDefault="008A4099">
            <w:pPr>
              <w:pStyle w:val="TableParagraph"/>
              <w:rPr>
                <w:b/>
              </w:rPr>
            </w:pPr>
          </w:p>
          <w:p w14:paraId="7CB26508" w14:textId="77777777" w:rsidR="008A4099" w:rsidRDefault="008A4099">
            <w:pPr>
              <w:pStyle w:val="TableParagraph"/>
              <w:spacing w:before="172"/>
              <w:rPr>
                <w:b/>
              </w:rPr>
            </w:pPr>
          </w:p>
          <w:p w14:paraId="7CB26509" w14:textId="77777777" w:rsidR="008A4099" w:rsidRDefault="006A6EE2">
            <w:pPr>
              <w:pStyle w:val="TableParagraph"/>
              <w:ind w:left="11" w:right="1"/>
              <w:jc w:val="center"/>
            </w:pPr>
            <w:r>
              <w:t xml:space="preserve">s </w:t>
            </w:r>
            <w:r>
              <w:rPr>
                <w:spacing w:val="-5"/>
              </w:rPr>
              <w:t>27</w:t>
            </w:r>
          </w:p>
        </w:tc>
        <w:tc>
          <w:tcPr>
            <w:tcW w:w="1513" w:type="dxa"/>
          </w:tcPr>
          <w:p w14:paraId="7CB2650A" w14:textId="77777777" w:rsidR="008A4099" w:rsidRDefault="008A4099">
            <w:pPr>
              <w:pStyle w:val="TableParagraph"/>
              <w:rPr>
                <w:b/>
              </w:rPr>
            </w:pPr>
          </w:p>
          <w:p w14:paraId="7CB2650B" w14:textId="77777777" w:rsidR="008A4099" w:rsidRDefault="008A4099">
            <w:pPr>
              <w:pStyle w:val="TableParagraph"/>
              <w:rPr>
                <w:b/>
              </w:rPr>
            </w:pPr>
          </w:p>
          <w:p w14:paraId="7CB2650C" w14:textId="77777777" w:rsidR="008A4099" w:rsidRDefault="008A4099">
            <w:pPr>
              <w:pStyle w:val="TableParagraph"/>
              <w:rPr>
                <w:b/>
              </w:rPr>
            </w:pPr>
          </w:p>
          <w:p w14:paraId="7CB2650D" w14:textId="77777777" w:rsidR="008A4099" w:rsidRDefault="008A4099">
            <w:pPr>
              <w:pStyle w:val="TableParagraph"/>
              <w:spacing w:before="172"/>
              <w:rPr>
                <w:b/>
              </w:rPr>
            </w:pPr>
          </w:p>
          <w:p w14:paraId="7CB2650E" w14:textId="77777777" w:rsidR="008A4099" w:rsidRDefault="006A6EE2">
            <w:pPr>
              <w:pStyle w:val="TableParagraph"/>
              <w:ind w:left="11" w:right="3"/>
              <w:jc w:val="center"/>
            </w:pPr>
            <w:r>
              <w:t xml:space="preserve">s </w:t>
            </w:r>
            <w:r>
              <w:rPr>
                <w:spacing w:val="-5"/>
              </w:rPr>
              <w:t>19</w:t>
            </w:r>
          </w:p>
        </w:tc>
        <w:tc>
          <w:tcPr>
            <w:tcW w:w="1561" w:type="dxa"/>
          </w:tcPr>
          <w:p w14:paraId="7CB2650F" w14:textId="77777777" w:rsidR="008A4099" w:rsidRDefault="008A4099">
            <w:pPr>
              <w:pStyle w:val="TableParagraph"/>
              <w:rPr>
                <w:b/>
              </w:rPr>
            </w:pPr>
          </w:p>
          <w:p w14:paraId="7CB26510" w14:textId="77777777" w:rsidR="008A4099" w:rsidRDefault="008A4099">
            <w:pPr>
              <w:pStyle w:val="TableParagraph"/>
              <w:rPr>
                <w:b/>
              </w:rPr>
            </w:pPr>
          </w:p>
          <w:p w14:paraId="7CB26511" w14:textId="77777777" w:rsidR="008A4099" w:rsidRDefault="008A4099">
            <w:pPr>
              <w:pStyle w:val="TableParagraph"/>
              <w:rPr>
                <w:b/>
              </w:rPr>
            </w:pPr>
          </w:p>
          <w:p w14:paraId="7CB26512" w14:textId="77777777" w:rsidR="008A4099" w:rsidRDefault="008A4099">
            <w:pPr>
              <w:pStyle w:val="TableParagraph"/>
              <w:spacing w:before="172"/>
              <w:rPr>
                <w:b/>
              </w:rPr>
            </w:pPr>
          </w:p>
          <w:p w14:paraId="7CB26513" w14:textId="77777777" w:rsidR="008A4099" w:rsidRDefault="006A6EE2">
            <w:pPr>
              <w:pStyle w:val="TableParagraph"/>
              <w:ind w:left="9" w:right="2"/>
              <w:jc w:val="center"/>
            </w:pPr>
            <w:r>
              <w:t xml:space="preserve">s </w:t>
            </w:r>
            <w:r>
              <w:rPr>
                <w:spacing w:val="-5"/>
              </w:rPr>
              <w:t>28</w:t>
            </w:r>
          </w:p>
        </w:tc>
        <w:tc>
          <w:tcPr>
            <w:tcW w:w="2361" w:type="dxa"/>
          </w:tcPr>
          <w:p w14:paraId="7CB26514" w14:textId="77777777" w:rsidR="008A4099" w:rsidRDefault="006A6EE2">
            <w:pPr>
              <w:pStyle w:val="TableParagraph"/>
              <w:spacing w:before="121"/>
              <w:ind w:left="4" w:right="2"/>
              <w:jc w:val="center"/>
              <w:rPr>
                <w:rFonts w:ascii="Wingdings 2" w:hAnsi="Wingdings 2"/>
              </w:rPr>
            </w:pPr>
            <w:r>
              <w:rPr>
                <w:rFonts w:ascii="Wingdings 2" w:hAnsi="Wingdings 2"/>
                <w:spacing w:val="-10"/>
              </w:rPr>
              <w:t></w:t>
            </w:r>
          </w:p>
          <w:p w14:paraId="7CB26515" w14:textId="77777777" w:rsidR="008A4099" w:rsidRDefault="006A6EE2">
            <w:pPr>
              <w:pStyle w:val="TableParagraph"/>
              <w:spacing w:before="118"/>
              <w:ind w:left="105" w:right="140"/>
            </w:pPr>
            <w:r>
              <w:t>‘The right of Indigenous</w:t>
            </w:r>
            <w:r>
              <w:rPr>
                <w:spacing w:val="-14"/>
              </w:rPr>
              <w:t xml:space="preserve"> </w:t>
            </w:r>
            <w:r>
              <w:t>Tasmanians to maintain their distinctive identity, culture,</w:t>
            </w:r>
            <w:r>
              <w:rPr>
                <w:spacing w:val="-12"/>
              </w:rPr>
              <w:t xml:space="preserve"> </w:t>
            </w:r>
            <w:r>
              <w:t>kinship</w:t>
            </w:r>
            <w:r>
              <w:rPr>
                <w:spacing w:val="-12"/>
              </w:rPr>
              <w:t xml:space="preserve"> </w:t>
            </w:r>
            <w:r>
              <w:t>ties</w:t>
            </w:r>
            <w:r>
              <w:rPr>
                <w:spacing w:val="-14"/>
              </w:rPr>
              <w:t xml:space="preserve"> </w:t>
            </w:r>
            <w:r>
              <w:t>and spiritual, material and economic relationship with the land’</w:t>
            </w:r>
          </w:p>
        </w:tc>
      </w:tr>
      <w:tr w:rsidR="008A4099" w14:paraId="7CB26524" w14:textId="77777777">
        <w:trPr>
          <w:trHeight w:val="1505"/>
        </w:trPr>
        <w:tc>
          <w:tcPr>
            <w:tcW w:w="2074" w:type="dxa"/>
          </w:tcPr>
          <w:p w14:paraId="7CB26517" w14:textId="77777777" w:rsidR="008A4099" w:rsidRDefault="006A6EE2">
            <w:pPr>
              <w:pStyle w:val="TableParagraph"/>
              <w:spacing w:before="119"/>
              <w:ind w:left="107" w:right="185"/>
            </w:pPr>
            <w:r>
              <w:t>The right not to be subject</w:t>
            </w:r>
            <w:r>
              <w:rPr>
                <w:spacing w:val="-1"/>
              </w:rPr>
              <w:t xml:space="preserve"> </w:t>
            </w:r>
            <w:r>
              <w:t>to</w:t>
            </w:r>
            <w:r>
              <w:rPr>
                <w:spacing w:val="-2"/>
              </w:rPr>
              <w:t xml:space="preserve"> </w:t>
            </w:r>
            <w:r>
              <w:t>torture or cruel, inhuman or degrading</w:t>
            </w:r>
            <w:r>
              <w:rPr>
                <w:spacing w:val="-14"/>
              </w:rPr>
              <w:t xml:space="preserve"> </w:t>
            </w:r>
            <w:r>
              <w:t>treatment or punishment</w:t>
            </w:r>
          </w:p>
        </w:tc>
        <w:tc>
          <w:tcPr>
            <w:tcW w:w="1513" w:type="dxa"/>
          </w:tcPr>
          <w:p w14:paraId="7CB26518" w14:textId="77777777" w:rsidR="008A4099" w:rsidRDefault="008A4099">
            <w:pPr>
              <w:pStyle w:val="TableParagraph"/>
              <w:rPr>
                <w:b/>
              </w:rPr>
            </w:pPr>
          </w:p>
          <w:p w14:paraId="7CB26519" w14:textId="77777777" w:rsidR="008A4099" w:rsidRDefault="008A4099">
            <w:pPr>
              <w:pStyle w:val="TableParagraph"/>
              <w:spacing w:before="121"/>
              <w:rPr>
                <w:b/>
              </w:rPr>
            </w:pPr>
          </w:p>
          <w:p w14:paraId="7CB2651A" w14:textId="77777777" w:rsidR="008A4099" w:rsidRDefault="006A6EE2">
            <w:pPr>
              <w:pStyle w:val="TableParagraph"/>
              <w:spacing w:before="1"/>
              <w:ind w:left="11" w:right="1"/>
              <w:jc w:val="center"/>
            </w:pPr>
            <w:r>
              <w:t xml:space="preserve">s </w:t>
            </w:r>
            <w:r>
              <w:rPr>
                <w:spacing w:val="-5"/>
              </w:rPr>
              <w:t>10</w:t>
            </w:r>
          </w:p>
        </w:tc>
        <w:tc>
          <w:tcPr>
            <w:tcW w:w="1513" w:type="dxa"/>
          </w:tcPr>
          <w:p w14:paraId="7CB2651B" w14:textId="77777777" w:rsidR="008A4099" w:rsidRDefault="008A4099">
            <w:pPr>
              <w:pStyle w:val="TableParagraph"/>
              <w:rPr>
                <w:b/>
              </w:rPr>
            </w:pPr>
          </w:p>
          <w:p w14:paraId="7CB2651C" w14:textId="77777777" w:rsidR="008A4099" w:rsidRDefault="008A4099">
            <w:pPr>
              <w:pStyle w:val="TableParagraph"/>
              <w:spacing w:before="121"/>
              <w:rPr>
                <w:b/>
              </w:rPr>
            </w:pPr>
          </w:p>
          <w:p w14:paraId="7CB2651D" w14:textId="77777777" w:rsidR="008A4099" w:rsidRDefault="006A6EE2">
            <w:pPr>
              <w:pStyle w:val="TableParagraph"/>
              <w:spacing w:before="1"/>
              <w:ind w:left="11" w:right="3"/>
              <w:jc w:val="center"/>
            </w:pPr>
            <w:r>
              <w:t xml:space="preserve">s </w:t>
            </w:r>
            <w:r>
              <w:rPr>
                <w:spacing w:val="-5"/>
              </w:rPr>
              <w:t>10</w:t>
            </w:r>
          </w:p>
        </w:tc>
        <w:tc>
          <w:tcPr>
            <w:tcW w:w="1561" w:type="dxa"/>
          </w:tcPr>
          <w:p w14:paraId="7CB2651E" w14:textId="77777777" w:rsidR="008A4099" w:rsidRDefault="008A4099">
            <w:pPr>
              <w:pStyle w:val="TableParagraph"/>
              <w:rPr>
                <w:b/>
              </w:rPr>
            </w:pPr>
          </w:p>
          <w:p w14:paraId="7CB2651F" w14:textId="77777777" w:rsidR="008A4099" w:rsidRDefault="008A4099">
            <w:pPr>
              <w:pStyle w:val="TableParagraph"/>
              <w:spacing w:before="121"/>
              <w:rPr>
                <w:b/>
              </w:rPr>
            </w:pPr>
          </w:p>
          <w:p w14:paraId="7CB26520" w14:textId="77777777" w:rsidR="008A4099" w:rsidRDefault="006A6EE2">
            <w:pPr>
              <w:pStyle w:val="TableParagraph"/>
              <w:spacing w:before="1"/>
              <w:ind w:left="9" w:right="2"/>
              <w:jc w:val="center"/>
            </w:pPr>
            <w:r>
              <w:t xml:space="preserve">s </w:t>
            </w:r>
            <w:r>
              <w:rPr>
                <w:spacing w:val="-5"/>
              </w:rPr>
              <w:t>17</w:t>
            </w:r>
          </w:p>
        </w:tc>
        <w:tc>
          <w:tcPr>
            <w:tcW w:w="2361" w:type="dxa"/>
          </w:tcPr>
          <w:p w14:paraId="7CB26521" w14:textId="77777777" w:rsidR="008A4099" w:rsidRDefault="008A4099">
            <w:pPr>
              <w:pStyle w:val="TableParagraph"/>
              <w:rPr>
                <w:b/>
              </w:rPr>
            </w:pPr>
          </w:p>
          <w:p w14:paraId="7CB26522" w14:textId="77777777" w:rsidR="008A4099" w:rsidRDefault="008A4099">
            <w:pPr>
              <w:pStyle w:val="TableParagraph"/>
              <w:spacing w:before="134"/>
              <w:rPr>
                <w:b/>
              </w:rPr>
            </w:pPr>
          </w:p>
          <w:p w14:paraId="7CB26523"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2E" w14:textId="77777777">
        <w:trPr>
          <w:trHeight w:val="1000"/>
        </w:trPr>
        <w:tc>
          <w:tcPr>
            <w:tcW w:w="2074" w:type="dxa"/>
          </w:tcPr>
          <w:p w14:paraId="7CB26525" w14:textId="77777777" w:rsidR="008A4099" w:rsidRDefault="006A6EE2">
            <w:pPr>
              <w:pStyle w:val="TableParagraph"/>
              <w:spacing w:before="121"/>
              <w:ind w:left="107" w:right="160"/>
            </w:pPr>
            <w:r>
              <w:t>Freedom from slavery</w:t>
            </w:r>
            <w:r>
              <w:rPr>
                <w:spacing w:val="-14"/>
              </w:rPr>
              <w:t xml:space="preserve"> </w:t>
            </w:r>
            <w:r>
              <w:t>and</w:t>
            </w:r>
            <w:r>
              <w:rPr>
                <w:spacing w:val="-14"/>
              </w:rPr>
              <w:t xml:space="preserve"> </w:t>
            </w:r>
            <w:r>
              <w:t xml:space="preserve">forced </w:t>
            </w:r>
            <w:r>
              <w:rPr>
                <w:spacing w:val="-4"/>
              </w:rPr>
              <w:t>work</w:t>
            </w:r>
          </w:p>
        </w:tc>
        <w:tc>
          <w:tcPr>
            <w:tcW w:w="1513" w:type="dxa"/>
          </w:tcPr>
          <w:p w14:paraId="7CB26526" w14:textId="77777777" w:rsidR="008A4099" w:rsidRDefault="008A4099">
            <w:pPr>
              <w:pStyle w:val="TableParagraph"/>
              <w:spacing w:before="122"/>
              <w:rPr>
                <w:b/>
              </w:rPr>
            </w:pPr>
          </w:p>
          <w:p w14:paraId="7CB26527" w14:textId="77777777" w:rsidR="008A4099" w:rsidRDefault="006A6EE2">
            <w:pPr>
              <w:pStyle w:val="TableParagraph"/>
              <w:ind w:left="11" w:right="1"/>
              <w:jc w:val="center"/>
            </w:pPr>
            <w:r>
              <w:t xml:space="preserve">s </w:t>
            </w:r>
            <w:r>
              <w:rPr>
                <w:spacing w:val="-5"/>
              </w:rPr>
              <w:t>26</w:t>
            </w:r>
          </w:p>
        </w:tc>
        <w:tc>
          <w:tcPr>
            <w:tcW w:w="1513" w:type="dxa"/>
          </w:tcPr>
          <w:p w14:paraId="7CB26528" w14:textId="77777777" w:rsidR="008A4099" w:rsidRDefault="008A4099">
            <w:pPr>
              <w:pStyle w:val="TableParagraph"/>
              <w:spacing w:before="122"/>
              <w:rPr>
                <w:b/>
              </w:rPr>
            </w:pPr>
          </w:p>
          <w:p w14:paraId="7CB26529" w14:textId="77777777" w:rsidR="008A4099" w:rsidRDefault="006A6EE2">
            <w:pPr>
              <w:pStyle w:val="TableParagraph"/>
              <w:ind w:left="11" w:right="3"/>
              <w:jc w:val="center"/>
            </w:pPr>
            <w:r>
              <w:t xml:space="preserve">s </w:t>
            </w:r>
            <w:r>
              <w:rPr>
                <w:spacing w:val="-5"/>
              </w:rPr>
              <w:t>11</w:t>
            </w:r>
          </w:p>
        </w:tc>
        <w:tc>
          <w:tcPr>
            <w:tcW w:w="1561" w:type="dxa"/>
          </w:tcPr>
          <w:p w14:paraId="7CB2652A" w14:textId="77777777" w:rsidR="008A4099" w:rsidRDefault="008A4099">
            <w:pPr>
              <w:pStyle w:val="TableParagraph"/>
              <w:spacing w:before="122"/>
              <w:rPr>
                <w:b/>
              </w:rPr>
            </w:pPr>
          </w:p>
          <w:p w14:paraId="7CB2652B" w14:textId="77777777" w:rsidR="008A4099" w:rsidRDefault="006A6EE2">
            <w:pPr>
              <w:pStyle w:val="TableParagraph"/>
              <w:ind w:left="9" w:right="2"/>
              <w:jc w:val="center"/>
            </w:pPr>
            <w:r>
              <w:t xml:space="preserve">s </w:t>
            </w:r>
            <w:r>
              <w:rPr>
                <w:spacing w:val="-5"/>
              </w:rPr>
              <w:t>18</w:t>
            </w:r>
          </w:p>
        </w:tc>
        <w:tc>
          <w:tcPr>
            <w:tcW w:w="2361" w:type="dxa"/>
          </w:tcPr>
          <w:p w14:paraId="7CB2652C" w14:textId="77777777" w:rsidR="008A4099" w:rsidRDefault="008A4099">
            <w:pPr>
              <w:pStyle w:val="TableParagraph"/>
              <w:spacing w:before="132"/>
              <w:rPr>
                <w:b/>
              </w:rPr>
            </w:pPr>
          </w:p>
          <w:p w14:paraId="7CB2652D" w14:textId="77777777" w:rsidR="008A4099" w:rsidRDefault="006A6EE2">
            <w:pPr>
              <w:pStyle w:val="TableParagraph"/>
              <w:ind w:left="4" w:right="2"/>
              <w:jc w:val="center"/>
              <w:rPr>
                <w:rFonts w:ascii="Wingdings 2" w:hAnsi="Wingdings 2"/>
              </w:rPr>
            </w:pPr>
            <w:r>
              <w:rPr>
                <w:rFonts w:ascii="Wingdings 2" w:hAnsi="Wingdings 2"/>
                <w:spacing w:val="-10"/>
              </w:rPr>
              <w:t></w:t>
            </w:r>
          </w:p>
        </w:tc>
      </w:tr>
    </w:tbl>
    <w:p w14:paraId="7CB2652F" w14:textId="77777777" w:rsidR="008A4099" w:rsidRDefault="008A4099">
      <w:pPr>
        <w:jc w:val="center"/>
        <w:rPr>
          <w:rFonts w:ascii="Wingdings 2" w:hAnsi="Wingdings 2"/>
        </w:rPr>
        <w:sectPr w:rsidR="008A4099" w:rsidSect="00D43B2D">
          <w:pgSz w:w="11910" w:h="16840"/>
          <w:pgMar w:top="980" w:right="760" w:bottom="940" w:left="1280" w:header="718" w:footer="753" w:gutter="0"/>
          <w:cols w:space="720"/>
        </w:sectPr>
      </w:pPr>
    </w:p>
    <w:p w14:paraId="7CB26530" w14:textId="77777777" w:rsidR="008A4099" w:rsidRDefault="008A4099">
      <w:pPr>
        <w:pStyle w:val="BodyText"/>
        <w:spacing w:before="218" w:after="1"/>
        <w:rPr>
          <w:b/>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4"/>
        <w:gridCol w:w="1513"/>
        <w:gridCol w:w="1513"/>
        <w:gridCol w:w="1561"/>
        <w:gridCol w:w="2361"/>
      </w:tblGrid>
      <w:tr w:rsidR="008A4099" w14:paraId="7CB2653B" w14:textId="77777777">
        <w:trPr>
          <w:trHeight w:val="945"/>
        </w:trPr>
        <w:tc>
          <w:tcPr>
            <w:tcW w:w="2074" w:type="dxa"/>
          </w:tcPr>
          <w:p w14:paraId="7CB26531" w14:textId="77777777" w:rsidR="008A4099" w:rsidRDefault="008A4099">
            <w:pPr>
              <w:pStyle w:val="TableParagraph"/>
              <w:spacing w:before="74"/>
              <w:rPr>
                <w:b/>
              </w:rPr>
            </w:pPr>
          </w:p>
          <w:p w14:paraId="7CB26532" w14:textId="77777777" w:rsidR="008A4099" w:rsidRDefault="006A6EE2">
            <w:pPr>
              <w:pStyle w:val="TableParagraph"/>
              <w:ind w:left="7"/>
              <w:jc w:val="center"/>
              <w:rPr>
                <w:b/>
              </w:rPr>
            </w:pPr>
            <w:r>
              <w:rPr>
                <w:b/>
                <w:spacing w:val="-2"/>
              </w:rPr>
              <w:t>Rights</w:t>
            </w:r>
          </w:p>
        </w:tc>
        <w:tc>
          <w:tcPr>
            <w:tcW w:w="1513" w:type="dxa"/>
          </w:tcPr>
          <w:p w14:paraId="7CB26533" w14:textId="77777777" w:rsidR="008A4099" w:rsidRDefault="008A4099">
            <w:pPr>
              <w:pStyle w:val="TableParagraph"/>
              <w:spacing w:before="96"/>
              <w:rPr>
                <w:b/>
              </w:rPr>
            </w:pPr>
          </w:p>
          <w:p w14:paraId="7CB26534" w14:textId="77777777" w:rsidR="008A4099" w:rsidRDefault="006A6EE2">
            <w:pPr>
              <w:pStyle w:val="TableParagraph"/>
              <w:ind w:left="11" w:right="5"/>
              <w:jc w:val="center"/>
              <w:rPr>
                <w:b/>
              </w:rPr>
            </w:pPr>
            <w:r>
              <w:rPr>
                <w:b/>
                <w:spacing w:val="-5"/>
              </w:rPr>
              <w:t>ACT</w:t>
            </w:r>
          </w:p>
        </w:tc>
        <w:tc>
          <w:tcPr>
            <w:tcW w:w="1513" w:type="dxa"/>
          </w:tcPr>
          <w:p w14:paraId="7CB26535" w14:textId="77777777" w:rsidR="008A4099" w:rsidRDefault="008A4099">
            <w:pPr>
              <w:pStyle w:val="TableParagraph"/>
              <w:spacing w:before="96"/>
              <w:rPr>
                <w:b/>
              </w:rPr>
            </w:pPr>
          </w:p>
          <w:p w14:paraId="7CB26536" w14:textId="77777777" w:rsidR="008A4099" w:rsidRDefault="006A6EE2">
            <w:pPr>
              <w:pStyle w:val="TableParagraph"/>
              <w:ind w:left="11" w:right="3"/>
              <w:jc w:val="center"/>
              <w:rPr>
                <w:b/>
              </w:rPr>
            </w:pPr>
            <w:r>
              <w:rPr>
                <w:b/>
                <w:spacing w:val="-5"/>
              </w:rPr>
              <w:t>Vic</w:t>
            </w:r>
          </w:p>
        </w:tc>
        <w:tc>
          <w:tcPr>
            <w:tcW w:w="1561" w:type="dxa"/>
          </w:tcPr>
          <w:p w14:paraId="7CB26537" w14:textId="77777777" w:rsidR="008A4099" w:rsidRDefault="008A4099">
            <w:pPr>
              <w:pStyle w:val="TableParagraph"/>
              <w:spacing w:before="96"/>
              <w:rPr>
                <w:b/>
              </w:rPr>
            </w:pPr>
          </w:p>
          <w:p w14:paraId="7CB26538" w14:textId="77777777" w:rsidR="008A4099" w:rsidRDefault="006A6EE2">
            <w:pPr>
              <w:pStyle w:val="TableParagraph"/>
              <w:ind w:left="9"/>
              <w:jc w:val="center"/>
              <w:rPr>
                <w:b/>
              </w:rPr>
            </w:pPr>
            <w:r>
              <w:rPr>
                <w:b/>
                <w:spacing w:val="-5"/>
              </w:rPr>
              <w:t>Qld</w:t>
            </w:r>
          </w:p>
        </w:tc>
        <w:tc>
          <w:tcPr>
            <w:tcW w:w="2361" w:type="dxa"/>
          </w:tcPr>
          <w:p w14:paraId="7CB26539" w14:textId="77777777" w:rsidR="008A4099" w:rsidRDefault="006A6EE2">
            <w:pPr>
              <w:pStyle w:val="TableParagraph"/>
              <w:spacing w:before="200"/>
              <w:ind w:left="4" w:right="3"/>
              <w:jc w:val="center"/>
              <w:rPr>
                <w:b/>
              </w:rPr>
            </w:pPr>
            <w:r>
              <w:rPr>
                <w:b/>
                <w:spacing w:val="-4"/>
              </w:rPr>
              <w:t>TLRI</w:t>
            </w:r>
          </w:p>
          <w:p w14:paraId="7CB2653A" w14:textId="77777777" w:rsidR="008A4099" w:rsidRDefault="006A6EE2">
            <w:pPr>
              <w:pStyle w:val="TableParagraph"/>
              <w:spacing w:before="2"/>
              <w:ind w:left="4"/>
              <w:jc w:val="center"/>
              <w:rPr>
                <w:b/>
              </w:rPr>
            </w:pPr>
            <w:r>
              <w:rPr>
                <w:b/>
                <w:spacing w:val="-2"/>
              </w:rPr>
              <w:t>Recommendations</w:t>
            </w:r>
          </w:p>
        </w:tc>
      </w:tr>
      <w:tr w:rsidR="008A4099" w14:paraId="7CB26545" w14:textId="77777777">
        <w:trPr>
          <w:trHeight w:val="1000"/>
        </w:trPr>
        <w:tc>
          <w:tcPr>
            <w:tcW w:w="2074" w:type="dxa"/>
          </w:tcPr>
          <w:p w14:paraId="7CB2653C" w14:textId="77777777" w:rsidR="008A4099" w:rsidRDefault="006A6EE2">
            <w:pPr>
              <w:pStyle w:val="TableParagraph"/>
              <w:spacing w:before="118"/>
              <w:ind w:left="107"/>
            </w:pPr>
            <w:r>
              <w:t>The right not to be deprived</w:t>
            </w:r>
            <w:r>
              <w:rPr>
                <w:spacing w:val="-14"/>
              </w:rPr>
              <w:t xml:space="preserve"> </w:t>
            </w:r>
            <w:r>
              <w:t>of</w:t>
            </w:r>
            <w:r>
              <w:rPr>
                <w:spacing w:val="-14"/>
              </w:rPr>
              <w:t xml:space="preserve"> </w:t>
            </w:r>
            <w:r>
              <w:t>property except</w:t>
            </w:r>
            <w:r>
              <w:rPr>
                <w:spacing w:val="-3"/>
              </w:rPr>
              <w:t xml:space="preserve"> </w:t>
            </w:r>
            <w:r>
              <w:t>on</w:t>
            </w:r>
            <w:r>
              <w:rPr>
                <w:spacing w:val="-3"/>
              </w:rPr>
              <w:t xml:space="preserve"> </w:t>
            </w:r>
            <w:r>
              <w:t xml:space="preserve">just </w:t>
            </w:r>
            <w:r>
              <w:rPr>
                <w:spacing w:val="-4"/>
              </w:rPr>
              <w:t>terms</w:t>
            </w:r>
          </w:p>
        </w:tc>
        <w:tc>
          <w:tcPr>
            <w:tcW w:w="1513" w:type="dxa"/>
          </w:tcPr>
          <w:p w14:paraId="7CB2653D" w14:textId="77777777" w:rsidR="008A4099" w:rsidRDefault="008A4099">
            <w:pPr>
              <w:pStyle w:val="TableParagraph"/>
              <w:spacing w:before="132"/>
              <w:rPr>
                <w:b/>
              </w:rPr>
            </w:pPr>
          </w:p>
          <w:p w14:paraId="7CB2653E" w14:textId="77777777" w:rsidR="008A4099" w:rsidRDefault="006A6EE2">
            <w:pPr>
              <w:pStyle w:val="TableParagraph"/>
              <w:ind w:left="11" w:right="4"/>
              <w:jc w:val="center"/>
              <w:rPr>
                <w:rFonts w:ascii="Wingdings 2" w:hAnsi="Wingdings 2"/>
              </w:rPr>
            </w:pPr>
            <w:r>
              <w:rPr>
                <w:rFonts w:ascii="Wingdings 2" w:hAnsi="Wingdings 2"/>
                <w:spacing w:val="-10"/>
              </w:rPr>
              <w:t></w:t>
            </w:r>
          </w:p>
        </w:tc>
        <w:tc>
          <w:tcPr>
            <w:tcW w:w="1513" w:type="dxa"/>
          </w:tcPr>
          <w:p w14:paraId="7CB2653F" w14:textId="77777777" w:rsidR="008A4099" w:rsidRDefault="008A4099">
            <w:pPr>
              <w:pStyle w:val="TableParagraph"/>
              <w:spacing w:before="122"/>
              <w:rPr>
                <w:b/>
              </w:rPr>
            </w:pPr>
          </w:p>
          <w:p w14:paraId="7CB26540" w14:textId="77777777" w:rsidR="008A4099" w:rsidRDefault="006A6EE2">
            <w:pPr>
              <w:pStyle w:val="TableParagraph"/>
              <w:ind w:left="11" w:right="3"/>
              <w:jc w:val="center"/>
            </w:pPr>
            <w:r>
              <w:t xml:space="preserve">s </w:t>
            </w:r>
            <w:r>
              <w:rPr>
                <w:spacing w:val="-5"/>
              </w:rPr>
              <w:t>20</w:t>
            </w:r>
          </w:p>
        </w:tc>
        <w:tc>
          <w:tcPr>
            <w:tcW w:w="1561" w:type="dxa"/>
          </w:tcPr>
          <w:p w14:paraId="7CB26541" w14:textId="77777777" w:rsidR="008A4099" w:rsidRDefault="008A4099">
            <w:pPr>
              <w:pStyle w:val="TableParagraph"/>
              <w:spacing w:before="122"/>
              <w:rPr>
                <w:b/>
              </w:rPr>
            </w:pPr>
          </w:p>
          <w:p w14:paraId="7CB26542" w14:textId="77777777" w:rsidR="008A4099" w:rsidRDefault="006A6EE2">
            <w:pPr>
              <w:pStyle w:val="TableParagraph"/>
              <w:ind w:left="9" w:right="2"/>
              <w:jc w:val="center"/>
            </w:pPr>
            <w:r>
              <w:t xml:space="preserve">s </w:t>
            </w:r>
            <w:r>
              <w:rPr>
                <w:spacing w:val="-5"/>
              </w:rPr>
              <w:t>24</w:t>
            </w:r>
          </w:p>
        </w:tc>
        <w:tc>
          <w:tcPr>
            <w:tcW w:w="2361" w:type="dxa"/>
          </w:tcPr>
          <w:p w14:paraId="7CB26543" w14:textId="77777777" w:rsidR="008A4099" w:rsidRDefault="008A4099">
            <w:pPr>
              <w:pStyle w:val="TableParagraph"/>
              <w:spacing w:before="132"/>
              <w:rPr>
                <w:b/>
              </w:rPr>
            </w:pPr>
          </w:p>
          <w:p w14:paraId="7CB26544"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4F" w14:textId="77777777">
        <w:trPr>
          <w:trHeight w:val="745"/>
        </w:trPr>
        <w:tc>
          <w:tcPr>
            <w:tcW w:w="2074" w:type="dxa"/>
          </w:tcPr>
          <w:p w14:paraId="7CB26546" w14:textId="77777777" w:rsidR="008A4099" w:rsidRDefault="006A6EE2">
            <w:pPr>
              <w:pStyle w:val="TableParagraph"/>
              <w:spacing w:before="118"/>
              <w:ind w:left="107" w:right="686"/>
            </w:pPr>
            <w:r>
              <w:t>Freedom</w:t>
            </w:r>
            <w:r>
              <w:rPr>
                <w:spacing w:val="-14"/>
              </w:rPr>
              <w:t xml:space="preserve"> </w:t>
            </w:r>
            <w:r>
              <w:t xml:space="preserve">from </w:t>
            </w:r>
            <w:r>
              <w:rPr>
                <w:spacing w:val="-2"/>
              </w:rPr>
              <w:t>genocide</w:t>
            </w:r>
          </w:p>
        </w:tc>
        <w:tc>
          <w:tcPr>
            <w:tcW w:w="1513" w:type="dxa"/>
          </w:tcPr>
          <w:p w14:paraId="7CB26547" w14:textId="77777777" w:rsidR="008A4099" w:rsidRDefault="008A4099">
            <w:pPr>
              <w:pStyle w:val="TableParagraph"/>
              <w:spacing w:before="5"/>
              <w:rPr>
                <w:b/>
              </w:rPr>
            </w:pPr>
          </w:p>
          <w:p w14:paraId="7CB26548" w14:textId="77777777" w:rsidR="008A4099" w:rsidRDefault="006A6EE2">
            <w:pPr>
              <w:pStyle w:val="TableParagraph"/>
              <w:ind w:left="11" w:right="4"/>
              <w:jc w:val="center"/>
              <w:rPr>
                <w:rFonts w:ascii="Wingdings 2" w:hAnsi="Wingdings 2"/>
              </w:rPr>
            </w:pPr>
            <w:r>
              <w:rPr>
                <w:rFonts w:ascii="Wingdings 2" w:hAnsi="Wingdings 2"/>
                <w:spacing w:val="-10"/>
              </w:rPr>
              <w:t></w:t>
            </w:r>
          </w:p>
        </w:tc>
        <w:tc>
          <w:tcPr>
            <w:tcW w:w="1513" w:type="dxa"/>
          </w:tcPr>
          <w:p w14:paraId="7CB26549" w14:textId="77777777" w:rsidR="008A4099" w:rsidRDefault="008A4099">
            <w:pPr>
              <w:pStyle w:val="TableParagraph"/>
              <w:spacing w:before="5"/>
              <w:rPr>
                <w:b/>
              </w:rPr>
            </w:pPr>
          </w:p>
          <w:p w14:paraId="7CB2654A"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54B" w14:textId="77777777" w:rsidR="008A4099" w:rsidRDefault="008A4099">
            <w:pPr>
              <w:pStyle w:val="TableParagraph"/>
              <w:spacing w:before="5"/>
              <w:rPr>
                <w:b/>
              </w:rPr>
            </w:pPr>
          </w:p>
          <w:p w14:paraId="7CB2654C" w14:textId="77777777" w:rsidR="008A4099" w:rsidRDefault="006A6EE2">
            <w:pPr>
              <w:pStyle w:val="TableParagraph"/>
              <w:ind w:left="9" w:right="5"/>
              <w:jc w:val="center"/>
              <w:rPr>
                <w:rFonts w:ascii="Wingdings 2" w:hAnsi="Wingdings 2"/>
              </w:rPr>
            </w:pPr>
            <w:r>
              <w:rPr>
                <w:rFonts w:ascii="Wingdings 2" w:hAnsi="Wingdings 2"/>
                <w:spacing w:val="-10"/>
              </w:rPr>
              <w:t></w:t>
            </w:r>
          </w:p>
        </w:tc>
        <w:tc>
          <w:tcPr>
            <w:tcW w:w="2361" w:type="dxa"/>
          </w:tcPr>
          <w:p w14:paraId="7CB2654D" w14:textId="77777777" w:rsidR="008A4099" w:rsidRDefault="008A4099">
            <w:pPr>
              <w:pStyle w:val="TableParagraph"/>
              <w:spacing w:before="5"/>
              <w:rPr>
                <w:b/>
              </w:rPr>
            </w:pPr>
          </w:p>
          <w:p w14:paraId="7CB2654E"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51" w14:textId="77777777">
        <w:trPr>
          <w:trHeight w:val="731"/>
        </w:trPr>
        <w:tc>
          <w:tcPr>
            <w:tcW w:w="9022" w:type="dxa"/>
            <w:gridSpan w:val="5"/>
            <w:shd w:val="clear" w:color="auto" w:fill="F1F1F1"/>
          </w:tcPr>
          <w:p w14:paraId="7CB26550" w14:textId="77777777" w:rsidR="008A4099" w:rsidRDefault="006A6EE2">
            <w:pPr>
              <w:pStyle w:val="TableParagraph"/>
              <w:spacing w:before="241"/>
              <w:ind w:left="107"/>
              <w:rPr>
                <w:b/>
              </w:rPr>
            </w:pPr>
            <w:r>
              <w:rPr>
                <w:b/>
                <w:i/>
              </w:rPr>
              <w:t>International</w:t>
            </w:r>
            <w:r>
              <w:rPr>
                <w:b/>
                <w:i/>
                <w:spacing w:val="-6"/>
              </w:rPr>
              <w:t xml:space="preserve"> </w:t>
            </w:r>
            <w:r>
              <w:rPr>
                <w:b/>
                <w:i/>
              </w:rPr>
              <w:t>Covenant</w:t>
            </w:r>
            <w:r>
              <w:rPr>
                <w:b/>
                <w:i/>
                <w:spacing w:val="-4"/>
              </w:rPr>
              <w:t xml:space="preserve"> </w:t>
            </w:r>
            <w:r>
              <w:rPr>
                <w:b/>
                <w:i/>
              </w:rPr>
              <w:t>on</w:t>
            </w:r>
            <w:r>
              <w:rPr>
                <w:b/>
                <w:i/>
                <w:spacing w:val="-6"/>
              </w:rPr>
              <w:t xml:space="preserve"> </w:t>
            </w:r>
            <w:r>
              <w:rPr>
                <w:b/>
                <w:i/>
              </w:rPr>
              <w:t>Economic,</w:t>
            </w:r>
            <w:r>
              <w:rPr>
                <w:b/>
                <w:i/>
                <w:spacing w:val="-4"/>
              </w:rPr>
              <w:t xml:space="preserve"> </w:t>
            </w:r>
            <w:r>
              <w:rPr>
                <w:b/>
                <w:i/>
              </w:rPr>
              <w:t>Social</w:t>
            </w:r>
            <w:r>
              <w:rPr>
                <w:b/>
                <w:i/>
                <w:spacing w:val="-4"/>
              </w:rPr>
              <w:t xml:space="preserve"> </w:t>
            </w:r>
            <w:r>
              <w:rPr>
                <w:b/>
                <w:i/>
              </w:rPr>
              <w:t>and</w:t>
            </w:r>
            <w:r>
              <w:rPr>
                <w:b/>
                <w:i/>
                <w:spacing w:val="-7"/>
              </w:rPr>
              <w:t xml:space="preserve"> </w:t>
            </w:r>
            <w:r>
              <w:rPr>
                <w:b/>
                <w:i/>
              </w:rPr>
              <w:t>Cultural</w:t>
            </w:r>
            <w:r>
              <w:rPr>
                <w:b/>
                <w:i/>
                <w:spacing w:val="-3"/>
              </w:rPr>
              <w:t xml:space="preserve"> </w:t>
            </w:r>
            <w:r>
              <w:rPr>
                <w:b/>
                <w:i/>
              </w:rPr>
              <w:t>Rights</w:t>
            </w:r>
            <w:r>
              <w:rPr>
                <w:b/>
                <w:i/>
                <w:spacing w:val="-3"/>
              </w:rPr>
              <w:t xml:space="preserve"> </w:t>
            </w:r>
            <w:r>
              <w:rPr>
                <w:b/>
              </w:rPr>
              <w:t>(‘ICESCR’)</w:t>
            </w:r>
            <w:r>
              <w:rPr>
                <w:b/>
                <w:spacing w:val="-4"/>
              </w:rPr>
              <w:t xml:space="preserve"> </w:t>
            </w:r>
            <w:r>
              <w:rPr>
                <w:b/>
                <w:spacing w:val="-2"/>
              </w:rPr>
              <w:t>rights</w:t>
            </w:r>
          </w:p>
        </w:tc>
      </w:tr>
      <w:tr w:rsidR="008A4099" w14:paraId="7CB2655E" w14:textId="77777777">
        <w:trPr>
          <w:trHeight w:val="1252"/>
        </w:trPr>
        <w:tc>
          <w:tcPr>
            <w:tcW w:w="2074" w:type="dxa"/>
          </w:tcPr>
          <w:p w14:paraId="7CB26552" w14:textId="77777777" w:rsidR="008A4099" w:rsidRDefault="006A6EE2">
            <w:pPr>
              <w:pStyle w:val="TableParagraph"/>
              <w:spacing w:before="119" w:line="242" w:lineRule="auto"/>
              <w:ind w:left="107"/>
            </w:pPr>
            <w:r>
              <w:t>The right to the highest attainable standard</w:t>
            </w:r>
            <w:r>
              <w:rPr>
                <w:spacing w:val="-14"/>
              </w:rPr>
              <w:t xml:space="preserve"> </w:t>
            </w:r>
            <w:r>
              <w:t>of</w:t>
            </w:r>
            <w:r>
              <w:rPr>
                <w:spacing w:val="-14"/>
              </w:rPr>
              <w:t xml:space="preserve"> </w:t>
            </w:r>
            <w:r>
              <w:t>physical and mental health</w:t>
            </w:r>
          </w:p>
        </w:tc>
        <w:tc>
          <w:tcPr>
            <w:tcW w:w="1513" w:type="dxa"/>
          </w:tcPr>
          <w:p w14:paraId="7CB26553" w14:textId="77777777" w:rsidR="008A4099" w:rsidRDefault="008A4099">
            <w:pPr>
              <w:pStyle w:val="TableParagraph"/>
              <w:rPr>
                <w:b/>
              </w:rPr>
            </w:pPr>
          </w:p>
          <w:p w14:paraId="7CB26554" w14:textId="77777777" w:rsidR="008A4099" w:rsidRDefault="008A4099">
            <w:pPr>
              <w:pStyle w:val="TableParagraph"/>
              <w:spacing w:before="7"/>
              <w:rPr>
                <w:b/>
              </w:rPr>
            </w:pPr>
          </w:p>
          <w:p w14:paraId="7CB26555" w14:textId="77777777" w:rsidR="008A4099" w:rsidRDefault="006A6EE2">
            <w:pPr>
              <w:pStyle w:val="TableParagraph"/>
              <w:ind w:left="11" w:right="4"/>
              <w:jc w:val="center"/>
              <w:rPr>
                <w:rFonts w:ascii="Wingdings 2" w:hAnsi="Wingdings 2"/>
              </w:rPr>
            </w:pPr>
            <w:r>
              <w:rPr>
                <w:rFonts w:ascii="Wingdings 2" w:hAnsi="Wingdings 2"/>
                <w:spacing w:val="-10"/>
              </w:rPr>
              <w:t></w:t>
            </w:r>
          </w:p>
        </w:tc>
        <w:tc>
          <w:tcPr>
            <w:tcW w:w="1513" w:type="dxa"/>
          </w:tcPr>
          <w:p w14:paraId="7CB26556" w14:textId="77777777" w:rsidR="008A4099" w:rsidRDefault="008A4099">
            <w:pPr>
              <w:pStyle w:val="TableParagraph"/>
              <w:rPr>
                <w:b/>
              </w:rPr>
            </w:pPr>
          </w:p>
          <w:p w14:paraId="7CB26557" w14:textId="77777777" w:rsidR="008A4099" w:rsidRDefault="008A4099">
            <w:pPr>
              <w:pStyle w:val="TableParagraph"/>
              <w:spacing w:before="7"/>
              <w:rPr>
                <w:b/>
              </w:rPr>
            </w:pPr>
          </w:p>
          <w:p w14:paraId="7CB26558"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559" w14:textId="77777777" w:rsidR="008A4099" w:rsidRDefault="008A4099">
            <w:pPr>
              <w:pStyle w:val="TableParagraph"/>
              <w:spacing w:before="120"/>
              <w:rPr>
                <w:b/>
              </w:rPr>
            </w:pPr>
          </w:p>
          <w:p w14:paraId="7CB2655A" w14:textId="77777777" w:rsidR="008A4099" w:rsidRDefault="006A6EE2">
            <w:pPr>
              <w:pStyle w:val="TableParagraph"/>
              <w:ind w:left="216" w:hanging="94"/>
            </w:pPr>
            <w:r>
              <w:t>Right</w:t>
            </w:r>
            <w:r>
              <w:rPr>
                <w:spacing w:val="-14"/>
              </w:rPr>
              <w:t xml:space="preserve"> </w:t>
            </w:r>
            <w:r>
              <w:t>to</w:t>
            </w:r>
            <w:r>
              <w:rPr>
                <w:spacing w:val="-14"/>
              </w:rPr>
              <w:t xml:space="preserve"> </w:t>
            </w:r>
            <w:r>
              <w:t>health services s 37</w:t>
            </w:r>
          </w:p>
        </w:tc>
        <w:tc>
          <w:tcPr>
            <w:tcW w:w="2361" w:type="dxa"/>
          </w:tcPr>
          <w:p w14:paraId="7CB2655B" w14:textId="77777777" w:rsidR="008A4099" w:rsidRDefault="008A4099">
            <w:pPr>
              <w:pStyle w:val="TableParagraph"/>
              <w:rPr>
                <w:b/>
              </w:rPr>
            </w:pPr>
          </w:p>
          <w:p w14:paraId="7CB2655C" w14:textId="77777777" w:rsidR="008A4099" w:rsidRDefault="008A4099">
            <w:pPr>
              <w:pStyle w:val="TableParagraph"/>
              <w:spacing w:before="7"/>
              <w:rPr>
                <w:b/>
              </w:rPr>
            </w:pPr>
          </w:p>
          <w:p w14:paraId="7CB2655D"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68" w14:textId="77777777">
        <w:trPr>
          <w:trHeight w:val="998"/>
        </w:trPr>
        <w:tc>
          <w:tcPr>
            <w:tcW w:w="2074" w:type="dxa"/>
          </w:tcPr>
          <w:p w14:paraId="7CB2655F" w14:textId="77777777" w:rsidR="008A4099" w:rsidRDefault="006A6EE2">
            <w:pPr>
              <w:pStyle w:val="TableParagraph"/>
              <w:spacing w:before="118"/>
              <w:ind w:left="107" w:right="116"/>
            </w:pPr>
            <w:r>
              <w:t>The right to</w:t>
            </w:r>
            <w:r>
              <w:rPr>
                <w:spacing w:val="40"/>
              </w:rPr>
              <w:t xml:space="preserve"> </w:t>
            </w:r>
            <w:r>
              <w:t>adequate food, clothing</w:t>
            </w:r>
            <w:r>
              <w:rPr>
                <w:spacing w:val="-14"/>
              </w:rPr>
              <w:t xml:space="preserve"> </w:t>
            </w:r>
            <w:r>
              <w:t>and</w:t>
            </w:r>
            <w:r>
              <w:rPr>
                <w:spacing w:val="-14"/>
              </w:rPr>
              <w:t xml:space="preserve"> </w:t>
            </w:r>
            <w:r>
              <w:t>housing</w:t>
            </w:r>
          </w:p>
        </w:tc>
        <w:tc>
          <w:tcPr>
            <w:tcW w:w="1513" w:type="dxa"/>
          </w:tcPr>
          <w:p w14:paraId="7CB26560" w14:textId="77777777" w:rsidR="008A4099" w:rsidRDefault="008A4099">
            <w:pPr>
              <w:pStyle w:val="TableParagraph"/>
              <w:spacing w:before="132"/>
              <w:rPr>
                <w:b/>
              </w:rPr>
            </w:pPr>
          </w:p>
          <w:p w14:paraId="7CB26561" w14:textId="77777777" w:rsidR="008A4099" w:rsidRDefault="006A6EE2">
            <w:pPr>
              <w:pStyle w:val="TableParagraph"/>
              <w:ind w:left="11" w:right="4"/>
              <w:jc w:val="center"/>
              <w:rPr>
                <w:rFonts w:ascii="Wingdings 2" w:hAnsi="Wingdings 2"/>
              </w:rPr>
            </w:pPr>
            <w:r>
              <w:rPr>
                <w:rFonts w:ascii="Wingdings 2" w:hAnsi="Wingdings 2"/>
                <w:spacing w:val="-10"/>
              </w:rPr>
              <w:t></w:t>
            </w:r>
          </w:p>
        </w:tc>
        <w:tc>
          <w:tcPr>
            <w:tcW w:w="1513" w:type="dxa"/>
          </w:tcPr>
          <w:p w14:paraId="7CB26562" w14:textId="77777777" w:rsidR="008A4099" w:rsidRDefault="008A4099">
            <w:pPr>
              <w:pStyle w:val="TableParagraph"/>
              <w:spacing w:before="132"/>
              <w:rPr>
                <w:b/>
              </w:rPr>
            </w:pPr>
          </w:p>
          <w:p w14:paraId="7CB26563"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564" w14:textId="77777777" w:rsidR="008A4099" w:rsidRDefault="008A4099">
            <w:pPr>
              <w:pStyle w:val="TableParagraph"/>
              <w:spacing w:before="132"/>
              <w:rPr>
                <w:b/>
              </w:rPr>
            </w:pPr>
          </w:p>
          <w:p w14:paraId="7CB26565" w14:textId="77777777" w:rsidR="008A4099" w:rsidRDefault="006A6EE2">
            <w:pPr>
              <w:pStyle w:val="TableParagraph"/>
              <w:ind w:left="9" w:right="5"/>
              <w:jc w:val="center"/>
              <w:rPr>
                <w:rFonts w:ascii="Wingdings 2" w:hAnsi="Wingdings 2"/>
              </w:rPr>
            </w:pPr>
            <w:r>
              <w:rPr>
                <w:rFonts w:ascii="Wingdings 2" w:hAnsi="Wingdings 2"/>
                <w:spacing w:val="-10"/>
              </w:rPr>
              <w:t></w:t>
            </w:r>
          </w:p>
        </w:tc>
        <w:tc>
          <w:tcPr>
            <w:tcW w:w="2361" w:type="dxa"/>
          </w:tcPr>
          <w:p w14:paraId="7CB26566" w14:textId="77777777" w:rsidR="008A4099" w:rsidRDefault="008A4099">
            <w:pPr>
              <w:pStyle w:val="TableParagraph"/>
              <w:spacing w:before="132"/>
              <w:rPr>
                <w:b/>
              </w:rPr>
            </w:pPr>
          </w:p>
          <w:p w14:paraId="7CB26567"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70" w14:textId="77777777">
        <w:trPr>
          <w:trHeight w:val="746"/>
        </w:trPr>
        <w:tc>
          <w:tcPr>
            <w:tcW w:w="2074" w:type="dxa"/>
          </w:tcPr>
          <w:p w14:paraId="7CB26569" w14:textId="77777777" w:rsidR="008A4099" w:rsidRDefault="006A6EE2">
            <w:pPr>
              <w:pStyle w:val="TableParagraph"/>
              <w:spacing w:before="121"/>
              <w:ind w:left="107" w:right="160"/>
            </w:pPr>
            <w:r>
              <w:t>The</w:t>
            </w:r>
            <w:r>
              <w:rPr>
                <w:spacing w:val="-14"/>
              </w:rPr>
              <w:t xml:space="preserve"> </w:t>
            </w:r>
            <w:r>
              <w:t>right</w:t>
            </w:r>
            <w:r>
              <w:rPr>
                <w:spacing w:val="-14"/>
              </w:rPr>
              <w:t xml:space="preserve"> </w:t>
            </w:r>
            <w:r>
              <w:t xml:space="preserve">to </w:t>
            </w:r>
            <w:r>
              <w:rPr>
                <w:spacing w:val="-2"/>
              </w:rPr>
              <w:t>education</w:t>
            </w:r>
          </w:p>
        </w:tc>
        <w:tc>
          <w:tcPr>
            <w:tcW w:w="1513" w:type="dxa"/>
          </w:tcPr>
          <w:p w14:paraId="7CB2656A" w14:textId="77777777" w:rsidR="008A4099" w:rsidRDefault="006A6EE2">
            <w:pPr>
              <w:pStyle w:val="TableParagraph"/>
              <w:spacing w:before="248"/>
              <w:ind w:left="11"/>
              <w:jc w:val="center"/>
            </w:pPr>
            <w:r>
              <w:t xml:space="preserve">s </w:t>
            </w:r>
            <w:r>
              <w:rPr>
                <w:spacing w:val="-5"/>
              </w:rPr>
              <w:t>27A</w:t>
            </w:r>
          </w:p>
        </w:tc>
        <w:tc>
          <w:tcPr>
            <w:tcW w:w="1513" w:type="dxa"/>
          </w:tcPr>
          <w:p w14:paraId="7CB2656B" w14:textId="77777777" w:rsidR="008A4099" w:rsidRDefault="008A4099">
            <w:pPr>
              <w:pStyle w:val="TableParagraph"/>
              <w:spacing w:before="7"/>
              <w:rPr>
                <w:b/>
              </w:rPr>
            </w:pPr>
          </w:p>
          <w:p w14:paraId="7CB2656C"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56D" w14:textId="77777777" w:rsidR="008A4099" w:rsidRDefault="006A6EE2">
            <w:pPr>
              <w:pStyle w:val="TableParagraph"/>
              <w:spacing w:before="248"/>
              <w:ind w:left="9" w:right="2"/>
              <w:jc w:val="center"/>
            </w:pPr>
            <w:r>
              <w:t xml:space="preserve">s </w:t>
            </w:r>
            <w:r>
              <w:rPr>
                <w:spacing w:val="-5"/>
              </w:rPr>
              <w:t>36</w:t>
            </w:r>
          </w:p>
        </w:tc>
        <w:tc>
          <w:tcPr>
            <w:tcW w:w="2361" w:type="dxa"/>
          </w:tcPr>
          <w:p w14:paraId="7CB2656E" w14:textId="77777777" w:rsidR="008A4099" w:rsidRDefault="008A4099">
            <w:pPr>
              <w:pStyle w:val="TableParagraph"/>
              <w:spacing w:before="7"/>
              <w:rPr>
                <w:b/>
              </w:rPr>
            </w:pPr>
          </w:p>
          <w:p w14:paraId="7CB2656F"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7A" w14:textId="77777777">
        <w:trPr>
          <w:trHeight w:val="1000"/>
        </w:trPr>
        <w:tc>
          <w:tcPr>
            <w:tcW w:w="2074" w:type="dxa"/>
          </w:tcPr>
          <w:p w14:paraId="7CB26571" w14:textId="77777777" w:rsidR="008A4099" w:rsidRDefault="006A6EE2">
            <w:pPr>
              <w:pStyle w:val="TableParagraph"/>
              <w:spacing w:before="121"/>
              <w:ind w:left="107" w:right="160"/>
            </w:pPr>
            <w:r>
              <w:t>The right to work and</w:t>
            </w:r>
            <w:r>
              <w:rPr>
                <w:spacing w:val="-14"/>
              </w:rPr>
              <w:t xml:space="preserve"> </w:t>
            </w:r>
            <w:r>
              <w:t>just</w:t>
            </w:r>
            <w:r>
              <w:rPr>
                <w:spacing w:val="-14"/>
              </w:rPr>
              <w:t xml:space="preserve"> </w:t>
            </w:r>
            <w:r>
              <w:t>conditions of work</w:t>
            </w:r>
          </w:p>
        </w:tc>
        <w:tc>
          <w:tcPr>
            <w:tcW w:w="1513" w:type="dxa"/>
          </w:tcPr>
          <w:p w14:paraId="7CB26572" w14:textId="77777777" w:rsidR="008A4099" w:rsidRDefault="008A4099">
            <w:pPr>
              <w:pStyle w:val="TableParagraph"/>
              <w:spacing w:before="122"/>
              <w:rPr>
                <w:b/>
              </w:rPr>
            </w:pPr>
          </w:p>
          <w:p w14:paraId="7CB26573" w14:textId="77777777" w:rsidR="008A4099" w:rsidRDefault="006A6EE2">
            <w:pPr>
              <w:pStyle w:val="TableParagraph"/>
              <w:ind w:left="11" w:right="2"/>
              <w:jc w:val="center"/>
            </w:pPr>
            <w:r>
              <w:t xml:space="preserve">s </w:t>
            </w:r>
            <w:r>
              <w:rPr>
                <w:spacing w:val="-5"/>
              </w:rPr>
              <w:t>27B</w:t>
            </w:r>
          </w:p>
        </w:tc>
        <w:tc>
          <w:tcPr>
            <w:tcW w:w="1513" w:type="dxa"/>
          </w:tcPr>
          <w:p w14:paraId="7CB26574" w14:textId="77777777" w:rsidR="008A4099" w:rsidRDefault="008A4099">
            <w:pPr>
              <w:pStyle w:val="TableParagraph"/>
              <w:spacing w:before="132"/>
              <w:rPr>
                <w:b/>
              </w:rPr>
            </w:pPr>
          </w:p>
          <w:p w14:paraId="7CB26575"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576" w14:textId="77777777" w:rsidR="008A4099" w:rsidRDefault="008A4099">
            <w:pPr>
              <w:pStyle w:val="TableParagraph"/>
              <w:spacing w:before="132"/>
              <w:rPr>
                <w:b/>
              </w:rPr>
            </w:pPr>
          </w:p>
          <w:p w14:paraId="7CB26577" w14:textId="77777777" w:rsidR="008A4099" w:rsidRDefault="006A6EE2">
            <w:pPr>
              <w:pStyle w:val="TableParagraph"/>
              <w:ind w:left="9" w:right="5"/>
              <w:jc w:val="center"/>
              <w:rPr>
                <w:rFonts w:ascii="Wingdings 2" w:hAnsi="Wingdings 2"/>
              </w:rPr>
            </w:pPr>
            <w:r>
              <w:rPr>
                <w:rFonts w:ascii="Wingdings 2" w:hAnsi="Wingdings 2"/>
                <w:spacing w:val="-10"/>
              </w:rPr>
              <w:t></w:t>
            </w:r>
          </w:p>
        </w:tc>
        <w:tc>
          <w:tcPr>
            <w:tcW w:w="2361" w:type="dxa"/>
          </w:tcPr>
          <w:p w14:paraId="7CB26578" w14:textId="77777777" w:rsidR="008A4099" w:rsidRDefault="008A4099">
            <w:pPr>
              <w:pStyle w:val="TableParagraph"/>
              <w:spacing w:before="132"/>
              <w:rPr>
                <w:b/>
              </w:rPr>
            </w:pPr>
          </w:p>
          <w:p w14:paraId="7CB26579"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81" w14:textId="77777777">
        <w:trPr>
          <w:trHeight w:val="746"/>
        </w:trPr>
        <w:tc>
          <w:tcPr>
            <w:tcW w:w="2074" w:type="dxa"/>
          </w:tcPr>
          <w:p w14:paraId="7CB2657B" w14:textId="77777777" w:rsidR="008A4099" w:rsidRDefault="006A6EE2">
            <w:pPr>
              <w:pStyle w:val="TableParagraph"/>
              <w:spacing w:before="118"/>
              <w:ind w:left="107" w:right="160"/>
            </w:pPr>
            <w:r>
              <w:t>Right</w:t>
            </w:r>
            <w:r>
              <w:rPr>
                <w:spacing w:val="-13"/>
              </w:rPr>
              <w:t xml:space="preserve"> </w:t>
            </w:r>
            <w:r>
              <w:t>to</w:t>
            </w:r>
            <w:r>
              <w:rPr>
                <w:spacing w:val="-14"/>
              </w:rPr>
              <w:t xml:space="preserve"> </w:t>
            </w:r>
            <w:r>
              <w:t>form</w:t>
            </w:r>
            <w:r>
              <w:rPr>
                <w:spacing w:val="-11"/>
              </w:rPr>
              <w:t xml:space="preserve"> </w:t>
            </w:r>
            <w:r>
              <w:t>and join trade unions</w:t>
            </w:r>
          </w:p>
        </w:tc>
        <w:tc>
          <w:tcPr>
            <w:tcW w:w="1513" w:type="dxa"/>
          </w:tcPr>
          <w:p w14:paraId="7CB2657C" w14:textId="77777777" w:rsidR="008A4099" w:rsidRDefault="006A6EE2">
            <w:pPr>
              <w:pStyle w:val="TableParagraph"/>
              <w:spacing w:before="248"/>
              <w:ind w:left="11" w:right="2"/>
              <w:jc w:val="center"/>
            </w:pPr>
            <w:r>
              <w:t xml:space="preserve">s </w:t>
            </w:r>
            <w:r>
              <w:rPr>
                <w:spacing w:val="-5"/>
              </w:rPr>
              <w:t>27B</w:t>
            </w:r>
          </w:p>
        </w:tc>
        <w:tc>
          <w:tcPr>
            <w:tcW w:w="1513" w:type="dxa"/>
          </w:tcPr>
          <w:p w14:paraId="7CB2657D" w14:textId="77777777" w:rsidR="008A4099" w:rsidRDefault="006A6EE2">
            <w:pPr>
              <w:pStyle w:val="TableParagraph"/>
              <w:spacing w:before="248"/>
              <w:ind w:left="11" w:right="3"/>
              <w:jc w:val="center"/>
            </w:pPr>
            <w:r>
              <w:t xml:space="preserve">s </w:t>
            </w:r>
            <w:r>
              <w:rPr>
                <w:spacing w:val="-5"/>
              </w:rPr>
              <w:t>16</w:t>
            </w:r>
          </w:p>
        </w:tc>
        <w:tc>
          <w:tcPr>
            <w:tcW w:w="1561" w:type="dxa"/>
          </w:tcPr>
          <w:p w14:paraId="7CB2657E" w14:textId="77777777" w:rsidR="008A4099" w:rsidRDefault="006A6EE2">
            <w:pPr>
              <w:pStyle w:val="TableParagraph"/>
              <w:spacing w:before="248"/>
              <w:ind w:left="9" w:right="2"/>
              <w:jc w:val="center"/>
            </w:pPr>
            <w:r>
              <w:t xml:space="preserve">s </w:t>
            </w:r>
            <w:r>
              <w:rPr>
                <w:spacing w:val="-5"/>
              </w:rPr>
              <w:t>22</w:t>
            </w:r>
          </w:p>
        </w:tc>
        <w:tc>
          <w:tcPr>
            <w:tcW w:w="2361" w:type="dxa"/>
          </w:tcPr>
          <w:p w14:paraId="7CB2657F" w14:textId="77777777" w:rsidR="008A4099" w:rsidRDefault="008A4099">
            <w:pPr>
              <w:pStyle w:val="TableParagraph"/>
              <w:spacing w:before="5"/>
              <w:rPr>
                <w:b/>
              </w:rPr>
            </w:pPr>
          </w:p>
          <w:p w14:paraId="7CB26580"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8F" w14:textId="77777777">
        <w:trPr>
          <w:trHeight w:val="1252"/>
        </w:trPr>
        <w:tc>
          <w:tcPr>
            <w:tcW w:w="2074" w:type="dxa"/>
          </w:tcPr>
          <w:p w14:paraId="7CB26582" w14:textId="77777777" w:rsidR="008A4099" w:rsidRDefault="006A6EE2">
            <w:pPr>
              <w:pStyle w:val="TableParagraph"/>
              <w:spacing w:before="118"/>
              <w:ind w:left="107"/>
            </w:pPr>
            <w:r>
              <w:t>The</w:t>
            </w:r>
            <w:r>
              <w:rPr>
                <w:spacing w:val="-11"/>
              </w:rPr>
              <w:t xml:space="preserve"> </w:t>
            </w:r>
            <w:r>
              <w:t>right</w:t>
            </w:r>
            <w:r>
              <w:rPr>
                <w:spacing w:val="-13"/>
              </w:rPr>
              <w:t xml:space="preserve"> </w:t>
            </w:r>
            <w:r>
              <w:t>of</w:t>
            </w:r>
            <w:r>
              <w:rPr>
                <w:spacing w:val="-13"/>
              </w:rPr>
              <w:t xml:space="preserve"> </w:t>
            </w:r>
            <w:r>
              <w:t xml:space="preserve">children not to be exploited economically or </w:t>
            </w:r>
            <w:r>
              <w:rPr>
                <w:spacing w:val="-2"/>
              </w:rPr>
              <w:t>socially</w:t>
            </w:r>
          </w:p>
        </w:tc>
        <w:tc>
          <w:tcPr>
            <w:tcW w:w="1513" w:type="dxa"/>
          </w:tcPr>
          <w:p w14:paraId="7CB26583" w14:textId="77777777" w:rsidR="008A4099" w:rsidRDefault="008A4099">
            <w:pPr>
              <w:pStyle w:val="TableParagraph"/>
              <w:rPr>
                <w:b/>
              </w:rPr>
            </w:pPr>
          </w:p>
          <w:p w14:paraId="7CB26584" w14:textId="77777777" w:rsidR="008A4099" w:rsidRDefault="008A4099">
            <w:pPr>
              <w:pStyle w:val="TableParagraph"/>
              <w:spacing w:before="4"/>
              <w:rPr>
                <w:b/>
              </w:rPr>
            </w:pPr>
          </w:p>
          <w:p w14:paraId="7CB26585" w14:textId="77777777" w:rsidR="008A4099" w:rsidRDefault="006A6EE2">
            <w:pPr>
              <w:pStyle w:val="TableParagraph"/>
              <w:ind w:left="11" w:right="4"/>
              <w:jc w:val="center"/>
              <w:rPr>
                <w:rFonts w:ascii="Wingdings 2" w:hAnsi="Wingdings 2"/>
              </w:rPr>
            </w:pPr>
            <w:r>
              <w:rPr>
                <w:rFonts w:ascii="Wingdings 2" w:hAnsi="Wingdings 2"/>
                <w:spacing w:val="-10"/>
              </w:rPr>
              <w:t></w:t>
            </w:r>
          </w:p>
        </w:tc>
        <w:tc>
          <w:tcPr>
            <w:tcW w:w="1513" w:type="dxa"/>
          </w:tcPr>
          <w:p w14:paraId="7CB26586" w14:textId="77777777" w:rsidR="008A4099" w:rsidRDefault="008A4099">
            <w:pPr>
              <w:pStyle w:val="TableParagraph"/>
              <w:rPr>
                <w:b/>
              </w:rPr>
            </w:pPr>
          </w:p>
          <w:p w14:paraId="7CB26587" w14:textId="77777777" w:rsidR="008A4099" w:rsidRDefault="008A4099">
            <w:pPr>
              <w:pStyle w:val="TableParagraph"/>
              <w:spacing w:before="4"/>
              <w:rPr>
                <w:b/>
              </w:rPr>
            </w:pPr>
          </w:p>
          <w:p w14:paraId="7CB26588"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589" w14:textId="77777777" w:rsidR="008A4099" w:rsidRDefault="008A4099">
            <w:pPr>
              <w:pStyle w:val="TableParagraph"/>
              <w:rPr>
                <w:b/>
              </w:rPr>
            </w:pPr>
          </w:p>
          <w:p w14:paraId="7CB2658A" w14:textId="77777777" w:rsidR="008A4099" w:rsidRDefault="008A4099">
            <w:pPr>
              <w:pStyle w:val="TableParagraph"/>
              <w:spacing w:before="4"/>
              <w:rPr>
                <w:b/>
              </w:rPr>
            </w:pPr>
          </w:p>
          <w:p w14:paraId="7CB2658B" w14:textId="77777777" w:rsidR="008A4099" w:rsidRDefault="006A6EE2">
            <w:pPr>
              <w:pStyle w:val="TableParagraph"/>
              <w:ind w:left="9" w:right="5"/>
              <w:jc w:val="center"/>
              <w:rPr>
                <w:rFonts w:ascii="Wingdings 2" w:hAnsi="Wingdings 2"/>
              </w:rPr>
            </w:pPr>
            <w:r>
              <w:rPr>
                <w:rFonts w:ascii="Wingdings 2" w:hAnsi="Wingdings 2"/>
                <w:spacing w:val="-10"/>
              </w:rPr>
              <w:t></w:t>
            </w:r>
          </w:p>
        </w:tc>
        <w:tc>
          <w:tcPr>
            <w:tcW w:w="2361" w:type="dxa"/>
          </w:tcPr>
          <w:p w14:paraId="7CB2658C" w14:textId="77777777" w:rsidR="008A4099" w:rsidRDefault="008A4099">
            <w:pPr>
              <w:pStyle w:val="TableParagraph"/>
              <w:rPr>
                <w:b/>
              </w:rPr>
            </w:pPr>
          </w:p>
          <w:p w14:paraId="7CB2658D" w14:textId="77777777" w:rsidR="008A4099" w:rsidRDefault="008A4099">
            <w:pPr>
              <w:pStyle w:val="TableParagraph"/>
              <w:spacing w:before="4"/>
              <w:rPr>
                <w:b/>
              </w:rPr>
            </w:pPr>
          </w:p>
          <w:p w14:paraId="7CB2658E" w14:textId="77777777" w:rsidR="008A4099" w:rsidRDefault="006A6EE2">
            <w:pPr>
              <w:pStyle w:val="TableParagraph"/>
              <w:ind w:left="4" w:right="2"/>
              <w:jc w:val="center"/>
              <w:rPr>
                <w:rFonts w:ascii="Wingdings 2" w:hAnsi="Wingdings 2"/>
              </w:rPr>
            </w:pPr>
            <w:r>
              <w:rPr>
                <w:rFonts w:ascii="Wingdings 2" w:hAnsi="Wingdings 2"/>
                <w:spacing w:val="-10"/>
              </w:rPr>
              <w:t></w:t>
            </w:r>
          </w:p>
        </w:tc>
      </w:tr>
      <w:tr w:rsidR="008A4099" w14:paraId="7CB26591" w14:textId="77777777">
        <w:trPr>
          <w:trHeight w:val="731"/>
        </w:trPr>
        <w:tc>
          <w:tcPr>
            <w:tcW w:w="9022" w:type="dxa"/>
            <w:gridSpan w:val="5"/>
            <w:shd w:val="clear" w:color="auto" w:fill="F1F1F1"/>
          </w:tcPr>
          <w:p w14:paraId="7CB26590" w14:textId="77777777" w:rsidR="008A4099" w:rsidRDefault="006A6EE2">
            <w:pPr>
              <w:pStyle w:val="TableParagraph"/>
              <w:spacing w:before="241"/>
              <w:ind w:left="107"/>
              <w:rPr>
                <w:b/>
              </w:rPr>
            </w:pPr>
            <w:r>
              <w:rPr>
                <w:b/>
              </w:rPr>
              <w:t>Other</w:t>
            </w:r>
            <w:r>
              <w:rPr>
                <w:b/>
                <w:spacing w:val="-3"/>
              </w:rPr>
              <w:t xml:space="preserve"> </w:t>
            </w:r>
            <w:r>
              <w:rPr>
                <w:b/>
                <w:spacing w:val="-2"/>
              </w:rPr>
              <w:t>rights</w:t>
            </w:r>
          </w:p>
        </w:tc>
      </w:tr>
      <w:tr w:rsidR="008A4099" w14:paraId="7CB265A3" w14:textId="77777777">
        <w:trPr>
          <w:trHeight w:val="2011"/>
        </w:trPr>
        <w:tc>
          <w:tcPr>
            <w:tcW w:w="2074" w:type="dxa"/>
          </w:tcPr>
          <w:p w14:paraId="7CB26592" w14:textId="77777777" w:rsidR="008A4099" w:rsidRDefault="006A6EE2">
            <w:pPr>
              <w:pStyle w:val="TableParagraph"/>
              <w:spacing w:before="118"/>
              <w:ind w:left="107" w:right="76"/>
            </w:pPr>
            <w:r>
              <w:t>The</w:t>
            </w:r>
            <w:r>
              <w:rPr>
                <w:spacing w:val="-8"/>
              </w:rPr>
              <w:t xml:space="preserve"> </w:t>
            </w:r>
            <w:r>
              <w:t>right</w:t>
            </w:r>
            <w:r>
              <w:rPr>
                <w:spacing w:val="-10"/>
              </w:rPr>
              <w:t xml:space="preserve"> </w:t>
            </w:r>
            <w:r>
              <w:t>to</w:t>
            </w:r>
            <w:r>
              <w:rPr>
                <w:spacing w:val="-11"/>
              </w:rPr>
              <w:t xml:space="preserve"> </w:t>
            </w:r>
            <w:r>
              <w:t>a</w:t>
            </w:r>
            <w:r>
              <w:rPr>
                <w:spacing w:val="-8"/>
              </w:rPr>
              <w:t xml:space="preserve"> </w:t>
            </w:r>
            <w:r>
              <w:t>safe environment and protection of the environment</w:t>
            </w:r>
            <w:r>
              <w:rPr>
                <w:spacing w:val="-14"/>
              </w:rPr>
              <w:t xml:space="preserve"> </w:t>
            </w:r>
            <w:r>
              <w:t xml:space="preserve">from pollution and </w:t>
            </w:r>
            <w:r>
              <w:rPr>
                <w:spacing w:val="-2"/>
              </w:rPr>
              <w:t>ecological degradation</w:t>
            </w:r>
          </w:p>
        </w:tc>
        <w:tc>
          <w:tcPr>
            <w:tcW w:w="1513" w:type="dxa"/>
          </w:tcPr>
          <w:p w14:paraId="7CB26593" w14:textId="77777777" w:rsidR="008A4099" w:rsidRDefault="008A4099">
            <w:pPr>
              <w:pStyle w:val="TableParagraph"/>
              <w:rPr>
                <w:b/>
              </w:rPr>
            </w:pPr>
          </w:p>
          <w:p w14:paraId="7CB26594" w14:textId="77777777" w:rsidR="008A4099" w:rsidRDefault="008A4099">
            <w:pPr>
              <w:pStyle w:val="TableParagraph"/>
              <w:rPr>
                <w:b/>
              </w:rPr>
            </w:pPr>
          </w:p>
          <w:p w14:paraId="7CB26595" w14:textId="77777777" w:rsidR="008A4099" w:rsidRDefault="008A4099">
            <w:pPr>
              <w:pStyle w:val="TableParagraph"/>
              <w:spacing w:before="133"/>
              <w:rPr>
                <w:b/>
              </w:rPr>
            </w:pPr>
          </w:p>
          <w:p w14:paraId="7CB26596" w14:textId="77777777" w:rsidR="008A4099" w:rsidRDefault="006A6EE2">
            <w:pPr>
              <w:pStyle w:val="TableParagraph"/>
              <w:ind w:left="11" w:right="4"/>
              <w:jc w:val="center"/>
              <w:rPr>
                <w:rFonts w:ascii="Wingdings 2" w:hAnsi="Wingdings 2"/>
              </w:rPr>
            </w:pPr>
            <w:r>
              <w:rPr>
                <w:rFonts w:ascii="Wingdings 2" w:hAnsi="Wingdings 2"/>
                <w:spacing w:val="-10"/>
              </w:rPr>
              <w:t></w:t>
            </w:r>
          </w:p>
        </w:tc>
        <w:tc>
          <w:tcPr>
            <w:tcW w:w="1513" w:type="dxa"/>
          </w:tcPr>
          <w:p w14:paraId="7CB26597" w14:textId="77777777" w:rsidR="008A4099" w:rsidRDefault="008A4099">
            <w:pPr>
              <w:pStyle w:val="TableParagraph"/>
              <w:rPr>
                <w:b/>
              </w:rPr>
            </w:pPr>
          </w:p>
          <w:p w14:paraId="7CB26598" w14:textId="77777777" w:rsidR="008A4099" w:rsidRDefault="008A4099">
            <w:pPr>
              <w:pStyle w:val="TableParagraph"/>
              <w:rPr>
                <w:b/>
              </w:rPr>
            </w:pPr>
          </w:p>
          <w:p w14:paraId="7CB26599" w14:textId="77777777" w:rsidR="008A4099" w:rsidRDefault="008A4099">
            <w:pPr>
              <w:pStyle w:val="TableParagraph"/>
              <w:spacing w:before="133"/>
              <w:rPr>
                <w:b/>
              </w:rPr>
            </w:pPr>
          </w:p>
          <w:p w14:paraId="7CB2659A" w14:textId="77777777" w:rsidR="008A4099" w:rsidRDefault="006A6EE2">
            <w:pPr>
              <w:pStyle w:val="TableParagraph"/>
              <w:ind w:left="11" w:right="6"/>
              <w:jc w:val="center"/>
              <w:rPr>
                <w:rFonts w:ascii="Wingdings 2" w:hAnsi="Wingdings 2"/>
              </w:rPr>
            </w:pPr>
            <w:r>
              <w:rPr>
                <w:rFonts w:ascii="Wingdings 2" w:hAnsi="Wingdings 2"/>
                <w:spacing w:val="-10"/>
              </w:rPr>
              <w:t></w:t>
            </w:r>
          </w:p>
        </w:tc>
        <w:tc>
          <w:tcPr>
            <w:tcW w:w="1561" w:type="dxa"/>
          </w:tcPr>
          <w:p w14:paraId="7CB2659B" w14:textId="77777777" w:rsidR="008A4099" w:rsidRDefault="008A4099">
            <w:pPr>
              <w:pStyle w:val="TableParagraph"/>
              <w:rPr>
                <w:b/>
              </w:rPr>
            </w:pPr>
          </w:p>
          <w:p w14:paraId="7CB2659C" w14:textId="77777777" w:rsidR="008A4099" w:rsidRDefault="008A4099">
            <w:pPr>
              <w:pStyle w:val="TableParagraph"/>
              <w:rPr>
                <w:b/>
              </w:rPr>
            </w:pPr>
          </w:p>
          <w:p w14:paraId="7CB2659D" w14:textId="77777777" w:rsidR="008A4099" w:rsidRDefault="008A4099">
            <w:pPr>
              <w:pStyle w:val="TableParagraph"/>
              <w:spacing w:before="133"/>
              <w:rPr>
                <w:b/>
              </w:rPr>
            </w:pPr>
          </w:p>
          <w:p w14:paraId="7CB2659E" w14:textId="77777777" w:rsidR="008A4099" w:rsidRDefault="006A6EE2">
            <w:pPr>
              <w:pStyle w:val="TableParagraph"/>
              <w:ind w:left="9" w:right="5"/>
              <w:jc w:val="center"/>
              <w:rPr>
                <w:rFonts w:ascii="Wingdings 2" w:hAnsi="Wingdings 2"/>
              </w:rPr>
            </w:pPr>
            <w:r>
              <w:rPr>
                <w:rFonts w:ascii="Wingdings 2" w:hAnsi="Wingdings 2"/>
                <w:spacing w:val="-10"/>
              </w:rPr>
              <w:t></w:t>
            </w:r>
          </w:p>
        </w:tc>
        <w:tc>
          <w:tcPr>
            <w:tcW w:w="2361" w:type="dxa"/>
          </w:tcPr>
          <w:p w14:paraId="7CB2659F" w14:textId="77777777" w:rsidR="008A4099" w:rsidRDefault="008A4099">
            <w:pPr>
              <w:pStyle w:val="TableParagraph"/>
              <w:rPr>
                <w:b/>
              </w:rPr>
            </w:pPr>
          </w:p>
          <w:p w14:paraId="7CB265A0" w14:textId="77777777" w:rsidR="008A4099" w:rsidRDefault="008A4099">
            <w:pPr>
              <w:pStyle w:val="TableParagraph"/>
              <w:rPr>
                <w:b/>
              </w:rPr>
            </w:pPr>
          </w:p>
          <w:p w14:paraId="7CB265A1" w14:textId="77777777" w:rsidR="008A4099" w:rsidRDefault="008A4099">
            <w:pPr>
              <w:pStyle w:val="TableParagraph"/>
              <w:spacing w:before="133"/>
              <w:rPr>
                <w:b/>
              </w:rPr>
            </w:pPr>
          </w:p>
          <w:p w14:paraId="7CB265A2" w14:textId="77777777" w:rsidR="008A4099" w:rsidRDefault="006A6EE2">
            <w:pPr>
              <w:pStyle w:val="TableParagraph"/>
              <w:ind w:left="4" w:right="2"/>
              <w:jc w:val="center"/>
              <w:rPr>
                <w:rFonts w:ascii="Wingdings 2" w:hAnsi="Wingdings 2"/>
              </w:rPr>
            </w:pPr>
            <w:r>
              <w:rPr>
                <w:rFonts w:ascii="Wingdings 2" w:hAnsi="Wingdings 2"/>
                <w:spacing w:val="-10"/>
              </w:rPr>
              <w:t></w:t>
            </w:r>
          </w:p>
        </w:tc>
      </w:tr>
    </w:tbl>
    <w:p w14:paraId="7CB265A4" w14:textId="77777777" w:rsidR="008A4099" w:rsidRDefault="008A4099">
      <w:pPr>
        <w:jc w:val="center"/>
        <w:rPr>
          <w:rFonts w:ascii="Wingdings 2" w:hAnsi="Wingdings 2"/>
        </w:rPr>
        <w:sectPr w:rsidR="008A4099" w:rsidSect="00D43B2D">
          <w:pgSz w:w="11910" w:h="16840"/>
          <w:pgMar w:top="980" w:right="760" w:bottom="940" w:left="1280" w:header="718" w:footer="753" w:gutter="0"/>
          <w:cols w:space="720"/>
        </w:sectPr>
      </w:pPr>
    </w:p>
    <w:p w14:paraId="7CB265A5" w14:textId="77777777" w:rsidR="008A4099" w:rsidRDefault="008A4099">
      <w:pPr>
        <w:pStyle w:val="BodyText"/>
        <w:spacing w:before="339"/>
        <w:rPr>
          <w:b/>
          <w:sz w:val="32"/>
        </w:rPr>
      </w:pPr>
    </w:p>
    <w:p w14:paraId="7CB265A6" w14:textId="77777777" w:rsidR="008A4099" w:rsidRDefault="006A6EE2">
      <w:pPr>
        <w:ind w:left="160"/>
        <w:rPr>
          <w:b/>
          <w:sz w:val="32"/>
        </w:rPr>
      </w:pPr>
      <w:r>
        <w:rPr>
          <w:b/>
          <w:sz w:val="32"/>
        </w:rPr>
        <w:t>Appendix</w:t>
      </w:r>
      <w:r>
        <w:rPr>
          <w:b/>
          <w:spacing w:val="-14"/>
          <w:sz w:val="32"/>
        </w:rPr>
        <w:t xml:space="preserve"> </w:t>
      </w:r>
      <w:r>
        <w:rPr>
          <w:b/>
          <w:spacing w:val="-10"/>
          <w:sz w:val="32"/>
        </w:rPr>
        <w:t>C</w:t>
      </w:r>
    </w:p>
    <w:p w14:paraId="7CB265A7" w14:textId="77777777" w:rsidR="008A4099" w:rsidRDefault="008A4099">
      <w:pPr>
        <w:pStyle w:val="BodyText"/>
        <w:spacing w:before="272"/>
        <w:rPr>
          <w:b/>
          <w:sz w:val="32"/>
        </w:rPr>
      </w:pPr>
    </w:p>
    <w:p w14:paraId="7CB265A8" w14:textId="77777777" w:rsidR="008A4099" w:rsidRDefault="006A6EE2">
      <w:pPr>
        <w:ind w:left="160" w:right="820"/>
        <w:rPr>
          <w:b/>
          <w:sz w:val="32"/>
        </w:rPr>
      </w:pPr>
      <w:r>
        <w:rPr>
          <w:b/>
          <w:sz w:val="32"/>
        </w:rPr>
        <w:t>Organisations/individuals</w:t>
      </w:r>
      <w:r>
        <w:rPr>
          <w:b/>
          <w:spacing w:val="-8"/>
          <w:sz w:val="32"/>
        </w:rPr>
        <w:t xml:space="preserve"> </w:t>
      </w:r>
      <w:r>
        <w:rPr>
          <w:b/>
          <w:sz w:val="32"/>
        </w:rPr>
        <w:t>who</w:t>
      </w:r>
      <w:r>
        <w:rPr>
          <w:b/>
          <w:spacing w:val="-7"/>
          <w:sz w:val="32"/>
        </w:rPr>
        <w:t xml:space="preserve"> </w:t>
      </w:r>
      <w:r>
        <w:rPr>
          <w:b/>
          <w:sz w:val="32"/>
        </w:rPr>
        <w:t>provided</w:t>
      </w:r>
      <w:r>
        <w:rPr>
          <w:b/>
          <w:spacing w:val="-8"/>
          <w:sz w:val="32"/>
        </w:rPr>
        <w:t xml:space="preserve"> </w:t>
      </w:r>
      <w:r>
        <w:rPr>
          <w:b/>
          <w:sz w:val="32"/>
        </w:rPr>
        <w:t>advice</w:t>
      </w:r>
      <w:r>
        <w:rPr>
          <w:b/>
          <w:spacing w:val="-6"/>
          <w:sz w:val="32"/>
        </w:rPr>
        <w:t xml:space="preserve"> </w:t>
      </w:r>
      <w:r>
        <w:rPr>
          <w:b/>
          <w:sz w:val="32"/>
        </w:rPr>
        <w:t>to</w:t>
      </w:r>
      <w:r>
        <w:rPr>
          <w:b/>
          <w:spacing w:val="-8"/>
          <w:sz w:val="32"/>
        </w:rPr>
        <w:t xml:space="preserve"> </w:t>
      </w:r>
      <w:r>
        <w:rPr>
          <w:b/>
          <w:sz w:val="32"/>
        </w:rPr>
        <w:t>the</w:t>
      </w:r>
      <w:r>
        <w:rPr>
          <w:b/>
          <w:spacing w:val="-6"/>
          <w:sz w:val="32"/>
        </w:rPr>
        <w:t xml:space="preserve"> </w:t>
      </w:r>
      <w:r>
        <w:rPr>
          <w:b/>
          <w:sz w:val="32"/>
        </w:rPr>
        <w:t>TLRI during this Review</w:t>
      </w:r>
    </w:p>
    <w:p w14:paraId="7CB265A9" w14:textId="77777777" w:rsidR="008A4099" w:rsidRDefault="008A4099">
      <w:pPr>
        <w:pStyle w:val="BodyText"/>
        <w:rPr>
          <w:b/>
          <w:sz w:val="20"/>
        </w:rPr>
      </w:pPr>
    </w:p>
    <w:p w14:paraId="7CB265AA" w14:textId="77777777" w:rsidR="008A4099" w:rsidRDefault="008A4099">
      <w:pPr>
        <w:pStyle w:val="BodyText"/>
        <w:rPr>
          <w:b/>
          <w:sz w:val="20"/>
        </w:rPr>
      </w:pPr>
    </w:p>
    <w:p w14:paraId="7CB265AB" w14:textId="77777777" w:rsidR="008A4099" w:rsidRDefault="008A4099">
      <w:pPr>
        <w:pStyle w:val="BodyText"/>
        <w:rPr>
          <w:b/>
          <w:sz w:val="20"/>
        </w:rPr>
      </w:pPr>
    </w:p>
    <w:p w14:paraId="7CB265AC" w14:textId="77777777" w:rsidR="008A4099" w:rsidRDefault="008A4099">
      <w:pPr>
        <w:pStyle w:val="BodyText"/>
        <w:spacing w:before="196"/>
        <w:rPr>
          <w:b/>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2"/>
        <w:gridCol w:w="1865"/>
        <w:gridCol w:w="4040"/>
        <w:gridCol w:w="1550"/>
      </w:tblGrid>
      <w:tr w:rsidR="008A4099" w14:paraId="7CB265B1" w14:textId="77777777">
        <w:trPr>
          <w:trHeight w:val="746"/>
        </w:trPr>
        <w:tc>
          <w:tcPr>
            <w:tcW w:w="1562" w:type="dxa"/>
          </w:tcPr>
          <w:p w14:paraId="7CB265AD" w14:textId="77777777" w:rsidR="008A4099" w:rsidRDefault="006A6EE2">
            <w:pPr>
              <w:pStyle w:val="TableParagraph"/>
              <w:spacing w:before="248"/>
              <w:ind w:left="107"/>
              <w:rPr>
                <w:b/>
              </w:rPr>
            </w:pPr>
            <w:r>
              <w:rPr>
                <w:b/>
                <w:spacing w:val="-4"/>
              </w:rPr>
              <w:t>Name</w:t>
            </w:r>
          </w:p>
        </w:tc>
        <w:tc>
          <w:tcPr>
            <w:tcW w:w="1865" w:type="dxa"/>
          </w:tcPr>
          <w:p w14:paraId="7CB265AE" w14:textId="77777777" w:rsidR="008A4099" w:rsidRDefault="006A6EE2">
            <w:pPr>
              <w:pStyle w:val="TableParagraph"/>
              <w:spacing w:before="248"/>
              <w:ind w:left="105"/>
              <w:rPr>
                <w:b/>
              </w:rPr>
            </w:pPr>
            <w:r>
              <w:rPr>
                <w:b/>
                <w:spacing w:val="-2"/>
              </w:rPr>
              <w:t>Position</w:t>
            </w:r>
          </w:p>
        </w:tc>
        <w:tc>
          <w:tcPr>
            <w:tcW w:w="4040" w:type="dxa"/>
          </w:tcPr>
          <w:p w14:paraId="7CB265AF" w14:textId="77777777" w:rsidR="008A4099" w:rsidRDefault="006A6EE2">
            <w:pPr>
              <w:pStyle w:val="TableParagraph"/>
              <w:spacing w:before="248"/>
              <w:ind w:left="108"/>
              <w:rPr>
                <w:b/>
              </w:rPr>
            </w:pPr>
            <w:r>
              <w:rPr>
                <w:b/>
                <w:spacing w:val="-2"/>
              </w:rPr>
              <w:t>Organisation/Individuals</w:t>
            </w:r>
          </w:p>
        </w:tc>
        <w:tc>
          <w:tcPr>
            <w:tcW w:w="1550" w:type="dxa"/>
          </w:tcPr>
          <w:p w14:paraId="7CB265B0" w14:textId="77777777" w:rsidR="008A4099" w:rsidRDefault="006A6EE2">
            <w:pPr>
              <w:pStyle w:val="TableParagraph"/>
              <w:spacing w:before="118"/>
              <w:ind w:left="108"/>
              <w:rPr>
                <w:b/>
              </w:rPr>
            </w:pPr>
            <w:r>
              <w:rPr>
                <w:b/>
                <w:spacing w:val="-2"/>
              </w:rPr>
              <w:t>Privacy Preference</w:t>
            </w:r>
          </w:p>
        </w:tc>
      </w:tr>
      <w:tr w:rsidR="008A4099" w14:paraId="7CB265B6" w14:textId="77777777">
        <w:trPr>
          <w:trHeight w:val="746"/>
        </w:trPr>
        <w:tc>
          <w:tcPr>
            <w:tcW w:w="1562" w:type="dxa"/>
          </w:tcPr>
          <w:p w14:paraId="7CB265B2" w14:textId="77777777" w:rsidR="008A4099" w:rsidRDefault="006A6EE2">
            <w:pPr>
              <w:pStyle w:val="TableParagraph"/>
              <w:spacing w:before="248"/>
              <w:ind w:left="107"/>
            </w:pPr>
            <w:r>
              <w:rPr>
                <w:spacing w:val="-4"/>
              </w:rPr>
              <w:t>Dunn</w:t>
            </w:r>
          </w:p>
        </w:tc>
        <w:tc>
          <w:tcPr>
            <w:tcW w:w="1865" w:type="dxa"/>
          </w:tcPr>
          <w:p w14:paraId="7CB265B3" w14:textId="77777777" w:rsidR="008A4099" w:rsidRDefault="006A6EE2">
            <w:pPr>
              <w:pStyle w:val="TableParagraph"/>
              <w:spacing w:before="118"/>
              <w:ind w:left="105" w:right="234"/>
            </w:pPr>
            <w:r>
              <w:t>Education</w:t>
            </w:r>
            <w:r>
              <w:rPr>
                <w:spacing w:val="-14"/>
              </w:rPr>
              <w:t xml:space="preserve"> </w:t>
            </w:r>
            <w:r>
              <w:t xml:space="preserve">Policy </w:t>
            </w:r>
            <w:r>
              <w:rPr>
                <w:spacing w:val="-2"/>
              </w:rPr>
              <w:t>Officer</w:t>
            </w:r>
          </w:p>
        </w:tc>
        <w:tc>
          <w:tcPr>
            <w:tcW w:w="4040" w:type="dxa"/>
          </w:tcPr>
          <w:p w14:paraId="7CB265B4" w14:textId="77777777" w:rsidR="008A4099" w:rsidRDefault="006A6EE2">
            <w:pPr>
              <w:pStyle w:val="TableParagraph"/>
              <w:spacing w:before="118"/>
              <w:ind w:left="108"/>
            </w:pPr>
            <w:r>
              <w:t>Tasmanian</w:t>
            </w:r>
            <w:r>
              <w:rPr>
                <w:spacing w:val="-10"/>
              </w:rPr>
              <w:t xml:space="preserve"> </w:t>
            </w:r>
            <w:r>
              <w:t>Council</w:t>
            </w:r>
            <w:r>
              <w:rPr>
                <w:spacing w:val="-9"/>
              </w:rPr>
              <w:t xml:space="preserve"> </w:t>
            </w:r>
            <w:r>
              <w:t>for</w:t>
            </w:r>
            <w:r>
              <w:rPr>
                <w:spacing w:val="-10"/>
              </w:rPr>
              <w:t xml:space="preserve"> </w:t>
            </w:r>
            <w:r>
              <w:t>Social</w:t>
            </w:r>
            <w:r>
              <w:rPr>
                <w:spacing w:val="-9"/>
              </w:rPr>
              <w:t xml:space="preserve"> </w:t>
            </w:r>
            <w:r>
              <w:t xml:space="preserve">Service </w:t>
            </w:r>
            <w:r>
              <w:rPr>
                <w:spacing w:val="-2"/>
              </w:rPr>
              <w:t>(‘TasCOSS’)</w:t>
            </w:r>
          </w:p>
        </w:tc>
        <w:tc>
          <w:tcPr>
            <w:tcW w:w="1550" w:type="dxa"/>
          </w:tcPr>
          <w:p w14:paraId="7CB265B5" w14:textId="77777777" w:rsidR="008A4099" w:rsidRDefault="006A6EE2">
            <w:pPr>
              <w:pStyle w:val="TableParagraph"/>
              <w:spacing w:before="248"/>
              <w:ind w:left="108"/>
            </w:pPr>
            <w:r>
              <w:rPr>
                <w:spacing w:val="-2"/>
              </w:rPr>
              <w:t>Public</w:t>
            </w:r>
          </w:p>
        </w:tc>
      </w:tr>
      <w:tr w:rsidR="008A4099" w14:paraId="7CB265BB" w14:textId="77777777">
        <w:trPr>
          <w:trHeight w:val="745"/>
        </w:trPr>
        <w:tc>
          <w:tcPr>
            <w:tcW w:w="1562" w:type="dxa"/>
          </w:tcPr>
          <w:p w14:paraId="7CB265B7" w14:textId="77777777" w:rsidR="008A4099" w:rsidRDefault="006A6EE2">
            <w:pPr>
              <w:pStyle w:val="TableParagraph"/>
              <w:spacing w:before="248"/>
              <w:ind w:left="107"/>
            </w:pPr>
            <w:r>
              <w:rPr>
                <w:spacing w:val="-2"/>
              </w:rPr>
              <w:t>Griggs</w:t>
            </w:r>
          </w:p>
        </w:tc>
        <w:tc>
          <w:tcPr>
            <w:tcW w:w="1865" w:type="dxa"/>
          </w:tcPr>
          <w:p w14:paraId="7CB265B8" w14:textId="77777777" w:rsidR="008A4099" w:rsidRDefault="006A6EE2">
            <w:pPr>
              <w:pStyle w:val="TableParagraph"/>
              <w:spacing w:before="248"/>
              <w:ind w:left="105"/>
            </w:pPr>
            <w:r>
              <w:rPr>
                <w:spacing w:val="-2"/>
              </w:rPr>
              <w:t>Spokesperson</w:t>
            </w:r>
          </w:p>
        </w:tc>
        <w:tc>
          <w:tcPr>
            <w:tcW w:w="4040" w:type="dxa"/>
          </w:tcPr>
          <w:p w14:paraId="7CB265B9" w14:textId="77777777" w:rsidR="008A4099" w:rsidRDefault="006A6EE2">
            <w:pPr>
              <w:pStyle w:val="TableParagraph"/>
              <w:spacing w:before="118"/>
              <w:ind w:left="108"/>
            </w:pPr>
            <w:r>
              <w:t>Tasmanian</w:t>
            </w:r>
            <w:r>
              <w:rPr>
                <w:spacing w:val="-9"/>
              </w:rPr>
              <w:t xml:space="preserve"> </w:t>
            </w:r>
            <w:r>
              <w:t>Human</w:t>
            </w:r>
            <w:r>
              <w:rPr>
                <w:spacing w:val="-9"/>
              </w:rPr>
              <w:t xml:space="preserve"> </w:t>
            </w:r>
            <w:r>
              <w:t>Rights</w:t>
            </w:r>
            <w:r>
              <w:rPr>
                <w:spacing w:val="-11"/>
              </w:rPr>
              <w:t xml:space="preserve"> </w:t>
            </w:r>
            <w:r>
              <w:t>Act</w:t>
            </w:r>
            <w:r>
              <w:rPr>
                <w:spacing w:val="-9"/>
              </w:rPr>
              <w:t xml:space="preserve"> </w:t>
            </w:r>
            <w:r>
              <w:t>Campaign Committee (‘THRACC’)</w:t>
            </w:r>
          </w:p>
        </w:tc>
        <w:tc>
          <w:tcPr>
            <w:tcW w:w="1550" w:type="dxa"/>
          </w:tcPr>
          <w:p w14:paraId="7CB265BA" w14:textId="77777777" w:rsidR="008A4099" w:rsidRDefault="006A6EE2">
            <w:pPr>
              <w:pStyle w:val="TableParagraph"/>
              <w:spacing w:before="248"/>
              <w:ind w:left="108"/>
            </w:pPr>
            <w:r>
              <w:rPr>
                <w:spacing w:val="-2"/>
              </w:rPr>
              <w:t>Public</w:t>
            </w:r>
          </w:p>
        </w:tc>
      </w:tr>
      <w:tr w:rsidR="008A4099" w14:paraId="7CB265C0" w14:textId="77777777">
        <w:trPr>
          <w:trHeight w:val="746"/>
        </w:trPr>
        <w:tc>
          <w:tcPr>
            <w:tcW w:w="1562" w:type="dxa"/>
          </w:tcPr>
          <w:p w14:paraId="7CB265BC" w14:textId="77777777" w:rsidR="008A4099" w:rsidRDefault="006A6EE2">
            <w:pPr>
              <w:pStyle w:val="TableParagraph"/>
              <w:spacing w:before="248"/>
              <w:ind w:left="107"/>
            </w:pPr>
            <w:r>
              <w:rPr>
                <w:spacing w:val="-2"/>
              </w:rPr>
              <w:t>Ventkataraman</w:t>
            </w:r>
          </w:p>
        </w:tc>
        <w:tc>
          <w:tcPr>
            <w:tcW w:w="1865" w:type="dxa"/>
          </w:tcPr>
          <w:p w14:paraId="7CB265BD" w14:textId="77777777" w:rsidR="008A4099" w:rsidRDefault="006A6EE2">
            <w:pPr>
              <w:pStyle w:val="TableParagraph"/>
              <w:spacing w:before="248"/>
              <w:ind w:left="105"/>
            </w:pPr>
            <w:r>
              <w:rPr>
                <w:spacing w:val="-2"/>
              </w:rPr>
              <w:t>Vice-President</w:t>
            </w:r>
          </w:p>
        </w:tc>
        <w:tc>
          <w:tcPr>
            <w:tcW w:w="4040" w:type="dxa"/>
          </w:tcPr>
          <w:p w14:paraId="7CB265BE" w14:textId="77777777" w:rsidR="008A4099" w:rsidRDefault="006A6EE2">
            <w:pPr>
              <w:pStyle w:val="TableParagraph"/>
              <w:spacing w:before="118"/>
              <w:ind w:left="108" w:right="75"/>
            </w:pPr>
            <w:r>
              <w:t>Civil</w:t>
            </w:r>
            <w:r>
              <w:rPr>
                <w:spacing w:val="-11"/>
              </w:rPr>
              <w:t xml:space="preserve"> </w:t>
            </w:r>
            <w:r>
              <w:t>Liberties</w:t>
            </w:r>
            <w:r>
              <w:rPr>
                <w:spacing w:val="-12"/>
              </w:rPr>
              <w:t xml:space="preserve"> </w:t>
            </w:r>
            <w:r>
              <w:t>Australia</w:t>
            </w:r>
            <w:r>
              <w:rPr>
                <w:spacing w:val="-11"/>
              </w:rPr>
              <w:t xml:space="preserve"> </w:t>
            </w:r>
            <w:r>
              <w:t xml:space="preserve">Tasmanian </w:t>
            </w:r>
            <w:r>
              <w:rPr>
                <w:spacing w:val="-2"/>
              </w:rPr>
              <w:t>Division</w:t>
            </w:r>
          </w:p>
        </w:tc>
        <w:tc>
          <w:tcPr>
            <w:tcW w:w="1550" w:type="dxa"/>
          </w:tcPr>
          <w:p w14:paraId="7CB265BF" w14:textId="77777777" w:rsidR="008A4099" w:rsidRDefault="006A6EE2">
            <w:pPr>
              <w:pStyle w:val="TableParagraph"/>
              <w:spacing w:before="248"/>
              <w:ind w:left="108"/>
            </w:pPr>
            <w:r>
              <w:rPr>
                <w:spacing w:val="-2"/>
              </w:rPr>
              <w:t>Public</w:t>
            </w:r>
          </w:p>
        </w:tc>
      </w:tr>
      <w:tr w:rsidR="008A4099" w14:paraId="7CB265C5" w14:textId="77777777">
        <w:trPr>
          <w:trHeight w:val="491"/>
        </w:trPr>
        <w:tc>
          <w:tcPr>
            <w:tcW w:w="1562" w:type="dxa"/>
          </w:tcPr>
          <w:p w14:paraId="7CB265C1" w14:textId="77777777" w:rsidR="008A4099" w:rsidRDefault="006A6EE2">
            <w:pPr>
              <w:pStyle w:val="TableParagraph"/>
              <w:spacing w:before="121"/>
              <w:ind w:left="107"/>
            </w:pPr>
            <w:r>
              <w:rPr>
                <w:spacing w:val="-4"/>
              </w:rPr>
              <w:t>Webb</w:t>
            </w:r>
          </w:p>
        </w:tc>
        <w:tc>
          <w:tcPr>
            <w:tcW w:w="1865" w:type="dxa"/>
          </w:tcPr>
          <w:p w14:paraId="7CB265C2" w14:textId="77777777" w:rsidR="008A4099" w:rsidRDefault="006A6EE2">
            <w:pPr>
              <w:pStyle w:val="TableParagraph"/>
              <w:spacing w:before="121"/>
              <w:ind w:left="105"/>
            </w:pPr>
            <w:r>
              <w:rPr>
                <w:spacing w:val="-5"/>
              </w:rPr>
              <w:t>MLC</w:t>
            </w:r>
          </w:p>
        </w:tc>
        <w:tc>
          <w:tcPr>
            <w:tcW w:w="4040" w:type="dxa"/>
          </w:tcPr>
          <w:p w14:paraId="7CB265C3" w14:textId="77777777" w:rsidR="008A4099" w:rsidRDefault="006A6EE2">
            <w:pPr>
              <w:pStyle w:val="TableParagraph"/>
              <w:spacing w:before="121"/>
              <w:ind w:left="108"/>
            </w:pPr>
            <w:r>
              <w:t>Independent</w:t>
            </w:r>
            <w:r>
              <w:rPr>
                <w:spacing w:val="-3"/>
              </w:rPr>
              <w:t xml:space="preserve"> </w:t>
            </w:r>
            <w:r>
              <w:t>Member</w:t>
            </w:r>
            <w:r>
              <w:rPr>
                <w:spacing w:val="-5"/>
              </w:rPr>
              <w:t xml:space="preserve"> </w:t>
            </w:r>
            <w:r>
              <w:t>for</w:t>
            </w:r>
            <w:r>
              <w:rPr>
                <w:spacing w:val="-3"/>
              </w:rPr>
              <w:t xml:space="preserve"> </w:t>
            </w:r>
            <w:r>
              <w:rPr>
                <w:spacing w:val="-2"/>
              </w:rPr>
              <w:t>Nelson</w:t>
            </w:r>
          </w:p>
        </w:tc>
        <w:tc>
          <w:tcPr>
            <w:tcW w:w="1550" w:type="dxa"/>
          </w:tcPr>
          <w:p w14:paraId="7CB265C4" w14:textId="77777777" w:rsidR="008A4099" w:rsidRDefault="006A6EE2">
            <w:pPr>
              <w:pStyle w:val="TableParagraph"/>
              <w:spacing w:before="121"/>
              <w:ind w:left="108"/>
            </w:pPr>
            <w:r>
              <w:rPr>
                <w:spacing w:val="-2"/>
              </w:rPr>
              <w:t>Public</w:t>
            </w:r>
          </w:p>
        </w:tc>
      </w:tr>
      <w:tr w:rsidR="008A4099" w14:paraId="7CB265CC" w14:textId="77777777">
        <w:trPr>
          <w:trHeight w:val="866"/>
        </w:trPr>
        <w:tc>
          <w:tcPr>
            <w:tcW w:w="1562" w:type="dxa"/>
          </w:tcPr>
          <w:p w14:paraId="7CB265C6" w14:textId="77777777" w:rsidR="008A4099" w:rsidRDefault="008A4099">
            <w:pPr>
              <w:pStyle w:val="TableParagraph"/>
              <w:spacing w:before="55"/>
              <w:rPr>
                <w:b/>
              </w:rPr>
            </w:pPr>
          </w:p>
          <w:p w14:paraId="7CB265C7" w14:textId="77777777" w:rsidR="008A4099" w:rsidRDefault="006A6EE2">
            <w:pPr>
              <w:pStyle w:val="TableParagraph"/>
              <w:ind w:left="107"/>
            </w:pPr>
            <w:r>
              <w:rPr>
                <w:spacing w:val="-2"/>
              </w:rPr>
              <w:t>Bartl</w:t>
            </w:r>
          </w:p>
        </w:tc>
        <w:tc>
          <w:tcPr>
            <w:tcW w:w="1865" w:type="dxa"/>
          </w:tcPr>
          <w:p w14:paraId="7CB265C8" w14:textId="77777777" w:rsidR="008A4099" w:rsidRDefault="006A6EE2">
            <w:pPr>
              <w:pStyle w:val="TableParagraph"/>
              <w:spacing w:before="178" w:line="244" w:lineRule="auto"/>
              <w:ind w:left="105" w:right="295"/>
            </w:pPr>
            <w:r>
              <w:t>Acting</w:t>
            </w:r>
            <w:r>
              <w:rPr>
                <w:spacing w:val="-14"/>
              </w:rPr>
              <w:t xml:space="preserve"> </w:t>
            </w:r>
            <w:r>
              <w:t xml:space="preserve">Principal </w:t>
            </w:r>
            <w:r>
              <w:rPr>
                <w:spacing w:val="-2"/>
              </w:rPr>
              <w:t>Solicitor</w:t>
            </w:r>
          </w:p>
        </w:tc>
        <w:tc>
          <w:tcPr>
            <w:tcW w:w="4040" w:type="dxa"/>
          </w:tcPr>
          <w:p w14:paraId="7CB265C9" w14:textId="77777777" w:rsidR="008A4099" w:rsidRDefault="006A6EE2">
            <w:pPr>
              <w:pStyle w:val="TableParagraph"/>
              <w:spacing w:before="121"/>
              <w:ind w:left="108"/>
            </w:pPr>
            <w:r>
              <w:t>Tenants’</w:t>
            </w:r>
            <w:r>
              <w:rPr>
                <w:spacing w:val="-3"/>
              </w:rPr>
              <w:t xml:space="preserve"> </w:t>
            </w:r>
            <w:r>
              <w:t>Union</w:t>
            </w:r>
            <w:r>
              <w:rPr>
                <w:spacing w:val="-3"/>
              </w:rPr>
              <w:t xml:space="preserve"> </w:t>
            </w:r>
            <w:r>
              <w:rPr>
                <w:spacing w:val="-2"/>
              </w:rPr>
              <w:t>Tasmania</w:t>
            </w:r>
          </w:p>
        </w:tc>
        <w:tc>
          <w:tcPr>
            <w:tcW w:w="1550" w:type="dxa"/>
          </w:tcPr>
          <w:p w14:paraId="7CB265CA" w14:textId="77777777" w:rsidR="008A4099" w:rsidRDefault="008A4099">
            <w:pPr>
              <w:pStyle w:val="TableParagraph"/>
              <w:spacing w:before="55"/>
              <w:rPr>
                <w:b/>
              </w:rPr>
            </w:pPr>
          </w:p>
          <w:p w14:paraId="7CB265CB" w14:textId="77777777" w:rsidR="008A4099" w:rsidRDefault="006A6EE2">
            <w:pPr>
              <w:pStyle w:val="TableParagraph"/>
              <w:ind w:left="108"/>
            </w:pPr>
            <w:r>
              <w:rPr>
                <w:spacing w:val="-2"/>
              </w:rPr>
              <w:t>Public</w:t>
            </w:r>
          </w:p>
        </w:tc>
      </w:tr>
      <w:tr w:rsidR="008A4099" w14:paraId="7CB265D1" w14:textId="77777777">
        <w:trPr>
          <w:trHeight w:val="493"/>
        </w:trPr>
        <w:tc>
          <w:tcPr>
            <w:tcW w:w="1562" w:type="dxa"/>
          </w:tcPr>
          <w:p w14:paraId="7CB265CD" w14:textId="77777777" w:rsidR="008A4099" w:rsidRDefault="006A6EE2">
            <w:pPr>
              <w:pStyle w:val="TableParagraph"/>
              <w:spacing w:before="121"/>
              <w:ind w:left="107"/>
            </w:pPr>
            <w:r>
              <w:rPr>
                <w:spacing w:val="-2"/>
              </w:rPr>
              <w:t>Bartl</w:t>
            </w:r>
          </w:p>
        </w:tc>
        <w:tc>
          <w:tcPr>
            <w:tcW w:w="1865" w:type="dxa"/>
          </w:tcPr>
          <w:p w14:paraId="7CB265CE" w14:textId="77777777" w:rsidR="008A4099" w:rsidRDefault="006A6EE2">
            <w:pPr>
              <w:pStyle w:val="TableParagraph"/>
              <w:spacing w:before="121"/>
              <w:ind w:left="105"/>
            </w:pPr>
            <w:r>
              <w:t>Policy</w:t>
            </w:r>
            <w:r>
              <w:rPr>
                <w:spacing w:val="-1"/>
              </w:rPr>
              <w:t xml:space="preserve"> </w:t>
            </w:r>
            <w:r>
              <w:rPr>
                <w:spacing w:val="-2"/>
              </w:rPr>
              <w:t>Officer</w:t>
            </w:r>
          </w:p>
        </w:tc>
        <w:tc>
          <w:tcPr>
            <w:tcW w:w="4040" w:type="dxa"/>
          </w:tcPr>
          <w:p w14:paraId="7CB265CF" w14:textId="77777777" w:rsidR="008A4099" w:rsidRDefault="006A6EE2">
            <w:pPr>
              <w:pStyle w:val="TableParagraph"/>
              <w:spacing w:before="121"/>
              <w:ind w:left="108"/>
            </w:pPr>
            <w:r>
              <w:t>Community</w:t>
            </w:r>
            <w:r>
              <w:rPr>
                <w:spacing w:val="-5"/>
              </w:rPr>
              <w:t xml:space="preserve"> </w:t>
            </w:r>
            <w:r>
              <w:t>Legal</w:t>
            </w:r>
            <w:r>
              <w:rPr>
                <w:spacing w:val="-4"/>
              </w:rPr>
              <w:t xml:space="preserve"> </w:t>
            </w:r>
            <w:r>
              <w:t>Centres</w:t>
            </w:r>
            <w:r>
              <w:rPr>
                <w:spacing w:val="-6"/>
              </w:rPr>
              <w:t xml:space="preserve"> </w:t>
            </w:r>
            <w:r>
              <w:rPr>
                <w:spacing w:val="-2"/>
              </w:rPr>
              <w:t>Tasmania</w:t>
            </w:r>
          </w:p>
        </w:tc>
        <w:tc>
          <w:tcPr>
            <w:tcW w:w="1550" w:type="dxa"/>
          </w:tcPr>
          <w:p w14:paraId="7CB265D0" w14:textId="77777777" w:rsidR="008A4099" w:rsidRDefault="006A6EE2">
            <w:pPr>
              <w:pStyle w:val="TableParagraph"/>
              <w:spacing w:before="121"/>
              <w:ind w:left="108"/>
            </w:pPr>
            <w:r>
              <w:rPr>
                <w:spacing w:val="-2"/>
              </w:rPr>
              <w:t>Public</w:t>
            </w:r>
          </w:p>
        </w:tc>
      </w:tr>
      <w:tr w:rsidR="008A4099" w14:paraId="7CB265D6" w14:textId="77777777">
        <w:trPr>
          <w:trHeight w:val="493"/>
        </w:trPr>
        <w:tc>
          <w:tcPr>
            <w:tcW w:w="1562" w:type="dxa"/>
          </w:tcPr>
          <w:p w14:paraId="7CB265D2" w14:textId="77777777" w:rsidR="008A4099" w:rsidRDefault="006A6EE2">
            <w:pPr>
              <w:pStyle w:val="TableParagraph"/>
              <w:spacing w:before="121"/>
              <w:ind w:left="107"/>
            </w:pPr>
            <w:r>
              <w:rPr>
                <w:spacing w:val="-2"/>
              </w:rPr>
              <w:t>Croome</w:t>
            </w:r>
          </w:p>
        </w:tc>
        <w:tc>
          <w:tcPr>
            <w:tcW w:w="1865" w:type="dxa"/>
          </w:tcPr>
          <w:p w14:paraId="7CB265D3" w14:textId="77777777" w:rsidR="008A4099" w:rsidRDefault="006A6EE2">
            <w:pPr>
              <w:pStyle w:val="TableParagraph"/>
              <w:spacing w:before="121"/>
              <w:ind w:left="105"/>
            </w:pPr>
            <w:r>
              <w:rPr>
                <w:spacing w:val="-2"/>
              </w:rPr>
              <w:t>President</w:t>
            </w:r>
          </w:p>
        </w:tc>
        <w:tc>
          <w:tcPr>
            <w:tcW w:w="4040" w:type="dxa"/>
          </w:tcPr>
          <w:p w14:paraId="7CB265D4" w14:textId="77777777" w:rsidR="008A4099" w:rsidRDefault="006A6EE2">
            <w:pPr>
              <w:pStyle w:val="TableParagraph"/>
              <w:spacing w:before="121"/>
              <w:ind w:left="108"/>
            </w:pPr>
            <w:r>
              <w:t>Equality</w:t>
            </w:r>
            <w:r>
              <w:rPr>
                <w:spacing w:val="-2"/>
              </w:rPr>
              <w:t xml:space="preserve"> Tasmania</w:t>
            </w:r>
          </w:p>
        </w:tc>
        <w:tc>
          <w:tcPr>
            <w:tcW w:w="1550" w:type="dxa"/>
          </w:tcPr>
          <w:p w14:paraId="7CB265D5" w14:textId="77777777" w:rsidR="008A4099" w:rsidRDefault="006A6EE2">
            <w:pPr>
              <w:pStyle w:val="TableParagraph"/>
              <w:spacing w:before="121"/>
              <w:ind w:left="108"/>
            </w:pPr>
            <w:r>
              <w:rPr>
                <w:spacing w:val="-2"/>
              </w:rPr>
              <w:t>Public</w:t>
            </w:r>
          </w:p>
        </w:tc>
      </w:tr>
    </w:tbl>
    <w:p w14:paraId="7CB265D7" w14:textId="77777777" w:rsidR="00D136B4" w:rsidRDefault="00D136B4"/>
    <w:sectPr w:rsidR="00D136B4">
      <w:pgSz w:w="11910" w:h="16840"/>
      <w:pgMar w:top="980" w:right="760" w:bottom="940" w:left="1280" w:header="718"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2C4C6" w14:textId="77777777" w:rsidR="003866C8" w:rsidRDefault="003866C8">
      <w:r>
        <w:separator/>
      </w:r>
    </w:p>
  </w:endnote>
  <w:endnote w:type="continuationSeparator" w:id="0">
    <w:p w14:paraId="119D29E6" w14:textId="77777777" w:rsidR="003866C8" w:rsidRDefault="0038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5" w14:textId="77777777" w:rsidR="008A4099" w:rsidRDefault="008A4099">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6" w14:textId="77777777" w:rsidR="008A4099" w:rsidRDefault="006A6EE2">
    <w:pPr>
      <w:pStyle w:val="BodyText"/>
      <w:spacing w:line="14" w:lineRule="auto"/>
      <w:rPr>
        <w:sz w:val="20"/>
      </w:rPr>
    </w:pPr>
    <w:r>
      <w:rPr>
        <w:noProof/>
      </w:rPr>
      <mc:AlternateContent>
        <mc:Choice Requires="wps">
          <w:drawing>
            <wp:anchor distT="0" distB="0" distL="0" distR="0" simplePos="0" relativeHeight="485266432" behindDoc="1" locked="0" layoutInCell="1" allowOverlap="1" wp14:anchorId="7CB26701" wp14:editId="7CB26702">
              <wp:simplePos x="0" y="0"/>
              <wp:positionH relativeFrom="page">
                <wp:posOffset>876604</wp:posOffset>
              </wp:positionH>
              <wp:positionV relativeFrom="page">
                <wp:posOffset>10074682</wp:posOffset>
              </wp:positionV>
              <wp:extent cx="237490" cy="1809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80975"/>
                      </a:xfrm>
                      <a:prstGeom prst="rect">
                        <a:avLst/>
                      </a:prstGeom>
                    </wps:spPr>
                    <wps:txbx>
                      <w:txbxContent>
                        <w:p w14:paraId="7CB267B4"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xii</w:t>
                          </w:r>
                          <w:r>
                            <w:rPr>
                              <w:spacing w:val="-5"/>
                            </w:rPr>
                            <w:fldChar w:fldCharType="end"/>
                          </w:r>
                        </w:p>
                      </w:txbxContent>
                    </wps:txbx>
                    <wps:bodyPr wrap="square" lIns="0" tIns="0" rIns="0" bIns="0" rtlCol="0">
                      <a:noAutofit/>
                    </wps:bodyPr>
                  </wps:wsp>
                </a:graphicData>
              </a:graphic>
            </wp:anchor>
          </w:drawing>
        </mc:Choice>
        <mc:Fallback>
          <w:pict>
            <v:shapetype w14:anchorId="7CB26701" id="_x0000_t202" coordsize="21600,21600" o:spt="202" path="m,l,21600r21600,l21600,xe">
              <v:stroke joinstyle="miter"/>
              <v:path gradientshapeok="t" o:connecttype="rect"/>
            </v:shapetype>
            <v:shape id="Textbox 15" o:spid="_x0000_s1060" type="#_x0000_t202" style="position:absolute;margin-left:69pt;margin-top:793.3pt;width:18.7pt;height:14.25pt;z-index:-180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" filled="f" stroked="f">
              <v:textbox inset="0,0,0,0">
                <w:txbxContent>
                  <w:p w14:paraId="7CB267B4"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xii</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7" w14:textId="77777777" w:rsidR="008A4099" w:rsidRDefault="006A6EE2">
    <w:pPr>
      <w:pStyle w:val="BodyText"/>
      <w:spacing w:line="14" w:lineRule="auto"/>
      <w:rPr>
        <w:sz w:val="20"/>
      </w:rPr>
    </w:pPr>
    <w:r>
      <w:rPr>
        <w:noProof/>
      </w:rPr>
      <mc:AlternateContent>
        <mc:Choice Requires="wps">
          <w:drawing>
            <wp:anchor distT="0" distB="0" distL="0" distR="0" simplePos="0" relativeHeight="485265920" behindDoc="1" locked="0" layoutInCell="1" allowOverlap="1" wp14:anchorId="7CB26703" wp14:editId="7CB26704">
              <wp:simplePos x="0" y="0"/>
              <wp:positionH relativeFrom="page">
                <wp:posOffset>6423405</wp:posOffset>
              </wp:positionH>
              <wp:positionV relativeFrom="page">
                <wp:posOffset>10074682</wp:posOffset>
              </wp:positionV>
              <wp:extent cx="275590"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180975"/>
                      </a:xfrm>
                      <a:prstGeom prst="rect">
                        <a:avLst/>
                      </a:prstGeom>
                    </wps:spPr>
                    <wps:txbx>
                      <w:txbxContent>
                        <w:p w14:paraId="7CB267B3"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xiii</w:t>
                          </w:r>
                          <w:r>
                            <w:rPr>
                              <w:spacing w:val="-4"/>
                            </w:rPr>
                            <w:fldChar w:fldCharType="end"/>
                          </w:r>
                        </w:p>
                      </w:txbxContent>
                    </wps:txbx>
                    <wps:bodyPr wrap="square" lIns="0" tIns="0" rIns="0" bIns="0" rtlCol="0">
                      <a:noAutofit/>
                    </wps:bodyPr>
                  </wps:wsp>
                </a:graphicData>
              </a:graphic>
            </wp:anchor>
          </w:drawing>
        </mc:Choice>
        <mc:Fallback>
          <w:pict>
            <v:shapetype w14:anchorId="7CB26703" id="_x0000_t202" coordsize="21600,21600" o:spt="202" path="m,l,21600r21600,l21600,xe">
              <v:stroke joinstyle="miter"/>
              <v:path gradientshapeok="t" o:connecttype="rect"/>
            </v:shapetype>
            <v:shape id="Textbox 14" o:spid="_x0000_s1061" type="#_x0000_t202" style="position:absolute;margin-left:505.8pt;margin-top:793.3pt;width:21.7pt;height:14.25pt;z-index:-180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" filled="f" stroked="f">
              <v:textbox inset="0,0,0,0">
                <w:txbxContent>
                  <w:p w14:paraId="7CB267B3"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xiii</w:t>
                    </w:r>
                    <w:r>
                      <w:rPr>
                        <w:spacing w:val="-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A" w14:textId="77777777" w:rsidR="008A4099" w:rsidRDefault="006A6EE2">
    <w:pPr>
      <w:pStyle w:val="BodyText"/>
      <w:spacing w:line="14" w:lineRule="auto"/>
      <w:rPr>
        <w:sz w:val="20"/>
      </w:rPr>
    </w:pPr>
    <w:r>
      <w:rPr>
        <w:noProof/>
      </w:rPr>
      <mc:AlternateContent>
        <mc:Choice Requires="wps">
          <w:drawing>
            <wp:anchor distT="0" distB="0" distL="0" distR="0" simplePos="0" relativeHeight="485267456" behindDoc="1" locked="0" layoutInCell="1" allowOverlap="1" wp14:anchorId="7CB26705" wp14:editId="7CB26706">
              <wp:simplePos x="0" y="0"/>
              <wp:positionH relativeFrom="page">
                <wp:posOffset>876604</wp:posOffset>
              </wp:positionH>
              <wp:positionV relativeFrom="page">
                <wp:posOffset>10074682</wp:posOffset>
              </wp:positionV>
              <wp:extent cx="269240"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180975"/>
                      </a:xfrm>
                      <a:prstGeom prst="rect">
                        <a:avLst/>
                      </a:prstGeom>
                    </wps:spPr>
                    <wps:txbx>
                      <w:txbxContent>
                        <w:p w14:paraId="7CB267B6"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type w14:anchorId="7CB26705" id="_x0000_t202" coordsize="21600,21600" o:spt="202" path="m,l,21600r21600,l21600,xe">
              <v:stroke joinstyle="miter"/>
              <v:path gradientshapeok="t" o:connecttype="rect"/>
            </v:shapetype>
            <v:shape id="Textbox 17" o:spid="_x0000_s1062" type="#_x0000_t202" style="position:absolute;margin-left:69pt;margin-top:793.3pt;width:21.2pt;height:14.25pt;z-index:-180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" filled="f" stroked="f">
              <v:textbox inset="0,0,0,0">
                <w:txbxContent>
                  <w:p w14:paraId="7CB267B6"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xiv</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B" w14:textId="77777777" w:rsidR="008A4099" w:rsidRDefault="006A6EE2">
    <w:pPr>
      <w:pStyle w:val="BodyText"/>
      <w:spacing w:line="14" w:lineRule="auto"/>
      <w:rPr>
        <w:sz w:val="20"/>
      </w:rPr>
    </w:pPr>
    <w:r>
      <w:rPr>
        <w:noProof/>
      </w:rPr>
      <mc:AlternateContent>
        <mc:Choice Requires="wps">
          <w:drawing>
            <wp:anchor distT="0" distB="0" distL="0" distR="0" simplePos="0" relativeHeight="485266944" behindDoc="1" locked="0" layoutInCell="1" allowOverlap="1" wp14:anchorId="7CB26707" wp14:editId="7CB26708">
              <wp:simplePos x="0" y="0"/>
              <wp:positionH relativeFrom="page">
                <wp:posOffset>6423405</wp:posOffset>
              </wp:positionH>
              <wp:positionV relativeFrom="page">
                <wp:posOffset>10074682</wp:posOffset>
              </wp:positionV>
              <wp:extent cx="275590" cy="1809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180975"/>
                      </a:xfrm>
                      <a:prstGeom prst="rect">
                        <a:avLst/>
                      </a:prstGeom>
                    </wps:spPr>
                    <wps:txbx>
                      <w:txbxContent>
                        <w:p w14:paraId="7CB267B5"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xiii</w:t>
                          </w:r>
                          <w:r>
                            <w:rPr>
                              <w:spacing w:val="-4"/>
                            </w:rPr>
                            <w:fldChar w:fldCharType="end"/>
                          </w:r>
                        </w:p>
                      </w:txbxContent>
                    </wps:txbx>
                    <wps:bodyPr wrap="square" lIns="0" tIns="0" rIns="0" bIns="0" rtlCol="0">
                      <a:noAutofit/>
                    </wps:bodyPr>
                  </wps:wsp>
                </a:graphicData>
              </a:graphic>
            </wp:anchor>
          </w:drawing>
        </mc:Choice>
        <mc:Fallback>
          <w:pict>
            <v:shapetype w14:anchorId="7CB26707" id="_x0000_t202" coordsize="21600,21600" o:spt="202" path="m,l,21600r21600,l21600,xe">
              <v:stroke joinstyle="miter"/>
              <v:path gradientshapeok="t" o:connecttype="rect"/>
            </v:shapetype>
            <v:shape id="Textbox 16" o:spid="_x0000_s1063" type="#_x0000_t202" style="position:absolute;margin-left:505.8pt;margin-top:793.3pt;width:21.7pt;height:14.25pt;z-index:-180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" filled="f" stroked="f">
              <v:textbox inset="0,0,0,0">
                <w:txbxContent>
                  <w:p w14:paraId="7CB267B5"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xiii</w:t>
                    </w:r>
                    <w:r>
                      <w:rPr>
                        <w:spacing w:val="-4"/>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F" w14:textId="77777777" w:rsidR="008A4099" w:rsidRDefault="006A6EE2">
    <w:pPr>
      <w:pStyle w:val="BodyText"/>
      <w:spacing w:line="14" w:lineRule="auto"/>
      <w:rPr>
        <w:sz w:val="20"/>
      </w:rPr>
    </w:pPr>
    <w:r>
      <w:rPr>
        <w:noProof/>
      </w:rPr>
      <mc:AlternateContent>
        <mc:Choice Requires="wps">
          <w:drawing>
            <wp:anchor distT="0" distB="0" distL="0" distR="0" simplePos="0" relativeHeight="485270528" behindDoc="1" locked="0" layoutInCell="1" allowOverlap="1" wp14:anchorId="7CB26711" wp14:editId="7CB26712">
              <wp:simplePos x="0" y="0"/>
              <wp:positionH relativeFrom="page">
                <wp:posOffset>876604</wp:posOffset>
              </wp:positionH>
              <wp:positionV relativeFrom="page">
                <wp:posOffset>10074682</wp:posOffset>
              </wp:positionV>
              <wp:extent cx="346075" cy="1809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075" cy="180975"/>
                      </a:xfrm>
                      <a:prstGeom prst="rect">
                        <a:avLst/>
                      </a:prstGeom>
                    </wps:spPr>
                    <wps:txbx>
                      <w:txbxContent>
                        <w:p w14:paraId="7CB267BA" w14:textId="77777777" w:rsidR="008A4099" w:rsidRDefault="006A6EE2">
                          <w:pPr>
                            <w:pStyle w:val="BodyText"/>
                            <w:spacing w:before="11"/>
                            <w:ind w:left="60"/>
                          </w:pPr>
                          <w:r>
                            <w:rPr>
                              <w:spacing w:val="-2"/>
                            </w:rPr>
                            <w:fldChar w:fldCharType="begin"/>
                          </w:r>
                          <w:r>
                            <w:rPr>
                              <w:spacing w:val="-2"/>
                            </w:rPr>
                            <w:instrText xml:space="preserve"> PAGE  \* roman </w:instrText>
                          </w:r>
                          <w:r>
                            <w:rPr>
                              <w:spacing w:val="-2"/>
                            </w:rPr>
                            <w:fldChar w:fldCharType="separate"/>
                          </w:r>
                          <w:r>
                            <w:rPr>
                              <w:spacing w:val="-2"/>
                            </w:rPr>
                            <w:t>xviii</w:t>
                          </w:r>
                          <w:r>
                            <w:rPr>
                              <w:spacing w:val="-2"/>
                            </w:rPr>
                            <w:fldChar w:fldCharType="end"/>
                          </w:r>
                        </w:p>
                      </w:txbxContent>
                    </wps:txbx>
                    <wps:bodyPr wrap="square" lIns="0" tIns="0" rIns="0" bIns="0" rtlCol="0">
                      <a:noAutofit/>
                    </wps:bodyPr>
                  </wps:wsp>
                </a:graphicData>
              </a:graphic>
            </wp:anchor>
          </w:drawing>
        </mc:Choice>
        <mc:Fallback>
          <w:pict>
            <v:shapetype w14:anchorId="7CB26711" id="_x0000_t202" coordsize="21600,21600" o:spt="202" path="m,l,21600r21600,l21600,xe">
              <v:stroke joinstyle="miter"/>
              <v:path gradientshapeok="t" o:connecttype="rect"/>
            </v:shapetype>
            <v:shape id="Textbox 23" o:spid="_x0000_s1066" type="#_x0000_t202" style="position:absolute;margin-left:69pt;margin-top:793.3pt;width:27.25pt;height:14.25pt;z-index:-180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" filled="f" stroked="f">
              <v:textbox inset="0,0,0,0">
                <w:txbxContent>
                  <w:p w14:paraId="7CB267BA" w14:textId="77777777" w:rsidR="008A4099" w:rsidRDefault="006A6EE2">
                    <w:pPr>
                      <w:pStyle w:val="BodyText"/>
                      <w:spacing w:before="11"/>
                      <w:ind w:left="60"/>
                    </w:pPr>
                    <w:r>
                      <w:rPr>
                        <w:spacing w:val="-2"/>
                      </w:rPr>
                      <w:fldChar w:fldCharType="begin"/>
                    </w:r>
                    <w:r>
                      <w:rPr>
                        <w:spacing w:val="-2"/>
                      </w:rPr>
                      <w:instrText xml:space="preserve"> PAGE  \* roman </w:instrText>
                    </w:r>
                    <w:r>
                      <w:rPr>
                        <w:spacing w:val="-2"/>
                      </w:rPr>
                      <w:fldChar w:fldCharType="separate"/>
                    </w:r>
                    <w:r>
                      <w:rPr>
                        <w:spacing w:val="-2"/>
                      </w:rPr>
                      <w:t>xviii</w:t>
                    </w:r>
                    <w:r>
                      <w:rPr>
                        <w:spacing w:val="-2"/>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0" w14:textId="77777777" w:rsidR="008A4099" w:rsidRDefault="006A6EE2">
    <w:pPr>
      <w:pStyle w:val="BodyText"/>
      <w:spacing w:line="14" w:lineRule="auto"/>
      <w:rPr>
        <w:sz w:val="20"/>
      </w:rPr>
    </w:pPr>
    <w:r>
      <w:rPr>
        <w:noProof/>
      </w:rPr>
      <mc:AlternateContent>
        <mc:Choice Requires="wps">
          <w:drawing>
            <wp:anchor distT="0" distB="0" distL="0" distR="0" simplePos="0" relativeHeight="485270016" behindDoc="1" locked="0" layoutInCell="1" allowOverlap="1" wp14:anchorId="7CB26713" wp14:editId="7CB26714">
              <wp:simplePos x="0" y="0"/>
              <wp:positionH relativeFrom="page">
                <wp:posOffset>6391402</wp:posOffset>
              </wp:positionH>
              <wp:positionV relativeFrom="page">
                <wp:posOffset>10074682</wp:posOffset>
              </wp:positionV>
              <wp:extent cx="307975" cy="1809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180975"/>
                      </a:xfrm>
                      <a:prstGeom prst="rect">
                        <a:avLst/>
                      </a:prstGeom>
                    </wps:spPr>
                    <wps:txbx>
                      <w:txbxContent>
                        <w:p w14:paraId="7CB267B9"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xvii</w:t>
                          </w:r>
                          <w:r>
                            <w:rPr>
                              <w:spacing w:val="-4"/>
                            </w:rPr>
                            <w:fldChar w:fldCharType="end"/>
                          </w:r>
                        </w:p>
                      </w:txbxContent>
                    </wps:txbx>
                    <wps:bodyPr wrap="square" lIns="0" tIns="0" rIns="0" bIns="0" rtlCol="0">
                      <a:noAutofit/>
                    </wps:bodyPr>
                  </wps:wsp>
                </a:graphicData>
              </a:graphic>
            </wp:anchor>
          </w:drawing>
        </mc:Choice>
        <mc:Fallback>
          <w:pict>
            <v:shapetype w14:anchorId="7CB26713" id="_x0000_t202" coordsize="21600,21600" o:spt="202" path="m,l,21600r21600,l21600,xe">
              <v:stroke joinstyle="miter"/>
              <v:path gradientshapeok="t" o:connecttype="rect"/>
            </v:shapetype>
            <v:shape id="Textbox 22" o:spid="_x0000_s1067" type="#_x0000_t202" style="position:absolute;margin-left:503.25pt;margin-top:793.3pt;width:24.25pt;height:14.25pt;z-index:-180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" filled="f" stroked="f">
              <v:textbox inset="0,0,0,0">
                <w:txbxContent>
                  <w:p w14:paraId="7CB267B9"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xvii</w:t>
                    </w:r>
                    <w:r>
                      <w:rPr>
                        <w:spacing w:val="-4"/>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3" w14:textId="77777777" w:rsidR="008A4099" w:rsidRDefault="006A6EE2">
    <w:pPr>
      <w:pStyle w:val="BodyText"/>
      <w:spacing w:line="14" w:lineRule="auto"/>
      <w:rPr>
        <w:sz w:val="20"/>
      </w:rPr>
    </w:pPr>
    <w:r>
      <w:rPr>
        <w:noProof/>
      </w:rPr>
      <mc:AlternateContent>
        <mc:Choice Requires="wps">
          <w:drawing>
            <wp:anchor distT="0" distB="0" distL="0" distR="0" simplePos="0" relativeHeight="485273600" behindDoc="1" locked="0" layoutInCell="1" allowOverlap="1" wp14:anchorId="7CB2671D" wp14:editId="7CB2671E">
              <wp:simplePos x="0" y="0"/>
              <wp:positionH relativeFrom="page">
                <wp:posOffset>876604</wp:posOffset>
              </wp:positionH>
              <wp:positionV relativeFrom="page">
                <wp:posOffset>10074682</wp:posOffset>
              </wp:positionV>
              <wp:extent cx="159385" cy="18097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7CB267BE" w14:textId="77777777" w:rsidR="008A4099" w:rsidRDefault="006A6EE2">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CB2671D" id="_x0000_t202" coordsize="21600,21600" o:spt="202" path="m,l,21600r21600,l21600,xe">
              <v:stroke joinstyle="miter"/>
              <v:path gradientshapeok="t" o:connecttype="rect"/>
            </v:shapetype>
            <v:shape id="Textbox 35" o:spid="_x0000_s1070" type="#_x0000_t202" style="position:absolute;margin-left:69pt;margin-top:793.3pt;width:12.55pt;height:14.25pt;z-index:-180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" filled="f" stroked="f">
              <v:textbox inset="0,0,0,0">
                <w:txbxContent>
                  <w:p w14:paraId="7CB267BE" w14:textId="77777777" w:rsidR="008A4099" w:rsidRDefault="006A6EE2">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4" w14:textId="77777777" w:rsidR="008A4099" w:rsidRDefault="006A6EE2">
    <w:pPr>
      <w:pStyle w:val="BodyText"/>
      <w:spacing w:line="14" w:lineRule="auto"/>
      <w:rPr>
        <w:sz w:val="20"/>
      </w:rPr>
    </w:pPr>
    <w:r>
      <w:rPr>
        <w:noProof/>
      </w:rPr>
      <mc:AlternateContent>
        <mc:Choice Requires="wps">
          <w:drawing>
            <wp:anchor distT="0" distB="0" distL="0" distR="0" simplePos="0" relativeHeight="485273088" behindDoc="1" locked="0" layoutInCell="1" allowOverlap="1" wp14:anchorId="7CB2671F" wp14:editId="7CB26720">
              <wp:simplePos x="0" y="0"/>
              <wp:positionH relativeFrom="page">
                <wp:posOffset>6469126</wp:posOffset>
              </wp:positionH>
              <wp:positionV relativeFrom="page">
                <wp:posOffset>10074682</wp:posOffset>
              </wp:positionV>
              <wp:extent cx="229235" cy="1809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BD"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7CB2671F" id="_x0000_t202" coordsize="21600,21600" o:spt="202" path="m,l,21600r21600,l21600,xe">
              <v:stroke joinstyle="miter"/>
              <v:path gradientshapeok="t" o:connecttype="rect"/>
            </v:shapetype>
            <v:shape id="Textbox 34" o:spid="_x0000_s1071" type="#_x0000_t202" style="position:absolute;margin-left:509.4pt;margin-top:793.3pt;width:18.05pt;height:14.25pt;z-index:-180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" filled="f" stroked="f">
              <v:textbox inset="0,0,0,0">
                <w:txbxContent>
                  <w:p w14:paraId="7CB267BD"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7" w14:textId="77777777" w:rsidR="008A4099" w:rsidRDefault="006A6EE2">
    <w:pPr>
      <w:pStyle w:val="BodyText"/>
      <w:spacing w:line="14" w:lineRule="auto"/>
      <w:rPr>
        <w:sz w:val="20"/>
      </w:rPr>
    </w:pPr>
    <w:r>
      <w:rPr>
        <w:noProof/>
      </w:rPr>
      <mc:AlternateContent>
        <mc:Choice Requires="wps">
          <w:drawing>
            <wp:anchor distT="0" distB="0" distL="0" distR="0" simplePos="0" relativeHeight="485276160" behindDoc="1" locked="0" layoutInCell="1" allowOverlap="1" wp14:anchorId="7CB26729" wp14:editId="7CB2672A">
              <wp:simplePos x="0" y="0"/>
              <wp:positionH relativeFrom="page">
                <wp:posOffset>876604</wp:posOffset>
              </wp:positionH>
              <wp:positionV relativeFrom="page">
                <wp:posOffset>10074682</wp:posOffset>
              </wp:positionV>
              <wp:extent cx="229235" cy="18097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C1"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CB26729" id="_x0000_t202" coordsize="21600,21600" o:spt="202" path="m,l,21600r21600,l21600,xe">
              <v:stroke joinstyle="miter"/>
              <v:path gradientshapeok="t" o:connecttype="rect"/>
            </v:shapetype>
            <v:shape id="Textbox 47" o:spid="_x0000_s1074" type="#_x0000_t202" style="position:absolute;margin-left:69pt;margin-top:793.3pt;width:18.05pt;height:14.25pt;z-index:-180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" filled="f" stroked="f">
              <v:textbox inset="0,0,0,0">
                <w:txbxContent>
                  <w:p w14:paraId="7CB267C1"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8" w14:textId="77777777" w:rsidR="008A4099" w:rsidRDefault="006A6EE2">
    <w:pPr>
      <w:pStyle w:val="BodyText"/>
      <w:spacing w:line="14" w:lineRule="auto"/>
      <w:rPr>
        <w:sz w:val="20"/>
      </w:rPr>
    </w:pPr>
    <w:r>
      <w:rPr>
        <w:noProof/>
      </w:rPr>
      <mc:AlternateContent>
        <mc:Choice Requires="wps">
          <w:drawing>
            <wp:anchor distT="0" distB="0" distL="0" distR="0" simplePos="0" relativeHeight="485276672" behindDoc="1" locked="0" layoutInCell="1" allowOverlap="1" wp14:anchorId="7CB2672B" wp14:editId="7CB2672C">
              <wp:simplePos x="0" y="0"/>
              <wp:positionH relativeFrom="page">
                <wp:posOffset>6539230</wp:posOffset>
              </wp:positionH>
              <wp:positionV relativeFrom="page">
                <wp:posOffset>10074682</wp:posOffset>
              </wp:positionV>
              <wp:extent cx="159385" cy="18097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7CB267C2" w14:textId="77777777" w:rsidR="008A4099" w:rsidRDefault="006A6EE2">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7CB2672B" id="_x0000_t202" coordsize="21600,21600" o:spt="202" path="m,l,21600r21600,l21600,xe">
              <v:stroke joinstyle="miter"/>
              <v:path gradientshapeok="t" o:connecttype="rect"/>
            </v:shapetype>
            <v:shape id="Textbox 48" o:spid="_x0000_s1075" type="#_x0000_t202" style="position:absolute;margin-left:514.9pt;margin-top:793.3pt;width:12.55pt;height:14.25pt;z-index:-180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" filled="f" stroked="f">
              <v:textbox inset="0,0,0,0">
                <w:txbxContent>
                  <w:p w14:paraId="7CB267C2" w14:textId="77777777" w:rsidR="008A4099" w:rsidRDefault="006A6EE2">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6" w14:textId="77777777" w:rsidR="008A4099" w:rsidRDefault="006A6EE2">
    <w:pPr>
      <w:pStyle w:val="BodyText"/>
      <w:spacing w:line="14" w:lineRule="auto"/>
      <w:rPr>
        <w:sz w:val="20"/>
      </w:rPr>
    </w:pPr>
    <w:r>
      <w:rPr>
        <w:noProof/>
      </w:rPr>
      <mc:AlternateContent>
        <mc:Choice Requires="wps">
          <w:drawing>
            <wp:anchor distT="0" distB="0" distL="0" distR="0" simplePos="0" relativeHeight="485260288" behindDoc="1" locked="0" layoutInCell="1" allowOverlap="1" wp14:anchorId="7CB266E9" wp14:editId="7CB266EA">
              <wp:simplePos x="0" y="0"/>
              <wp:positionH relativeFrom="page">
                <wp:posOffset>876604</wp:posOffset>
              </wp:positionH>
              <wp:positionV relativeFrom="page">
                <wp:posOffset>10074682</wp:posOffset>
              </wp:positionV>
              <wp:extent cx="16827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75" cy="180975"/>
                      </a:xfrm>
                      <a:prstGeom prst="rect">
                        <a:avLst/>
                      </a:prstGeom>
                    </wps:spPr>
                    <wps:txbx>
                      <w:txbxContent>
                        <w:p w14:paraId="7CB267A8"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wrap="square" lIns="0" tIns="0" rIns="0" bIns="0" rtlCol="0">
                      <a:noAutofit/>
                    </wps:bodyPr>
                  </wps:wsp>
                </a:graphicData>
              </a:graphic>
            </wp:anchor>
          </w:drawing>
        </mc:Choice>
        <mc:Fallback>
          <w:pict>
            <v:shapetype w14:anchorId="7CB266E9" id="_x0000_t202" coordsize="21600,21600" o:spt="202" path="m,l,21600r21600,l21600,xe">
              <v:stroke joinstyle="miter"/>
              <v:path gradientshapeok="t" o:connecttype="rect"/>
            </v:shapetype>
            <v:shape id="Textbox 3" o:spid="_x0000_s1048" type="#_x0000_t202" style="position:absolute;margin-left:69pt;margin-top:793.3pt;width:13.25pt;height:14.25pt;z-index:-180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" filled="f" stroked="f">
              <v:textbox inset="0,0,0,0">
                <w:txbxContent>
                  <w:p w14:paraId="7CB267A8"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B" w14:textId="77777777" w:rsidR="008A4099" w:rsidRDefault="006A6EE2">
    <w:pPr>
      <w:pStyle w:val="BodyText"/>
      <w:spacing w:line="14" w:lineRule="auto"/>
      <w:rPr>
        <w:sz w:val="20"/>
      </w:rPr>
    </w:pPr>
    <w:r>
      <w:rPr>
        <w:noProof/>
      </w:rPr>
      <mc:AlternateContent>
        <mc:Choice Requires="wps">
          <w:drawing>
            <wp:anchor distT="0" distB="0" distL="0" distR="0" simplePos="0" relativeHeight="485279232" behindDoc="1" locked="0" layoutInCell="1" allowOverlap="1" wp14:anchorId="7CB26735" wp14:editId="7CB26736">
              <wp:simplePos x="0" y="0"/>
              <wp:positionH relativeFrom="page">
                <wp:posOffset>876604</wp:posOffset>
              </wp:positionH>
              <wp:positionV relativeFrom="page">
                <wp:posOffset>10074682</wp:posOffset>
              </wp:positionV>
              <wp:extent cx="229235" cy="18097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C5"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7CB26735" id="_x0000_t202" coordsize="21600,21600" o:spt="202" path="m,l,21600r21600,l21600,xe">
              <v:stroke joinstyle="miter"/>
              <v:path gradientshapeok="t" o:connecttype="rect"/>
            </v:shapetype>
            <v:shape id="Textbox 62" o:spid="_x0000_s1078" type="#_x0000_t202" style="position:absolute;margin-left:69pt;margin-top:793.3pt;width:18.05pt;height:14.25pt;z-index:-180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" filled="f" stroked="f">
              <v:textbox inset="0,0,0,0">
                <w:txbxContent>
                  <w:p w14:paraId="7CB267C5"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C" w14:textId="77777777" w:rsidR="008A4099" w:rsidRDefault="006A6EE2">
    <w:pPr>
      <w:pStyle w:val="BodyText"/>
      <w:spacing w:line="14" w:lineRule="auto"/>
      <w:rPr>
        <w:sz w:val="20"/>
      </w:rPr>
    </w:pPr>
    <w:r>
      <w:rPr>
        <w:noProof/>
      </w:rPr>
      <mc:AlternateContent>
        <mc:Choice Requires="wps">
          <w:drawing>
            <wp:anchor distT="0" distB="0" distL="0" distR="0" simplePos="0" relativeHeight="485279744" behindDoc="1" locked="0" layoutInCell="1" allowOverlap="1" wp14:anchorId="7CB26737" wp14:editId="7CB26738">
              <wp:simplePos x="0" y="0"/>
              <wp:positionH relativeFrom="page">
                <wp:posOffset>6469126</wp:posOffset>
              </wp:positionH>
              <wp:positionV relativeFrom="page">
                <wp:posOffset>10074682</wp:posOffset>
              </wp:positionV>
              <wp:extent cx="229235" cy="18097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C6"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7CB26737" id="_x0000_t202" coordsize="21600,21600" o:spt="202" path="m,l,21600r21600,l21600,xe">
              <v:stroke joinstyle="miter"/>
              <v:path gradientshapeok="t" o:connecttype="rect"/>
            </v:shapetype>
            <v:shape id="Textbox 63" o:spid="_x0000_s1079" type="#_x0000_t202" style="position:absolute;margin-left:509.4pt;margin-top:793.3pt;width:18.05pt;height:14.25pt;z-index:-180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" filled="f" stroked="f">
              <v:textbox inset="0,0,0,0">
                <w:txbxContent>
                  <w:p w14:paraId="7CB267C6"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F" w14:textId="77777777" w:rsidR="008A4099" w:rsidRDefault="006A6EE2">
    <w:pPr>
      <w:pStyle w:val="BodyText"/>
      <w:spacing w:line="14" w:lineRule="auto"/>
      <w:rPr>
        <w:sz w:val="20"/>
      </w:rPr>
    </w:pPr>
    <w:r>
      <w:rPr>
        <w:noProof/>
      </w:rPr>
      <mc:AlternateContent>
        <mc:Choice Requires="wps">
          <w:drawing>
            <wp:anchor distT="0" distB="0" distL="0" distR="0" simplePos="0" relativeHeight="485282304" behindDoc="1" locked="0" layoutInCell="1" allowOverlap="1" wp14:anchorId="7CB26741" wp14:editId="7CB26742">
              <wp:simplePos x="0" y="0"/>
              <wp:positionH relativeFrom="page">
                <wp:posOffset>876604</wp:posOffset>
              </wp:positionH>
              <wp:positionV relativeFrom="page">
                <wp:posOffset>10074682</wp:posOffset>
              </wp:positionV>
              <wp:extent cx="229235" cy="18097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C9"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7CB26741" id="_x0000_t202" coordsize="21600,21600" o:spt="202" path="m,l,21600r21600,l21600,xe">
              <v:stroke joinstyle="miter"/>
              <v:path gradientshapeok="t" o:connecttype="rect"/>
            </v:shapetype>
            <v:shape id="Textbox 102" o:spid="_x0000_s1082" type="#_x0000_t202" style="position:absolute;margin-left:69pt;margin-top:793.3pt;width:18.05pt;height:14.25pt;z-index:-180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" filled="f" stroked="f">
              <v:textbox inset="0,0,0,0">
                <w:txbxContent>
                  <w:p w14:paraId="7CB267C9"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0" w14:textId="77777777" w:rsidR="008A4099" w:rsidRDefault="006A6EE2">
    <w:pPr>
      <w:pStyle w:val="BodyText"/>
      <w:spacing w:line="14" w:lineRule="auto"/>
      <w:rPr>
        <w:sz w:val="20"/>
      </w:rPr>
    </w:pPr>
    <w:r>
      <w:rPr>
        <w:noProof/>
      </w:rPr>
      <mc:AlternateContent>
        <mc:Choice Requires="wps">
          <w:drawing>
            <wp:anchor distT="0" distB="0" distL="0" distR="0" simplePos="0" relativeHeight="485282816" behindDoc="1" locked="0" layoutInCell="1" allowOverlap="1" wp14:anchorId="7CB26743" wp14:editId="7CB26744">
              <wp:simplePos x="0" y="0"/>
              <wp:positionH relativeFrom="page">
                <wp:posOffset>6469126</wp:posOffset>
              </wp:positionH>
              <wp:positionV relativeFrom="page">
                <wp:posOffset>10074682</wp:posOffset>
              </wp:positionV>
              <wp:extent cx="229235" cy="18097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CA"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7CB26743" id="_x0000_t202" coordsize="21600,21600" o:spt="202" path="m,l,21600r21600,l21600,xe">
              <v:stroke joinstyle="miter"/>
              <v:path gradientshapeok="t" o:connecttype="rect"/>
            </v:shapetype>
            <v:shape id="Textbox 103" o:spid="_x0000_s1083" type="#_x0000_t202" style="position:absolute;margin-left:509.4pt;margin-top:793.3pt;width:18.05pt;height:14.25pt;z-index:-180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" filled="f" stroked="f">
              <v:textbox inset="0,0,0,0">
                <w:txbxContent>
                  <w:p w14:paraId="7CB267CA"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3" w14:textId="77777777" w:rsidR="008A4099" w:rsidRDefault="006A6EE2">
    <w:pPr>
      <w:pStyle w:val="BodyText"/>
      <w:spacing w:line="14" w:lineRule="auto"/>
      <w:rPr>
        <w:sz w:val="20"/>
      </w:rPr>
    </w:pPr>
    <w:r>
      <w:rPr>
        <w:noProof/>
      </w:rPr>
      <mc:AlternateContent>
        <mc:Choice Requires="wps">
          <w:drawing>
            <wp:anchor distT="0" distB="0" distL="0" distR="0" simplePos="0" relativeHeight="485285376" behindDoc="1" locked="0" layoutInCell="1" allowOverlap="1" wp14:anchorId="7CB2674D" wp14:editId="7CB2674E">
              <wp:simplePos x="0" y="0"/>
              <wp:positionH relativeFrom="page">
                <wp:posOffset>876604</wp:posOffset>
              </wp:positionH>
              <wp:positionV relativeFrom="page">
                <wp:posOffset>10074682</wp:posOffset>
              </wp:positionV>
              <wp:extent cx="229235" cy="18097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CD"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84</w:t>
                          </w:r>
                          <w:r>
                            <w:rPr>
                              <w:spacing w:val="-5"/>
                            </w:rPr>
                            <w:fldChar w:fldCharType="end"/>
                          </w:r>
                        </w:p>
                      </w:txbxContent>
                    </wps:txbx>
                    <wps:bodyPr wrap="square" lIns="0" tIns="0" rIns="0" bIns="0" rtlCol="0">
                      <a:noAutofit/>
                    </wps:bodyPr>
                  </wps:wsp>
                </a:graphicData>
              </a:graphic>
            </wp:anchor>
          </w:drawing>
        </mc:Choice>
        <mc:Fallback>
          <w:pict>
            <v:shapetype w14:anchorId="7CB2674D" id="_x0000_t202" coordsize="21600,21600" o:spt="202" path="m,l,21600r21600,l21600,xe">
              <v:stroke joinstyle="miter"/>
              <v:path gradientshapeok="t" o:connecttype="rect"/>
            </v:shapetype>
            <v:shape id="Textbox 161" o:spid="_x0000_s1086" type="#_x0000_t202" style="position:absolute;margin-left:69pt;margin-top:793.3pt;width:18.05pt;height:14.25pt;z-index:-180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" filled="f" stroked="f">
              <v:textbox inset="0,0,0,0">
                <w:txbxContent>
                  <w:p w14:paraId="7CB267CD"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84</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4" w14:textId="77777777" w:rsidR="008A4099" w:rsidRDefault="006A6EE2">
    <w:pPr>
      <w:pStyle w:val="BodyText"/>
      <w:spacing w:line="14" w:lineRule="auto"/>
      <w:rPr>
        <w:sz w:val="20"/>
      </w:rPr>
    </w:pPr>
    <w:r>
      <w:rPr>
        <w:noProof/>
      </w:rPr>
      <mc:AlternateContent>
        <mc:Choice Requires="wps">
          <w:drawing>
            <wp:anchor distT="0" distB="0" distL="0" distR="0" simplePos="0" relativeHeight="485285888" behindDoc="1" locked="0" layoutInCell="1" allowOverlap="1" wp14:anchorId="7CB2674F" wp14:editId="7CB26750">
              <wp:simplePos x="0" y="0"/>
              <wp:positionH relativeFrom="page">
                <wp:posOffset>6469126</wp:posOffset>
              </wp:positionH>
              <wp:positionV relativeFrom="page">
                <wp:posOffset>10074682</wp:posOffset>
              </wp:positionV>
              <wp:extent cx="229235" cy="18097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CE"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85</w:t>
                          </w:r>
                          <w:r>
                            <w:rPr>
                              <w:spacing w:val="-5"/>
                            </w:rPr>
                            <w:fldChar w:fldCharType="end"/>
                          </w:r>
                        </w:p>
                      </w:txbxContent>
                    </wps:txbx>
                    <wps:bodyPr wrap="square" lIns="0" tIns="0" rIns="0" bIns="0" rtlCol="0">
                      <a:noAutofit/>
                    </wps:bodyPr>
                  </wps:wsp>
                </a:graphicData>
              </a:graphic>
            </wp:anchor>
          </w:drawing>
        </mc:Choice>
        <mc:Fallback>
          <w:pict>
            <v:shapetype w14:anchorId="7CB2674F" id="_x0000_t202" coordsize="21600,21600" o:spt="202" path="m,l,21600r21600,l21600,xe">
              <v:stroke joinstyle="miter"/>
              <v:path gradientshapeok="t" o:connecttype="rect"/>
            </v:shapetype>
            <v:shape id="Textbox 162" o:spid="_x0000_s1087" type="#_x0000_t202" style="position:absolute;margin-left:509.4pt;margin-top:793.3pt;width:18.05pt;height:14.25pt;z-index:-180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" filled="f" stroked="f">
              <v:textbox inset="0,0,0,0">
                <w:txbxContent>
                  <w:p w14:paraId="7CB267CE"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85</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7" w14:textId="77777777" w:rsidR="008A4099" w:rsidRDefault="006A6EE2">
    <w:pPr>
      <w:pStyle w:val="BodyText"/>
      <w:spacing w:line="14" w:lineRule="auto"/>
      <w:rPr>
        <w:sz w:val="20"/>
      </w:rPr>
    </w:pPr>
    <w:r>
      <w:rPr>
        <w:noProof/>
      </w:rPr>
      <mc:AlternateContent>
        <mc:Choice Requires="wps">
          <w:drawing>
            <wp:anchor distT="0" distB="0" distL="0" distR="0" simplePos="0" relativeHeight="485288448" behindDoc="1" locked="0" layoutInCell="1" allowOverlap="1" wp14:anchorId="7CB26759" wp14:editId="7CB2675A">
              <wp:simplePos x="0" y="0"/>
              <wp:positionH relativeFrom="page">
                <wp:posOffset>876604</wp:posOffset>
              </wp:positionH>
              <wp:positionV relativeFrom="page">
                <wp:posOffset>10074682</wp:posOffset>
              </wp:positionV>
              <wp:extent cx="229235" cy="18097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D1"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96</w:t>
                          </w:r>
                          <w:r>
                            <w:rPr>
                              <w:spacing w:val="-5"/>
                            </w:rPr>
                            <w:fldChar w:fldCharType="end"/>
                          </w:r>
                        </w:p>
                      </w:txbxContent>
                    </wps:txbx>
                    <wps:bodyPr wrap="square" lIns="0" tIns="0" rIns="0" bIns="0" rtlCol="0">
                      <a:noAutofit/>
                    </wps:bodyPr>
                  </wps:wsp>
                </a:graphicData>
              </a:graphic>
            </wp:anchor>
          </w:drawing>
        </mc:Choice>
        <mc:Fallback>
          <w:pict>
            <v:shapetype w14:anchorId="7CB26759" id="_x0000_t202" coordsize="21600,21600" o:spt="202" path="m,l,21600r21600,l21600,xe">
              <v:stroke joinstyle="miter"/>
              <v:path gradientshapeok="t" o:connecttype="rect"/>
            </v:shapetype>
            <v:shape id="Textbox 168" o:spid="_x0000_s1090" type="#_x0000_t202" style="position:absolute;margin-left:69pt;margin-top:793.3pt;width:18.05pt;height:14.25pt;z-index:-1802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" filled="f" stroked="f">
              <v:textbox inset="0,0,0,0">
                <w:txbxContent>
                  <w:p w14:paraId="7CB267D1"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96</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8" w14:textId="77777777" w:rsidR="008A4099" w:rsidRDefault="006A6EE2">
    <w:pPr>
      <w:pStyle w:val="BodyText"/>
      <w:spacing w:line="14" w:lineRule="auto"/>
      <w:rPr>
        <w:sz w:val="20"/>
      </w:rPr>
    </w:pPr>
    <w:r>
      <w:rPr>
        <w:noProof/>
      </w:rPr>
      <mc:AlternateContent>
        <mc:Choice Requires="wps">
          <w:drawing>
            <wp:anchor distT="0" distB="0" distL="0" distR="0" simplePos="0" relativeHeight="485288960" behindDoc="1" locked="0" layoutInCell="1" allowOverlap="1" wp14:anchorId="7CB2675B" wp14:editId="7CB2675C">
              <wp:simplePos x="0" y="0"/>
              <wp:positionH relativeFrom="page">
                <wp:posOffset>6469126</wp:posOffset>
              </wp:positionH>
              <wp:positionV relativeFrom="page">
                <wp:posOffset>10074682</wp:posOffset>
              </wp:positionV>
              <wp:extent cx="229235" cy="18097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B267D2"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wps:txbx>
                    <wps:bodyPr wrap="square" lIns="0" tIns="0" rIns="0" bIns="0" rtlCol="0">
                      <a:noAutofit/>
                    </wps:bodyPr>
                  </wps:wsp>
                </a:graphicData>
              </a:graphic>
            </wp:anchor>
          </w:drawing>
        </mc:Choice>
        <mc:Fallback>
          <w:pict>
            <v:shapetype w14:anchorId="7CB2675B" id="_x0000_t202" coordsize="21600,21600" o:spt="202" path="m,l,21600r21600,l21600,xe">
              <v:stroke joinstyle="miter"/>
              <v:path gradientshapeok="t" o:connecttype="rect"/>
            </v:shapetype>
            <v:shape id="Textbox 169" o:spid="_x0000_s1091" type="#_x0000_t202" style="position:absolute;margin-left:509.4pt;margin-top:793.3pt;width:18.05pt;height:14.25pt;z-index:-180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" filled="f" stroked="f">
              <v:textbox inset="0,0,0,0">
                <w:txbxContent>
                  <w:p w14:paraId="7CB267D2" w14:textId="77777777" w:rsidR="008A4099" w:rsidRDefault="006A6EE2">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7" w14:textId="77777777" w:rsidR="008A4099" w:rsidRDefault="006A6EE2">
    <w:pPr>
      <w:pStyle w:val="BodyText"/>
      <w:spacing w:line="14" w:lineRule="auto"/>
      <w:rPr>
        <w:sz w:val="20"/>
      </w:rPr>
    </w:pPr>
    <w:r>
      <w:rPr>
        <w:noProof/>
      </w:rPr>
      <mc:AlternateContent>
        <mc:Choice Requires="wps">
          <w:drawing>
            <wp:anchor distT="0" distB="0" distL="0" distR="0" simplePos="0" relativeHeight="485259776" behindDoc="1" locked="0" layoutInCell="1" allowOverlap="1" wp14:anchorId="7CB266EB" wp14:editId="7CB266EC">
              <wp:simplePos x="0" y="0"/>
              <wp:positionH relativeFrom="page">
                <wp:posOffset>6493509</wp:posOffset>
              </wp:positionH>
              <wp:positionV relativeFrom="page">
                <wp:posOffset>10074682</wp:posOffset>
              </wp:positionV>
              <wp:extent cx="20574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80975"/>
                      </a:xfrm>
                      <a:prstGeom prst="rect">
                        <a:avLst/>
                      </a:prstGeom>
                    </wps:spPr>
                    <wps:txbx>
                      <w:txbxContent>
                        <w:p w14:paraId="7CB267A7"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wps:txbx>
                    <wps:bodyPr wrap="square" lIns="0" tIns="0" rIns="0" bIns="0" rtlCol="0">
                      <a:noAutofit/>
                    </wps:bodyPr>
                  </wps:wsp>
                </a:graphicData>
              </a:graphic>
            </wp:anchor>
          </w:drawing>
        </mc:Choice>
        <mc:Fallback>
          <w:pict>
            <v:shapetype w14:anchorId="7CB266EB" id="_x0000_t202" coordsize="21600,21600" o:spt="202" path="m,l,21600r21600,l21600,xe">
              <v:stroke joinstyle="miter"/>
              <v:path gradientshapeok="t" o:connecttype="rect"/>
            </v:shapetype>
            <v:shape id="Textbox 2" o:spid="_x0000_s1049" type="#_x0000_t202" style="position:absolute;margin-left:511.3pt;margin-top:793.3pt;width:16.2pt;height:14.25pt;z-index:-180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" filled="f" stroked="f">
              <v:textbox inset="0,0,0,0">
                <w:txbxContent>
                  <w:p w14:paraId="7CB267A7"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9" w14:textId="77777777" w:rsidR="008A4099" w:rsidRDefault="006A6EE2">
    <w:pPr>
      <w:pStyle w:val="BodyText"/>
      <w:spacing w:line="14" w:lineRule="auto"/>
      <w:rPr>
        <w:sz w:val="20"/>
      </w:rPr>
    </w:pPr>
    <w:r>
      <w:rPr>
        <w:noProof/>
      </w:rPr>
      <mc:AlternateContent>
        <mc:Choice Requires="wps">
          <w:drawing>
            <wp:anchor distT="0" distB="0" distL="0" distR="0" simplePos="0" relativeHeight="485261312" behindDoc="1" locked="0" layoutInCell="1" allowOverlap="1" wp14:anchorId="7CB266EF" wp14:editId="7CB266F0">
              <wp:simplePos x="0" y="0"/>
              <wp:positionH relativeFrom="page">
                <wp:posOffset>876604</wp:posOffset>
              </wp:positionH>
              <wp:positionV relativeFrom="page">
                <wp:posOffset>10074682</wp:posOffset>
              </wp:positionV>
              <wp:extent cx="19939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80975"/>
                      </a:xfrm>
                      <a:prstGeom prst="rect">
                        <a:avLst/>
                      </a:prstGeom>
                    </wps:spPr>
                    <wps:txbx>
                      <w:txbxContent>
                        <w:p w14:paraId="7CB267AA"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iv</w:t>
                          </w:r>
                          <w:r>
                            <w:rPr>
                              <w:spacing w:val="-5"/>
                            </w:rPr>
                            <w:fldChar w:fldCharType="end"/>
                          </w:r>
                        </w:p>
                      </w:txbxContent>
                    </wps:txbx>
                    <wps:bodyPr wrap="square" lIns="0" tIns="0" rIns="0" bIns="0" rtlCol="0">
                      <a:noAutofit/>
                    </wps:bodyPr>
                  </wps:wsp>
                </a:graphicData>
              </a:graphic>
            </wp:anchor>
          </w:drawing>
        </mc:Choice>
        <mc:Fallback>
          <w:pict>
            <v:shapetype w14:anchorId="7CB266EF" id="_x0000_t202" coordsize="21600,21600" o:spt="202" path="m,l,21600r21600,l21600,xe">
              <v:stroke joinstyle="miter"/>
              <v:path gradientshapeok="t" o:connecttype="rect"/>
            </v:shapetype>
            <v:shape id="Textbox 5" o:spid="_x0000_s1051" type="#_x0000_t202" style="position:absolute;margin-left:69pt;margin-top:793.3pt;width:15.7pt;height:14.25pt;z-index:-180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" filled="f" stroked="f">
              <v:textbox inset="0,0,0,0">
                <w:txbxContent>
                  <w:p w14:paraId="7CB267AA"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iv</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A" w14:textId="77777777" w:rsidR="008A4099" w:rsidRDefault="006A6EE2">
    <w:pPr>
      <w:pStyle w:val="BodyText"/>
      <w:spacing w:line="14" w:lineRule="auto"/>
      <w:rPr>
        <w:sz w:val="20"/>
      </w:rPr>
    </w:pPr>
    <w:r>
      <w:rPr>
        <w:noProof/>
      </w:rPr>
      <mc:AlternateContent>
        <mc:Choice Requires="wps">
          <w:drawing>
            <wp:anchor distT="0" distB="0" distL="0" distR="0" simplePos="0" relativeHeight="485261824" behindDoc="1" locked="0" layoutInCell="1" allowOverlap="1" wp14:anchorId="7CB266F1" wp14:editId="7CB266F2">
              <wp:simplePos x="0" y="0"/>
              <wp:positionH relativeFrom="page">
                <wp:posOffset>6539230</wp:posOffset>
              </wp:positionH>
              <wp:positionV relativeFrom="page">
                <wp:posOffset>10074682</wp:posOffset>
              </wp:positionV>
              <wp:extent cx="15938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7CB267AB" w14:textId="77777777" w:rsidR="008A4099" w:rsidRDefault="006A6EE2">
                          <w:pPr>
                            <w:pStyle w:val="BodyText"/>
                            <w:spacing w:before="11"/>
                            <w:ind w:left="60"/>
                          </w:pPr>
                          <w:r>
                            <w:rPr>
                              <w:spacing w:val="-10"/>
                            </w:rPr>
                            <w:fldChar w:fldCharType="begin"/>
                          </w:r>
                          <w:r>
                            <w:rPr>
                              <w:spacing w:val="-10"/>
                            </w:rPr>
                            <w:instrText xml:space="preserve"> PAGE  \* roman </w:instrText>
                          </w:r>
                          <w:r>
                            <w:rPr>
                              <w:spacing w:val="-10"/>
                            </w:rPr>
                            <w:fldChar w:fldCharType="separate"/>
                          </w:r>
                          <w:r>
                            <w:rPr>
                              <w:spacing w:val="-10"/>
                            </w:rPr>
                            <w:t>v</w:t>
                          </w:r>
                          <w:r>
                            <w:rPr>
                              <w:spacing w:val="-10"/>
                            </w:rPr>
                            <w:fldChar w:fldCharType="end"/>
                          </w:r>
                        </w:p>
                      </w:txbxContent>
                    </wps:txbx>
                    <wps:bodyPr wrap="square" lIns="0" tIns="0" rIns="0" bIns="0" rtlCol="0">
                      <a:noAutofit/>
                    </wps:bodyPr>
                  </wps:wsp>
                </a:graphicData>
              </a:graphic>
            </wp:anchor>
          </w:drawing>
        </mc:Choice>
        <mc:Fallback>
          <w:pict>
            <v:shapetype w14:anchorId="7CB266F1" id="_x0000_t202" coordsize="21600,21600" o:spt="202" path="m,l,21600r21600,l21600,xe">
              <v:stroke joinstyle="miter"/>
              <v:path gradientshapeok="t" o:connecttype="rect"/>
            </v:shapetype>
            <v:shape id="Textbox 6" o:spid="_x0000_s1052" type="#_x0000_t202" style="position:absolute;margin-left:514.9pt;margin-top:793.3pt;width:12.55pt;height:14.25pt;z-index:-180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" filled="f" stroked="f">
              <v:textbox inset="0,0,0,0">
                <w:txbxContent>
                  <w:p w14:paraId="7CB267AB" w14:textId="77777777" w:rsidR="008A4099" w:rsidRDefault="006A6EE2">
                    <w:pPr>
                      <w:pStyle w:val="BodyText"/>
                      <w:spacing w:before="11"/>
                      <w:ind w:left="60"/>
                    </w:pPr>
                    <w:r>
                      <w:rPr>
                        <w:spacing w:val="-10"/>
                      </w:rPr>
                      <w:fldChar w:fldCharType="begin"/>
                    </w:r>
                    <w:r>
                      <w:rPr>
                        <w:spacing w:val="-10"/>
                      </w:rPr>
                      <w:instrText xml:space="preserve"> PAGE  \* roman </w:instrText>
                    </w:r>
                    <w:r>
                      <w:rPr>
                        <w:spacing w:val="-10"/>
                      </w:rPr>
                      <w:fldChar w:fldCharType="separate"/>
                    </w:r>
                    <w:r>
                      <w:rPr>
                        <w:spacing w:val="-10"/>
                      </w:rPr>
                      <w:t>v</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E" w14:textId="77777777" w:rsidR="008A4099" w:rsidRDefault="006A6EE2">
    <w:pPr>
      <w:pStyle w:val="BodyText"/>
      <w:spacing w:line="14" w:lineRule="auto"/>
      <w:rPr>
        <w:sz w:val="20"/>
      </w:rPr>
    </w:pPr>
    <w:r>
      <w:rPr>
        <w:noProof/>
      </w:rPr>
      <mc:AlternateContent>
        <mc:Choice Requires="wps">
          <w:drawing>
            <wp:anchor distT="0" distB="0" distL="0" distR="0" simplePos="0" relativeHeight="485263360" behindDoc="1" locked="0" layoutInCell="1" allowOverlap="1" wp14:anchorId="7CB266F7" wp14:editId="7CB266F8">
              <wp:simplePos x="0" y="0"/>
              <wp:positionH relativeFrom="page">
                <wp:posOffset>876604</wp:posOffset>
              </wp:positionH>
              <wp:positionV relativeFrom="page">
                <wp:posOffset>10074682</wp:posOffset>
              </wp:positionV>
              <wp:extent cx="19812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180975"/>
                      </a:xfrm>
                      <a:prstGeom prst="rect">
                        <a:avLst/>
                      </a:prstGeom>
                    </wps:spPr>
                    <wps:txbx>
                      <w:txbxContent>
                        <w:p w14:paraId="7CB267AE"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vi</w:t>
                          </w:r>
                          <w:r>
                            <w:rPr>
                              <w:spacing w:val="-5"/>
                            </w:rPr>
                            <w:fldChar w:fldCharType="end"/>
                          </w:r>
                        </w:p>
                      </w:txbxContent>
                    </wps:txbx>
                    <wps:bodyPr wrap="square" lIns="0" tIns="0" rIns="0" bIns="0" rtlCol="0">
                      <a:noAutofit/>
                    </wps:bodyPr>
                  </wps:wsp>
                </a:graphicData>
              </a:graphic>
            </wp:anchor>
          </w:drawing>
        </mc:Choice>
        <mc:Fallback>
          <w:pict>
            <v:shapetype w14:anchorId="7CB266F7" id="_x0000_t202" coordsize="21600,21600" o:spt="202" path="m,l,21600r21600,l21600,xe">
              <v:stroke joinstyle="miter"/>
              <v:path gradientshapeok="t" o:connecttype="rect"/>
            </v:shapetype>
            <v:shape id="Textbox 9" o:spid="_x0000_s1055" type="#_x0000_t202" style="position:absolute;margin-left:69pt;margin-top:793.3pt;width:15.6pt;height:14.25pt;z-index:-180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" filled="f" stroked="f">
              <v:textbox inset="0,0,0,0">
                <w:txbxContent>
                  <w:p w14:paraId="7CB267AE"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vi</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F" w14:textId="77777777" w:rsidR="008A4099" w:rsidRDefault="006A6EE2">
    <w:pPr>
      <w:pStyle w:val="BodyText"/>
      <w:spacing w:line="14" w:lineRule="auto"/>
      <w:rPr>
        <w:sz w:val="20"/>
      </w:rPr>
    </w:pPr>
    <w:r>
      <w:rPr>
        <w:noProof/>
      </w:rPr>
      <mc:AlternateContent>
        <mc:Choice Requires="wps">
          <w:drawing>
            <wp:anchor distT="0" distB="0" distL="0" distR="0" simplePos="0" relativeHeight="485263872" behindDoc="1" locked="0" layoutInCell="1" allowOverlap="1" wp14:anchorId="7CB266F9" wp14:editId="7CB266FA">
              <wp:simplePos x="0" y="0"/>
              <wp:positionH relativeFrom="page">
                <wp:posOffset>6461505</wp:posOffset>
              </wp:positionH>
              <wp:positionV relativeFrom="page">
                <wp:posOffset>10074682</wp:posOffset>
              </wp:positionV>
              <wp:extent cx="237490"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80975"/>
                      </a:xfrm>
                      <a:prstGeom prst="rect">
                        <a:avLst/>
                      </a:prstGeom>
                    </wps:spPr>
                    <wps:txbx>
                      <w:txbxContent>
                        <w:p w14:paraId="7CB267AF"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wps:txbx>
                    <wps:bodyPr wrap="square" lIns="0" tIns="0" rIns="0" bIns="0" rtlCol="0">
                      <a:noAutofit/>
                    </wps:bodyPr>
                  </wps:wsp>
                </a:graphicData>
              </a:graphic>
            </wp:anchor>
          </w:drawing>
        </mc:Choice>
        <mc:Fallback>
          <w:pict>
            <v:shapetype w14:anchorId="7CB266F9" id="_x0000_t202" coordsize="21600,21600" o:spt="202" path="m,l,21600r21600,l21600,xe">
              <v:stroke joinstyle="miter"/>
              <v:path gradientshapeok="t" o:connecttype="rect"/>
            </v:shapetype>
            <v:shape id="Textbox 10" o:spid="_x0000_s1056" type="#_x0000_t202" style="position:absolute;margin-left:508.8pt;margin-top:793.3pt;width:18.7pt;height:14.25pt;z-index:-180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" filled="f" stroked="f">
              <v:textbox inset="0,0,0,0">
                <w:txbxContent>
                  <w:p w14:paraId="7CB267AF"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1" w14:textId="77777777" w:rsidR="008A4099" w:rsidRDefault="006A6EE2">
    <w:pPr>
      <w:pStyle w:val="BodyText"/>
      <w:spacing w:line="14" w:lineRule="auto"/>
      <w:rPr>
        <w:sz w:val="20"/>
      </w:rPr>
    </w:pPr>
    <w:r>
      <w:rPr>
        <w:noProof/>
      </w:rPr>
      <mc:AlternateContent>
        <mc:Choice Requires="wps">
          <w:drawing>
            <wp:anchor distT="0" distB="0" distL="0" distR="0" simplePos="0" relativeHeight="485264384" behindDoc="1" locked="0" layoutInCell="1" allowOverlap="1" wp14:anchorId="7CB266FB" wp14:editId="7CB266FC">
              <wp:simplePos x="0" y="0"/>
              <wp:positionH relativeFrom="page">
                <wp:posOffset>876604</wp:posOffset>
              </wp:positionH>
              <wp:positionV relativeFrom="page">
                <wp:posOffset>10074682</wp:posOffset>
              </wp:positionV>
              <wp:extent cx="275590"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180975"/>
                      </a:xfrm>
                      <a:prstGeom prst="rect">
                        <a:avLst/>
                      </a:prstGeom>
                    </wps:spPr>
                    <wps:txbx>
                      <w:txbxContent>
                        <w:p w14:paraId="7CB267B0"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w14:anchorId="7CB266FB" id="_x0000_t202" coordsize="21600,21600" o:spt="202" path="m,l,21600r21600,l21600,xe">
              <v:stroke joinstyle="miter"/>
              <v:path gradientshapeok="t" o:connecttype="rect"/>
            </v:shapetype>
            <v:shape id="Textbox 11" o:spid="_x0000_s1057" type="#_x0000_t202" style="position:absolute;margin-left:69pt;margin-top:793.3pt;width:21.7pt;height:14.25pt;z-index:-180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" filled="f" stroked="f">
              <v:textbox inset="0,0,0,0">
                <w:txbxContent>
                  <w:p w14:paraId="7CB267B0" w14:textId="77777777" w:rsidR="008A4099" w:rsidRDefault="006A6EE2">
                    <w:pPr>
                      <w:pStyle w:val="BodyText"/>
                      <w:spacing w:before="11"/>
                      <w:ind w:left="6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2" w14:textId="77777777" w:rsidR="008A4099" w:rsidRDefault="006A6EE2">
    <w:pPr>
      <w:pStyle w:val="BodyText"/>
      <w:spacing w:line="14" w:lineRule="auto"/>
      <w:rPr>
        <w:sz w:val="20"/>
      </w:rPr>
    </w:pPr>
    <w:r>
      <w:rPr>
        <w:noProof/>
      </w:rPr>
      <mc:AlternateContent>
        <mc:Choice Requires="wps">
          <w:drawing>
            <wp:anchor distT="0" distB="0" distL="0" distR="0" simplePos="0" relativeHeight="485264896" behindDoc="1" locked="0" layoutInCell="1" allowOverlap="1" wp14:anchorId="7CB266FD" wp14:editId="7CB266FE">
              <wp:simplePos x="0" y="0"/>
              <wp:positionH relativeFrom="page">
                <wp:posOffset>6501129</wp:posOffset>
              </wp:positionH>
              <wp:positionV relativeFrom="page">
                <wp:posOffset>10074682</wp:posOffset>
              </wp:positionV>
              <wp:extent cx="199390" cy="1809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80975"/>
                      </a:xfrm>
                      <a:prstGeom prst="rect">
                        <a:avLst/>
                      </a:prstGeom>
                    </wps:spPr>
                    <wps:txbx>
                      <w:txbxContent>
                        <w:p w14:paraId="7CB267B1"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ix</w:t>
                          </w:r>
                          <w:r>
                            <w:rPr>
                              <w:spacing w:val="-5"/>
                            </w:rPr>
                            <w:fldChar w:fldCharType="end"/>
                          </w:r>
                        </w:p>
                      </w:txbxContent>
                    </wps:txbx>
                    <wps:bodyPr wrap="square" lIns="0" tIns="0" rIns="0" bIns="0" rtlCol="0">
                      <a:noAutofit/>
                    </wps:bodyPr>
                  </wps:wsp>
                </a:graphicData>
              </a:graphic>
            </wp:anchor>
          </w:drawing>
        </mc:Choice>
        <mc:Fallback>
          <w:pict>
            <v:shapetype w14:anchorId="7CB266FD" id="_x0000_t202" coordsize="21600,21600" o:spt="202" path="m,l,21600r21600,l21600,xe">
              <v:stroke joinstyle="miter"/>
              <v:path gradientshapeok="t" o:connecttype="rect"/>
            </v:shapetype>
            <v:shape id="Textbox 12" o:spid="_x0000_s1058" type="#_x0000_t202" style="position:absolute;margin-left:511.9pt;margin-top:793.3pt;width:15.7pt;height:14.25pt;z-index:-180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" filled="f" stroked="f">
              <v:textbox inset="0,0,0,0">
                <w:txbxContent>
                  <w:p w14:paraId="7CB267B1" w14:textId="77777777" w:rsidR="008A4099" w:rsidRDefault="006A6EE2">
                    <w:pPr>
                      <w:pStyle w:val="BodyText"/>
                      <w:spacing w:before="11"/>
                      <w:ind w:left="60"/>
                    </w:pPr>
                    <w:r>
                      <w:rPr>
                        <w:spacing w:val="-5"/>
                      </w:rPr>
                      <w:fldChar w:fldCharType="begin"/>
                    </w:r>
                    <w:r>
                      <w:rPr>
                        <w:spacing w:val="-5"/>
                      </w:rPr>
                      <w:instrText xml:space="preserve"> PAGE  \* roman </w:instrText>
                    </w:r>
                    <w:r>
                      <w:rPr>
                        <w:spacing w:val="-5"/>
                      </w:rPr>
                      <w:fldChar w:fldCharType="separate"/>
                    </w:r>
                    <w:r>
                      <w:rPr>
                        <w:spacing w:val="-5"/>
                      </w:rPr>
                      <w:t>ix</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9B2D2" w14:textId="77777777" w:rsidR="003866C8" w:rsidRDefault="003866C8">
      <w:r>
        <w:separator/>
      </w:r>
    </w:p>
  </w:footnote>
  <w:footnote w:type="continuationSeparator" w:id="0">
    <w:p w14:paraId="62D5A5A5" w14:textId="77777777" w:rsidR="003866C8" w:rsidRDefault="00386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8" w14:textId="77777777" w:rsidR="008A4099" w:rsidRDefault="006A6EE2">
    <w:pPr>
      <w:pStyle w:val="BodyText"/>
      <w:spacing w:line="14" w:lineRule="auto"/>
      <w:rPr>
        <w:sz w:val="20"/>
      </w:rPr>
    </w:pPr>
    <w:r>
      <w:rPr>
        <w:noProof/>
      </w:rPr>
      <mc:AlternateContent>
        <mc:Choice Requires="wps">
          <w:drawing>
            <wp:anchor distT="0" distB="0" distL="0" distR="0" simplePos="0" relativeHeight="485260800" behindDoc="1" locked="0" layoutInCell="1" allowOverlap="1" wp14:anchorId="7CB266ED" wp14:editId="7CB266EE">
              <wp:simplePos x="0" y="0"/>
              <wp:positionH relativeFrom="page">
                <wp:posOffset>902004</wp:posOffset>
              </wp:positionH>
              <wp:positionV relativeFrom="page">
                <wp:posOffset>910308</wp:posOffset>
              </wp:positionV>
              <wp:extent cx="3733800" cy="2501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0" cy="250190"/>
                      </a:xfrm>
                      <a:prstGeom prst="rect">
                        <a:avLst/>
                      </a:prstGeom>
                    </wps:spPr>
                    <wps:txbx>
                      <w:txbxContent>
                        <w:p w14:paraId="7CB267A9" w14:textId="77777777" w:rsidR="008A4099" w:rsidRDefault="006A6EE2">
                          <w:pPr>
                            <w:spacing w:before="5"/>
                            <w:ind w:left="20"/>
                            <w:rPr>
                              <w:b/>
                              <w:sz w:val="32"/>
                            </w:rPr>
                          </w:pPr>
                          <w:r>
                            <w:rPr>
                              <w:b/>
                              <w:sz w:val="32"/>
                            </w:rPr>
                            <w:t>About</w:t>
                          </w:r>
                          <w:r>
                            <w:rPr>
                              <w:b/>
                              <w:spacing w:val="-11"/>
                              <w:sz w:val="32"/>
                            </w:rPr>
                            <w:t xml:space="preserve"> </w:t>
                          </w:r>
                          <w:r>
                            <w:rPr>
                              <w:b/>
                              <w:sz w:val="32"/>
                            </w:rPr>
                            <w:t>the</w:t>
                          </w:r>
                          <w:r>
                            <w:rPr>
                              <w:b/>
                              <w:spacing w:val="-10"/>
                              <w:sz w:val="32"/>
                            </w:rPr>
                            <w:t xml:space="preserve"> </w:t>
                          </w:r>
                          <w:r>
                            <w:rPr>
                              <w:b/>
                              <w:sz w:val="32"/>
                            </w:rPr>
                            <w:t>Tasmania</w:t>
                          </w:r>
                          <w:r>
                            <w:rPr>
                              <w:b/>
                              <w:spacing w:val="-8"/>
                              <w:sz w:val="32"/>
                            </w:rPr>
                            <w:t xml:space="preserve"> </w:t>
                          </w:r>
                          <w:r>
                            <w:rPr>
                              <w:b/>
                              <w:sz w:val="32"/>
                            </w:rPr>
                            <w:t>Law</w:t>
                          </w:r>
                          <w:r>
                            <w:rPr>
                              <w:b/>
                              <w:spacing w:val="-9"/>
                              <w:sz w:val="32"/>
                            </w:rPr>
                            <w:t xml:space="preserve"> </w:t>
                          </w:r>
                          <w:r>
                            <w:rPr>
                              <w:b/>
                              <w:sz w:val="32"/>
                            </w:rPr>
                            <w:t>Reform</w:t>
                          </w:r>
                          <w:r>
                            <w:rPr>
                              <w:b/>
                              <w:spacing w:val="-7"/>
                              <w:sz w:val="32"/>
                            </w:rPr>
                            <w:t xml:space="preserve"> </w:t>
                          </w:r>
                          <w:r>
                            <w:rPr>
                              <w:b/>
                              <w:spacing w:val="-2"/>
                              <w:sz w:val="32"/>
                            </w:rPr>
                            <w:t>Institute</w:t>
                          </w:r>
                        </w:p>
                      </w:txbxContent>
                    </wps:txbx>
                    <wps:bodyPr wrap="square" lIns="0" tIns="0" rIns="0" bIns="0" rtlCol="0">
                      <a:noAutofit/>
                    </wps:bodyPr>
                  </wps:wsp>
                </a:graphicData>
              </a:graphic>
            </wp:anchor>
          </w:drawing>
        </mc:Choice>
        <mc:Fallback>
          <w:pict>
            <v:shapetype w14:anchorId="7CB266ED" id="_x0000_t202" coordsize="21600,21600" o:spt="202" path="m,l,21600r21600,l21600,xe">
              <v:stroke joinstyle="miter"/>
              <v:path gradientshapeok="t" o:connecttype="rect"/>
            </v:shapetype>
            <v:shape id="Textbox 4" o:spid="_x0000_s1050" type="#_x0000_t202" style="position:absolute;margin-left:71pt;margin-top:71.7pt;width:294pt;height:19.7pt;z-index:-180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" filled="f" stroked="f">
              <v:textbox inset="0,0,0,0">
                <w:txbxContent>
                  <w:p w14:paraId="7CB267A9" w14:textId="77777777" w:rsidR="008A4099" w:rsidRDefault="006A6EE2">
                    <w:pPr>
                      <w:spacing w:before="5"/>
                      <w:ind w:left="20"/>
                      <w:rPr>
                        <w:b/>
                        <w:sz w:val="32"/>
                      </w:rPr>
                    </w:pPr>
                    <w:r>
                      <w:rPr>
                        <w:b/>
                        <w:sz w:val="32"/>
                      </w:rPr>
                      <w:t>About</w:t>
                    </w:r>
                    <w:r>
                      <w:rPr>
                        <w:b/>
                        <w:spacing w:val="-11"/>
                        <w:sz w:val="32"/>
                      </w:rPr>
                      <w:t xml:space="preserve"> </w:t>
                    </w:r>
                    <w:r>
                      <w:rPr>
                        <w:b/>
                        <w:sz w:val="32"/>
                      </w:rPr>
                      <w:t>the</w:t>
                    </w:r>
                    <w:r>
                      <w:rPr>
                        <w:b/>
                        <w:spacing w:val="-10"/>
                        <w:sz w:val="32"/>
                      </w:rPr>
                      <w:t xml:space="preserve"> </w:t>
                    </w:r>
                    <w:r>
                      <w:rPr>
                        <w:b/>
                        <w:sz w:val="32"/>
                      </w:rPr>
                      <w:t>Tasmania</w:t>
                    </w:r>
                    <w:r>
                      <w:rPr>
                        <w:b/>
                        <w:spacing w:val="-8"/>
                        <w:sz w:val="32"/>
                      </w:rPr>
                      <w:t xml:space="preserve"> </w:t>
                    </w:r>
                    <w:r>
                      <w:rPr>
                        <w:b/>
                        <w:sz w:val="32"/>
                      </w:rPr>
                      <w:t>Law</w:t>
                    </w:r>
                    <w:r>
                      <w:rPr>
                        <w:b/>
                        <w:spacing w:val="-9"/>
                        <w:sz w:val="32"/>
                      </w:rPr>
                      <w:t xml:space="preserve"> </w:t>
                    </w:r>
                    <w:r>
                      <w:rPr>
                        <w:b/>
                        <w:sz w:val="32"/>
                      </w:rPr>
                      <w:t>Reform</w:t>
                    </w:r>
                    <w:r>
                      <w:rPr>
                        <w:b/>
                        <w:spacing w:val="-7"/>
                        <w:sz w:val="32"/>
                      </w:rPr>
                      <w:t xml:space="preserve"> </w:t>
                    </w:r>
                    <w:r>
                      <w:rPr>
                        <w:b/>
                        <w:spacing w:val="-2"/>
                        <w:sz w:val="32"/>
                      </w:rPr>
                      <w:t>Institute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9" w14:textId="77777777" w:rsidR="008A4099" w:rsidRDefault="008A4099">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C" w14:textId="77777777" w:rsidR="008A4099" w:rsidRDefault="008A4099">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D" w14:textId="77777777" w:rsidR="008A4099" w:rsidRDefault="006A6EE2">
    <w:pPr>
      <w:pStyle w:val="BodyText"/>
      <w:spacing w:line="14" w:lineRule="auto"/>
      <w:rPr>
        <w:sz w:val="20"/>
      </w:rPr>
    </w:pPr>
    <w:r>
      <w:rPr>
        <w:noProof/>
      </w:rPr>
      <mc:AlternateContent>
        <mc:Choice Requires="wps">
          <w:drawing>
            <wp:anchor distT="0" distB="0" distL="0" distR="0" simplePos="0" relativeHeight="485268992" behindDoc="1" locked="0" layoutInCell="1" allowOverlap="1" wp14:anchorId="7CB26709" wp14:editId="7CB2670A">
              <wp:simplePos x="0" y="0"/>
              <wp:positionH relativeFrom="page">
                <wp:posOffset>896416</wp:posOffset>
              </wp:positionH>
              <wp:positionV relativeFrom="page">
                <wp:posOffset>623315</wp:posOffset>
              </wp:positionV>
              <wp:extent cx="576961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6BC773" id="Graphic 20" o:spid="_x0000_s1026" style="position:absolute;margin-left:70.6pt;margin-top:49.1pt;width:454.3pt;height:.5pt;z-index:-18047488;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69504" behindDoc="1" locked="0" layoutInCell="1" allowOverlap="1" wp14:anchorId="7CB2670B" wp14:editId="7CB2670C">
              <wp:simplePos x="0" y="0"/>
              <wp:positionH relativeFrom="page">
                <wp:posOffset>902004</wp:posOffset>
              </wp:positionH>
              <wp:positionV relativeFrom="page">
                <wp:posOffset>443002</wp:posOffset>
              </wp:positionV>
              <wp:extent cx="1131570" cy="1809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1570" cy="180975"/>
                      </a:xfrm>
                      <a:prstGeom prst="rect">
                        <a:avLst/>
                      </a:prstGeom>
                    </wps:spPr>
                    <wps:txbx>
                      <w:txbxContent>
                        <w:p w14:paraId="7CB267B8" w14:textId="77777777" w:rsidR="008A4099" w:rsidRDefault="006A6EE2">
                          <w:pPr>
                            <w:spacing w:before="11"/>
                            <w:ind w:left="20"/>
                            <w:rPr>
                              <w:i/>
                            </w:rPr>
                          </w:pPr>
                          <w:r>
                            <w:rPr>
                              <w:i/>
                            </w:rPr>
                            <w:t>Executive</w:t>
                          </w:r>
                          <w:r>
                            <w:rPr>
                              <w:i/>
                              <w:spacing w:val="-4"/>
                            </w:rPr>
                            <w:t xml:space="preserve"> </w:t>
                          </w:r>
                          <w:r>
                            <w:rPr>
                              <w:i/>
                              <w:spacing w:val="-2"/>
                            </w:rPr>
                            <w:t>Summary</w:t>
                          </w:r>
                        </w:p>
                      </w:txbxContent>
                    </wps:txbx>
                    <wps:bodyPr wrap="square" lIns="0" tIns="0" rIns="0" bIns="0" rtlCol="0">
                      <a:noAutofit/>
                    </wps:bodyPr>
                  </wps:wsp>
                </a:graphicData>
              </a:graphic>
            </wp:anchor>
          </w:drawing>
        </mc:Choice>
        <mc:Fallback>
          <w:pict>
            <v:shapetype w14:anchorId="7CB2670B" id="_x0000_t202" coordsize="21600,21600" o:spt="202" path="m,l,21600r21600,l21600,xe">
              <v:stroke joinstyle="miter"/>
              <v:path gradientshapeok="t" o:connecttype="rect"/>
            </v:shapetype>
            <v:shape id="Textbox 21" o:spid="_x0000_s1064" type="#_x0000_t202" style="position:absolute;margin-left:71pt;margin-top:34.9pt;width:89.1pt;height:14.25pt;z-index:-180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" filled="f" stroked="f">
              <v:textbox inset="0,0,0,0">
                <w:txbxContent>
                  <w:p w14:paraId="7CB267B8" w14:textId="77777777" w:rsidR="008A4099" w:rsidRDefault="006A6EE2">
                    <w:pPr>
                      <w:spacing w:before="11"/>
                      <w:ind w:left="20"/>
                      <w:rPr>
                        <w:i/>
                      </w:rPr>
                    </w:pPr>
                    <w:r>
                      <w:rPr>
                        <w:i/>
                      </w:rPr>
                      <w:t>Executive</w:t>
                    </w:r>
                    <w:r>
                      <w:rPr>
                        <w:i/>
                        <w:spacing w:val="-4"/>
                      </w:rPr>
                      <w:t xml:space="preserve"> </w:t>
                    </w:r>
                    <w:r>
                      <w:rPr>
                        <w:i/>
                        <w:spacing w:val="-2"/>
                      </w:rPr>
                      <w:t>Summary</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E" w14:textId="77777777" w:rsidR="008A4099" w:rsidRDefault="006A6EE2">
    <w:pPr>
      <w:pStyle w:val="BodyText"/>
      <w:spacing w:line="14" w:lineRule="auto"/>
      <w:rPr>
        <w:sz w:val="20"/>
      </w:rPr>
    </w:pPr>
    <w:r>
      <w:rPr>
        <w:noProof/>
      </w:rPr>
      <mc:AlternateContent>
        <mc:Choice Requires="wps">
          <w:drawing>
            <wp:anchor distT="0" distB="0" distL="0" distR="0" simplePos="0" relativeHeight="485267968" behindDoc="1" locked="0" layoutInCell="1" allowOverlap="1" wp14:anchorId="7CB2670D" wp14:editId="7CB2670E">
              <wp:simplePos x="0" y="0"/>
              <wp:positionH relativeFrom="page">
                <wp:posOffset>896416</wp:posOffset>
              </wp:positionH>
              <wp:positionV relativeFrom="page">
                <wp:posOffset>623315</wp:posOffset>
              </wp:positionV>
              <wp:extent cx="576961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1AE390" id="Graphic 18" o:spid="_x0000_s1026" style="position:absolute;margin-left:70.6pt;margin-top:49.1pt;width:454.3pt;height:.5pt;z-index:-18048512;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68480" behindDoc="1" locked="0" layoutInCell="1" allowOverlap="1" wp14:anchorId="7CB2670F" wp14:editId="7CB26710">
              <wp:simplePos x="0" y="0"/>
              <wp:positionH relativeFrom="page">
                <wp:posOffset>2185161</wp:posOffset>
              </wp:positionH>
              <wp:positionV relativeFrom="page">
                <wp:posOffset>443002</wp:posOffset>
              </wp:positionV>
              <wp:extent cx="4475480" cy="1809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5480" cy="180975"/>
                      </a:xfrm>
                      <a:prstGeom prst="rect">
                        <a:avLst/>
                      </a:prstGeom>
                    </wps:spPr>
                    <wps:txbx>
                      <w:txbxContent>
                        <w:p w14:paraId="7CB267B7" w14:textId="77777777" w:rsidR="008A4099" w:rsidRDefault="006A6EE2">
                          <w:pPr>
                            <w:spacing w:before="11"/>
                            <w:ind w:left="20"/>
                            <w:rPr>
                              <w:i/>
                            </w:rPr>
                          </w:pPr>
                          <w:r>
                            <w:rPr>
                              <w:i/>
                            </w:rPr>
                            <w:t>A</w:t>
                          </w:r>
                          <w:r>
                            <w:rPr>
                              <w:i/>
                              <w:spacing w:val="-5"/>
                            </w:rPr>
                            <w:t xml:space="preserve"> </w:t>
                          </w:r>
                          <w:r>
                            <w:rPr>
                              <w:i/>
                            </w:rPr>
                            <w:t>Charter</w:t>
                          </w:r>
                          <w:r>
                            <w:rPr>
                              <w:i/>
                              <w:spacing w:val="-2"/>
                            </w:rPr>
                            <w:t xml:space="preserve"> </w:t>
                          </w:r>
                          <w:r>
                            <w:rPr>
                              <w:i/>
                            </w:rPr>
                            <w:t>of</w:t>
                          </w:r>
                          <w:r>
                            <w:rPr>
                              <w:i/>
                              <w:spacing w:val="-2"/>
                            </w:rPr>
                            <w:t xml:space="preserve"> </w:t>
                          </w:r>
                          <w:r>
                            <w:rPr>
                              <w:i/>
                            </w:rPr>
                            <w:t>Human</w:t>
                          </w:r>
                          <w:r>
                            <w:rPr>
                              <w:i/>
                              <w:spacing w:val="-2"/>
                            </w:rPr>
                            <w:t xml:space="preserve"> </w:t>
                          </w:r>
                          <w:r>
                            <w:rPr>
                              <w:i/>
                            </w:rPr>
                            <w:t>Rights</w:t>
                          </w:r>
                          <w:r>
                            <w:rPr>
                              <w:i/>
                              <w:spacing w:val="-4"/>
                            </w:rPr>
                            <w:t xml:space="preserve"> </w:t>
                          </w:r>
                          <w:r>
                            <w:rPr>
                              <w:i/>
                            </w:rPr>
                            <w:t>for</w:t>
                          </w:r>
                          <w:r>
                            <w:rPr>
                              <w:i/>
                              <w:spacing w:val="-3"/>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4"/>
                            </w:rPr>
                            <w:t xml:space="preserve"> </w:t>
                          </w:r>
                          <w:r>
                            <w:rPr>
                              <w:i/>
                            </w:rPr>
                            <w:t>Paper</w:t>
                          </w:r>
                          <w:r>
                            <w:rPr>
                              <w:i/>
                              <w:spacing w:val="-3"/>
                            </w:rPr>
                            <w:t xml:space="preserve"> </w:t>
                          </w:r>
                          <w:r>
                            <w:rPr>
                              <w:i/>
                            </w:rPr>
                            <w:t>No</w:t>
                          </w:r>
                          <w:r>
                            <w:rPr>
                              <w:i/>
                              <w:spacing w:val="-2"/>
                            </w:rPr>
                            <w:t xml:space="preserve"> </w:t>
                          </w:r>
                          <w:r>
                            <w:rPr>
                              <w:i/>
                              <w:spacing w:val="-10"/>
                            </w:rPr>
                            <w:t>6</w:t>
                          </w:r>
                        </w:p>
                      </w:txbxContent>
                    </wps:txbx>
                    <wps:bodyPr wrap="square" lIns="0" tIns="0" rIns="0" bIns="0" rtlCol="0">
                      <a:noAutofit/>
                    </wps:bodyPr>
                  </wps:wsp>
                </a:graphicData>
              </a:graphic>
            </wp:anchor>
          </w:drawing>
        </mc:Choice>
        <mc:Fallback>
          <w:pict>
            <v:shapetype w14:anchorId="7CB2670F" id="_x0000_t202" coordsize="21600,21600" o:spt="202" path="m,l,21600r21600,l21600,xe">
              <v:stroke joinstyle="miter"/>
              <v:path gradientshapeok="t" o:connecttype="rect"/>
            </v:shapetype>
            <v:shape id="Textbox 19" o:spid="_x0000_s1065" type="#_x0000_t202" style="position:absolute;margin-left:172.05pt;margin-top:34.9pt;width:352.4pt;height:14.25pt;z-index:-180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" filled="f" stroked="f">
              <v:textbox inset="0,0,0,0">
                <w:txbxContent>
                  <w:p w14:paraId="7CB267B7" w14:textId="77777777" w:rsidR="008A4099" w:rsidRDefault="006A6EE2">
                    <w:pPr>
                      <w:spacing w:before="11"/>
                      <w:ind w:left="20"/>
                      <w:rPr>
                        <w:i/>
                      </w:rPr>
                    </w:pPr>
                    <w:r>
                      <w:rPr>
                        <w:i/>
                      </w:rPr>
                      <w:t>A</w:t>
                    </w:r>
                    <w:r>
                      <w:rPr>
                        <w:i/>
                        <w:spacing w:val="-5"/>
                      </w:rPr>
                      <w:t xml:space="preserve"> </w:t>
                    </w:r>
                    <w:r>
                      <w:rPr>
                        <w:i/>
                      </w:rPr>
                      <w:t>Charter</w:t>
                    </w:r>
                    <w:r>
                      <w:rPr>
                        <w:i/>
                        <w:spacing w:val="-2"/>
                      </w:rPr>
                      <w:t xml:space="preserve"> </w:t>
                    </w:r>
                    <w:r>
                      <w:rPr>
                        <w:i/>
                      </w:rPr>
                      <w:t>of</w:t>
                    </w:r>
                    <w:r>
                      <w:rPr>
                        <w:i/>
                        <w:spacing w:val="-2"/>
                      </w:rPr>
                      <w:t xml:space="preserve"> </w:t>
                    </w:r>
                    <w:r>
                      <w:rPr>
                        <w:i/>
                      </w:rPr>
                      <w:t>Human</w:t>
                    </w:r>
                    <w:r>
                      <w:rPr>
                        <w:i/>
                        <w:spacing w:val="-2"/>
                      </w:rPr>
                      <w:t xml:space="preserve"> </w:t>
                    </w:r>
                    <w:r>
                      <w:rPr>
                        <w:i/>
                      </w:rPr>
                      <w:t>Rights</w:t>
                    </w:r>
                    <w:r>
                      <w:rPr>
                        <w:i/>
                        <w:spacing w:val="-4"/>
                      </w:rPr>
                      <w:t xml:space="preserve"> </w:t>
                    </w:r>
                    <w:r>
                      <w:rPr>
                        <w:i/>
                      </w:rPr>
                      <w:t>for</w:t>
                    </w:r>
                    <w:r>
                      <w:rPr>
                        <w:i/>
                        <w:spacing w:val="-3"/>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4"/>
                      </w:rPr>
                      <w:t xml:space="preserve"> </w:t>
                    </w:r>
                    <w:r>
                      <w:rPr>
                        <w:i/>
                      </w:rPr>
                      <w:t>Paper</w:t>
                    </w:r>
                    <w:r>
                      <w:rPr>
                        <w:i/>
                        <w:spacing w:val="-3"/>
                      </w:rPr>
                      <w:t xml:space="preserve"> </w:t>
                    </w:r>
                    <w:r>
                      <w:rPr>
                        <w:i/>
                      </w:rPr>
                      <w:t>No</w:t>
                    </w:r>
                    <w:r>
                      <w:rPr>
                        <w:i/>
                        <w:spacing w:val="-2"/>
                      </w:rPr>
                      <w:t xml:space="preserve"> </w:t>
                    </w:r>
                    <w:r>
                      <w:rPr>
                        <w:i/>
                        <w:spacing w:val="-10"/>
                      </w:rPr>
                      <w:t>6</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1" w14:textId="77777777" w:rsidR="008A4099" w:rsidRDefault="006A6EE2">
    <w:pPr>
      <w:pStyle w:val="BodyText"/>
      <w:spacing w:line="14" w:lineRule="auto"/>
      <w:rPr>
        <w:sz w:val="20"/>
      </w:rPr>
    </w:pPr>
    <w:r>
      <w:rPr>
        <w:noProof/>
      </w:rPr>
      <mc:AlternateContent>
        <mc:Choice Requires="wps">
          <w:drawing>
            <wp:anchor distT="0" distB="0" distL="0" distR="0" simplePos="0" relativeHeight="485272064" behindDoc="1" locked="0" layoutInCell="1" allowOverlap="1" wp14:anchorId="7CB26715" wp14:editId="7CB26716">
              <wp:simplePos x="0" y="0"/>
              <wp:positionH relativeFrom="page">
                <wp:posOffset>896416</wp:posOffset>
              </wp:positionH>
              <wp:positionV relativeFrom="page">
                <wp:posOffset>623315</wp:posOffset>
              </wp:positionV>
              <wp:extent cx="576961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C6CACE" id="Graphic 32" o:spid="_x0000_s1026" style="position:absolute;margin-left:70.6pt;margin-top:49.1pt;width:454.3pt;height:.5pt;z-index:-18044416;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72576" behindDoc="1" locked="0" layoutInCell="1" allowOverlap="1" wp14:anchorId="7CB26717" wp14:editId="7CB26718">
              <wp:simplePos x="0" y="0"/>
              <wp:positionH relativeFrom="page">
                <wp:posOffset>902004</wp:posOffset>
              </wp:positionH>
              <wp:positionV relativeFrom="page">
                <wp:posOffset>443002</wp:posOffset>
              </wp:positionV>
              <wp:extent cx="1136015" cy="1809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015" cy="180975"/>
                      </a:xfrm>
                      <a:prstGeom prst="rect">
                        <a:avLst/>
                      </a:prstGeom>
                    </wps:spPr>
                    <wps:txbx>
                      <w:txbxContent>
                        <w:p w14:paraId="7CB267BC" w14:textId="77777777" w:rsidR="008A4099" w:rsidRDefault="006A6EE2">
                          <w:pPr>
                            <w:spacing w:before="11"/>
                            <w:ind w:left="20"/>
                            <w:rPr>
                              <w:i/>
                            </w:rPr>
                          </w:pPr>
                          <w:r>
                            <w:rPr>
                              <w:i/>
                            </w:rPr>
                            <w:t>Part</w:t>
                          </w:r>
                          <w:r>
                            <w:rPr>
                              <w:i/>
                              <w:spacing w:val="-2"/>
                            </w:rPr>
                            <w:t xml:space="preserve"> </w:t>
                          </w:r>
                          <w:r>
                            <w:rPr>
                              <w:i/>
                            </w:rPr>
                            <w:t>I:</w:t>
                          </w:r>
                          <w:r>
                            <w:rPr>
                              <w:i/>
                              <w:spacing w:val="-2"/>
                            </w:rPr>
                            <w:t xml:space="preserve"> Introduction</w:t>
                          </w:r>
                        </w:p>
                      </w:txbxContent>
                    </wps:txbx>
                    <wps:bodyPr wrap="square" lIns="0" tIns="0" rIns="0" bIns="0" rtlCol="0">
                      <a:noAutofit/>
                    </wps:bodyPr>
                  </wps:wsp>
                </a:graphicData>
              </a:graphic>
            </wp:anchor>
          </w:drawing>
        </mc:Choice>
        <mc:Fallback>
          <w:pict>
            <v:shapetype w14:anchorId="7CB26717" id="_x0000_t202" coordsize="21600,21600" o:spt="202" path="m,l,21600r21600,l21600,xe">
              <v:stroke joinstyle="miter"/>
              <v:path gradientshapeok="t" o:connecttype="rect"/>
            </v:shapetype>
            <v:shape id="Textbox 33" o:spid="_x0000_s1068" type="#_x0000_t202" style="position:absolute;margin-left:71pt;margin-top:34.9pt;width:89.45pt;height:14.25pt;z-index:-180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" filled="f" stroked="f">
              <v:textbox inset="0,0,0,0">
                <w:txbxContent>
                  <w:p w14:paraId="7CB267BC" w14:textId="77777777" w:rsidR="008A4099" w:rsidRDefault="006A6EE2">
                    <w:pPr>
                      <w:spacing w:before="11"/>
                      <w:ind w:left="20"/>
                      <w:rPr>
                        <w:i/>
                      </w:rPr>
                    </w:pPr>
                    <w:r>
                      <w:rPr>
                        <w:i/>
                      </w:rPr>
                      <w:t>Part</w:t>
                    </w:r>
                    <w:r>
                      <w:rPr>
                        <w:i/>
                        <w:spacing w:val="-2"/>
                      </w:rPr>
                      <w:t xml:space="preserve"> </w:t>
                    </w:r>
                    <w:r>
                      <w:rPr>
                        <w:i/>
                      </w:rPr>
                      <w:t>I:</w:t>
                    </w:r>
                    <w:r>
                      <w:rPr>
                        <w:i/>
                        <w:spacing w:val="-2"/>
                      </w:rPr>
                      <w:t xml:space="preserve"> Introduction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2" w14:textId="77777777" w:rsidR="008A4099" w:rsidRDefault="006A6EE2">
    <w:pPr>
      <w:pStyle w:val="BodyText"/>
      <w:spacing w:line="14" w:lineRule="auto"/>
      <w:rPr>
        <w:sz w:val="20"/>
      </w:rPr>
    </w:pPr>
    <w:r>
      <w:rPr>
        <w:noProof/>
      </w:rPr>
      <mc:AlternateContent>
        <mc:Choice Requires="wps">
          <w:drawing>
            <wp:anchor distT="0" distB="0" distL="0" distR="0" simplePos="0" relativeHeight="485271040" behindDoc="1" locked="0" layoutInCell="1" allowOverlap="1" wp14:anchorId="7CB26719" wp14:editId="7CB2671A">
              <wp:simplePos x="0" y="0"/>
              <wp:positionH relativeFrom="page">
                <wp:posOffset>896416</wp:posOffset>
              </wp:positionH>
              <wp:positionV relativeFrom="page">
                <wp:posOffset>623315</wp:posOffset>
              </wp:positionV>
              <wp:extent cx="5769610" cy="63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E3E406" id="Graphic 30" o:spid="_x0000_s1026" style="position:absolute;margin-left:70.6pt;margin-top:49.1pt;width:454.3pt;height:.5pt;z-index:-18045440;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71552" behindDoc="1" locked="0" layoutInCell="1" allowOverlap="1" wp14:anchorId="7CB2671B" wp14:editId="7CB2671C">
              <wp:simplePos x="0" y="0"/>
              <wp:positionH relativeFrom="page">
                <wp:posOffset>2185161</wp:posOffset>
              </wp:positionH>
              <wp:positionV relativeFrom="page">
                <wp:posOffset>443002</wp:posOffset>
              </wp:positionV>
              <wp:extent cx="4475480" cy="18097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5480" cy="180975"/>
                      </a:xfrm>
                      <a:prstGeom prst="rect">
                        <a:avLst/>
                      </a:prstGeom>
                    </wps:spPr>
                    <wps:txbx>
                      <w:txbxContent>
                        <w:p w14:paraId="7CB267BB" w14:textId="77777777" w:rsidR="008A4099" w:rsidRDefault="006A6EE2">
                          <w:pPr>
                            <w:spacing w:before="11"/>
                            <w:ind w:left="20"/>
                            <w:rPr>
                              <w:i/>
                            </w:rPr>
                          </w:pPr>
                          <w:r>
                            <w:rPr>
                              <w:i/>
                            </w:rPr>
                            <w:t>A</w:t>
                          </w:r>
                          <w:r>
                            <w:rPr>
                              <w:i/>
                              <w:spacing w:val="-5"/>
                            </w:rPr>
                            <w:t xml:space="preserve"> </w:t>
                          </w:r>
                          <w:r>
                            <w:rPr>
                              <w:i/>
                            </w:rPr>
                            <w:t>Charter</w:t>
                          </w:r>
                          <w:r>
                            <w:rPr>
                              <w:i/>
                              <w:spacing w:val="-2"/>
                            </w:rPr>
                            <w:t xml:space="preserve"> </w:t>
                          </w:r>
                          <w:r>
                            <w:rPr>
                              <w:i/>
                            </w:rPr>
                            <w:t>of</w:t>
                          </w:r>
                          <w:r>
                            <w:rPr>
                              <w:i/>
                              <w:spacing w:val="-2"/>
                            </w:rPr>
                            <w:t xml:space="preserve"> </w:t>
                          </w:r>
                          <w:r>
                            <w:rPr>
                              <w:i/>
                            </w:rPr>
                            <w:t>Human</w:t>
                          </w:r>
                          <w:r>
                            <w:rPr>
                              <w:i/>
                              <w:spacing w:val="-2"/>
                            </w:rPr>
                            <w:t xml:space="preserve"> </w:t>
                          </w:r>
                          <w:r>
                            <w:rPr>
                              <w:i/>
                            </w:rPr>
                            <w:t>Rights</w:t>
                          </w:r>
                          <w:r>
                            <w:rPr>
                              <w:i/>
                              <w:spacing w:val="-4"/>
                            </w:rPr>
                            <w:t xml:space="preserve"> </w:t>
                          </w:r>
                          <w:r>
                            <w:rPr>
                              <w:i/>
                            </w:rPr>
                            <w:t>for</w:t>
                          </w:r>
                          <w:r>
                            <w:rPr>
                              <w:i/>
                              <w:spacing w:val="-3"/>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4"/>
                            </w:rPr>
                            <w:t xml:space="preserve"> </w:t>
                          </w:r>
                          <w:r>
                            <w:rPr>
                              <w:i/>
                            </w:rPr>
                            <w:t>Paper</w:t>
                          </w:r>
                          <w:r>
                            <w:rPr>
                              <w:i/>
                              <w:spacing w:val="-3"/>
                            </w:rPr>
                            <w:t xml:space="preserve"> </w:t>
                          </w:r>
                          <w:r>
                            <w:rPr>
                              <w:i/>
                            </w:rPr>
                            <w:t>No</w:t>
                          </w:r>
                          <w:r>
                            <w:rPr>
                              <w:i/>
                              <w:spacing w:val="-2"/>
                            </w:rPr>
                            <w:t xml:space="preserve"> </w:t>
                          </w:r>
                          <w:r>
                            <w:rPr>
                              <w:i/>
                              <w:spacing w:val="-10"/>
                            </w:rPr>
                            <w:t>6</w:t>
                          </w:r>
                        </w:p>
                      </w:txbxContent>
                    </wps:txbx>
                    <wps:bodyPr wrap="square" lIns="0" tIns="0" rIns="0" bIns="0" rtlCol="0">
                      <a:noAutofit/>
                    </wps:bodyPr>
                  </wps:wsp>
                </a:graphicData>
              </a:graphic>
            </wp:anchor>
          </w:drawing>
        </mc:Choice>
        <mc:Fallback>
          <w:pict>
            <v:shapetype w14:anchorId="7CB2671B" id="_x0000_t202" coordsize="21600,21600" o:spt="202" path="m,l,21600r21600,l21600,xe">
              <v:stroke joinstyle="miter"/>
              <v:path gradientshapeok="t" o:connecttype="rect"/>
            </v:shapetype>
            <v:shape id="Textbox 31" o:spid="_x0000_s1069" type="#_x0000_t202" style="position:absolute;margin-left:172.05pt;margin-top:34.9pt;width:352.4pt;height:14.25pt;z-index:-180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" filled="f" stroked="f">
              <v:textbox inset="0,0,0,0">
                <w:txbxContent>
                  <w:p w14:paraId="7CB267BB" w14:textId="77777777" w:rsidR="008A4099" w:rsidRDefault="006A6EE2">
                    <w:pPr>
                      <w:spacing w:before="11"/>
                      <w:ind w:left="20"/>
                      <w:rPr>
                        <w:i/>
                      </w:rPr>
                    </w:pPr>
                    <w:r>
                      <w:rPr>
                        <w:i/>
                      </w:rPr>
                      <w:t>A</w:t>
                    </w:r>
                    <w:r>
                      <w:rPr>
                        <w:i/>
                        <w:spacing w:val="-5"/>
                      </w:rPr>
                      <w:t xml:space="preserve"> </w:t>
                    </w:r>
                    <w:r>
                      <w:rPr>
                        <w:i/>
                      </w:rPr>
                      <w:t>Charter</w:t>
                    </w:r>
                    <w:r>
                      <w:rPr>
                        <w:i/>
                        <w:spacing w:val="-2"/>
                      </w:rPr>
                      <w:t xml:space="preserve"> </w:t>
                    </w:r>
                    <w:r>
                      <w:rPr>
                        <w:i/>
                      </w:rPr>
                      <w:t>of</w:t>
                    </w:r>
                    <w:r>
                      <w:rPr>
                        <w:i/>
                        <w:spacing w:val="-2"/>
                      </w:rPr>
                      <w:t xml:space="preserve"> </w:t>
                    </w:r>
                    <w:r>
                      <w:rPr>
                        <w:i/>
                      </w:rPr>
                      <w:t>Human</w:t>
                    </w:r>
                    <w:r>
                      <w:rPr>
                        <w:i/>
                        <w:spacing w:val="-2"/>
                      </w:rPr>
                      <w:t xml:space="preserve"> </w:t>
                    </w:r>
                    <w:r>
                      <w:rPr>
                        <w:i/>
                      </w:rPr>
                      <w:t>Rights</w:t>
                    </w:r>
                    <w:r>
                      <w:rPr>
                        <w:i/>
                        <w:spacing w:val="-4"/>
                      </w:rPr>
                      <w:t xml:space="preserve"> </w:t>
                    </w:r>
                    <w:r>
                      <w:rPr>
                        <w:i/>
                      </w:rPr>
                      <w:t>for</w:t>
                    </w:r>
                    <w:r>
                      <w:rPr>
                        <w:i/>
                        <w:spacing w:val="-3"/>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4"/>
                      </w:rPr>
                      <w:t xml:space="preserve"> </w:t>
                    </w:r>
                    <w:r>
                      <w:rPr>
                        <w:i/>
                      </w:rPr>
                      <w:t>Paper</w:t>
                    </w:r>
                    <w:r>
                      <w:rPr>
                        <w:i/>
                        <w:spacing w:val="-3"/>
                      </w:rPr>
                      <w:t xml:space="preserve"> </w:t>
                    </w:r>
                    <w:r>
                      <w:rPr>
                        <w:i/>
                      </w:rPr>
                      <w:t>No</w:t>
                    </w:r>
                    <w:r>
                      <w:rPr>
                        <w:i/>
                        <w:spacing w:val="-2"/>
                      </w:rPr>
                      <w:t xml:space="preserve"> </w:t>
                    </w:r>
                    <w:r>
                      <w:rPr>
                        <w:i/>
                        <w:spacing w:val="-10"/>
                      </w:rPr>
                      <w:t>6</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5" w14:textId="77777777" w:rsidR="008A4099" w:rsidRDefault="006A6EE2">
    <w:pPr>
      <w:pStyle w:val="BodyText"/>
      <w:spacing w:line="14" w:lineRule="auto"/>
      <w:rPr>
        <w:sz w:val="20"/>
      </w:rPr>
    </w:pPr>
    <w:r>
      <w:rPr>
        <w:noProof/>
      </w:rPr>
      <mc:AlternateContent>
        <mc:Choice Requires="wps">
          <w:drawing>
            <wp:anchor distT="0" distB="0" distL="0" distR="0" simplePos="0" relativeHeight="485274112" behindDoc="1" locked="0" layoutInCell="1" allowOverlap="1" wp14:anchorId="7CB26721" wp14:editId="7CB26722">
              <wp:simplePos x="0" y="0"/>
              <wp:positionH relativeFrom="page">
                <wp:posOffset>896416</wp:posOffset>
              </wp:positionH>
              <wp:positionV relativeFrom="page">
                <wp:posOffset>623315</wp:posOffset>
              </wp:positionV>
              <wp:extent cx="5769610" cy="63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A1020E" id="Graphic 43" o:spid="_x0000_s1026" style="position:absolute;margin-left:70.6pt;margin-top:49.1pt;width:454.3pt;height:.5pt;z-index:-18042368;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74624" behindDoc="1" locked="0" layoutInCell="1" allowOverlap="1" wp14:anchorId="7CB26723" wp14:editId="7CB26724">
              <wp:simplePos x="0" y="0"/>
              <wp:positionH relativeFrom="page">
                <wp:posOffset>902004</wp:posOffset>
              </wp:positionH>
              <wp:positionV relativeFrom="page">
                <wp:posOffset>443002</wp:posOffset>
              </wp:positionV>
              <wp:extent cx="2513330" cy="18097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3330" cy="180975"/>
                      </a:xfrm>
                      <a:prstGeom prst="rect">
                        <a:avLst/>
                      </a:prstGeom>
                    </wps:spPr>
                    <wps:txbx>
                      <w:txbxContent>
                        <w:p w14:paraId="7CB267BF" w14:textId="77777777" w:rsidR="008A4099" w:rsidRDefault="006A6EE2">
                          <w:pPr>
                            <w:spacing w:before="11"/>
                            <w:ind w:left="20"/>
                            <w:rPr>
                              <w:i/>
                            </w:rPr>
                          </w:pPr>
                          <w:r>
                            <w:rPr>
                              <w:i/>
                            </w:rPr>
                            <w:t>Part</w:t>
                          </w:r>
                          <w:r>
                            <w:rPr>
                              <w:i/>
                              <w:spacing w:val="-3"/>
                            </w:rPr>
                            <w:t xml:space="preserve"> </w:t>
                          </w:r>
                          <w:r>
                            <w:rPr>
                              <w:i/>
                            </w:rPr>
                            <w:t>2:</w:t>
                          </w:r>
                          <w:r>
                            <w:rPr>
                              <w:i/>
                              <w:spacing w:val="-2"/>
                            </w:rPr>
                            <w:t xml:space="preserve"> </w:t>
                          </w:r>
                          <w:r>
                            <w:rPr>
                              <w:i/>
                            </w:rPr>
                            <w:t>Developments</w:t>
                          </w:r>
                          <w:r>
                            <w:rPr>
                              <w:i/>
                              <w:spacing w:val="-4"/>
                            </w:rPr>
                            <w:t xml:space="preserve"> </w:t>
                          </w:r>
                          <w:r>
                            <w:rPr>
                              <w:i/>
                            </w:rPr>
                            <w:t>in</w:t>
                          </w:r>
                          <w:r>
                            <w:rPr>
                              <w:i/>
                              <w:spacing w:val="-3"/>
                            </w:rPr>
                            <w:t xml:space="preserve"> </w:t>
                          </w:r>
                          <w:r>
                            <w:rPr>
                              <w:i/>
                            </w:rPr>
                            <w:t>Other</w:t>
                          </w:r>
                          <w:r>
                            <w:rPr>
                              <w:i/>
                              <w:spacing w:val="-3"/>
                            </w:rPr>
                            <w:t xml:space="preserve"> </w:t>
                          </w:r>
                          <w:r>
                            <w:rPr>
                              <w:i/>
                              <w:spacing w:val="-2"/>
                            </w:rPr>
                            <w:t>Jurisdictions</w:t>
                          </w:r>
                        </w:p>
                      </w:txbxContent>
                    </wps:txbx>
                    <wps:bodyPr wrap="square" lIns="0" tIns="0" rIns="0" bIns="0" rtlCol="0">
                      <a:noAutofit/>
                    </wps:bodyPr>
                  </wps:wsp>
                </a:graphicData>
              </a:graphic>
            </wp:anchor>
          </w:drawing>
        </mc:Choice>
        <mc:Fallback>
          <w:pict>
            <v:shapetype w14:anchorId="7CB26723" id="_x0000_t202" coordsize="21600,21600" o:spt="202" path="m,l,21600r21600,l21600,xe">
              <v:stroke joinstyle="miter"/>
              <v:path gradientshapeok="t" o:connecttype="rect"/>
            </v:shapetype>
            <v:shape id="Textbox 44" o:spid="_x0000_s1072" type="#_x0000_t202" style="position:absolute;margin-left:71pt;margin-top:34.9pt;width:197.9pt;height:14.25pt;z-index:-180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" filled="f" stroked="f">
              <v:textbox inset="0,0,0,0">
                <w:txbxContent>
                  <w:p w14:paraId="7CB267BF" w14:textId="77777777" w:rsidR="008A4099" w:rsidRDefault="006A6EE2">
                    <w:pPr>
                      <w:spacing w:before="11"/>
                      <w:ind w:left="20"/>
                      <w:rPr>
                        <w:i/>
                      </w:rPr>
                    </w:pPr>
                    <w:r>
                      <w:rPr>
                        <w:i/>
                      </w:rPr>
                      <w:t>Part</w:t>
                    </w:r>
                    <w:r>
                      <w:rPr>
                        <w:i/>
                        <w:spacing w:val="-3"/>
                      </w:rPr>
                      <w:t xml:space="preserve"> </w:t>
                    </w:r>
                    <w:r>
                      <w:rPr>
                        <w:i/>
                      </w:rPr>
                      <w:t>2:</w:t>
                    </w:r>
                    <w:r>
                      <w:rPr>
                        <w:i/>
                        <w:spacing w:val="-2"/>
                      </w:rPr>
                      <w:t xml:space="preserve"> </w:t>
                    </w:r>
                    <w:r>
                      <w:rPr>
                        <w:i/>
                      </w:rPr>
                      <w:t>Developments</w:t>
                    </w:r>
                    <w:r>
                      <w:rPr>
                        <w:i/>
                        <w:spacing w:val="-4"/>
                      </w:rPr>
                      <w:t xml:space="preserve"> </w:t>
                    </w:r>
                    <w:r>
                      <w:rPr>
                        <w:i/>
                      </w:rPr>
                      <w:t>in</w:t>
                    </w:r>
                    <w:r>
                      <w:rPr>
                        <w:i/>
                        <w:spacing w:val="-3"/>
                      </w:rPr>
                      <w:t xml:space="preserve"> </w:t>
                    </w:r>
                    <w:r>
                      <w:rPr>
                        <w:i/>
                      </w:rPr>
                      <w:t>Other</w:t>
                    </w:r>
                    <w:r>
                      <w:rPr>
                        <w:i/>
                        <w:spacing w:val="-3"/>
                      </w:rPr>
                      <w:t xml:space="preserve"> </w:t>
                    </w:r>
                    <w:r>
                      <w:rPr>
                        <w:i/>
                        <w:spacing w:val="-2"/>
                      </w:rPr>
                      <w:t>Jurisdictions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6" w14:textId="77777777" w:rsidR="008A4099" w:rsidRDefault="006A6EE2">
    <w:pPr>
      <w:pStyle w:val="BodyText"/>
      <w:spacing w:line="14" w:lineRule="auto"/>
      <w:rPr>
        <w:sz w:val="20"/>
      </w:rPr>
    </w:pPr>
    <w:r>
      <w:rPr>
        <w:noProof/>
      </w:rPr>
      <mc:AlternateContent>
        <mc:Choice Requires="wps">
          <w:drawing>
            <wp:anchor distT="0" distB="0" distL="0" distR="0" simplePos="0" relativeHeight="485275136" behindDoc="1" locked="0" layoutInCell="1" allowOverlap="1" wp14:anchorId="7CB26725" wp14:editId="7CB26726">
              <wp:simplePos x="0" y="0"/>
              <wp:positionH relativeFrom="page">
                <wp:posOffset>896416</wp:posOffset>
              </wp:positionH>
              <wp:positionV relativeFrom="page">
                <wp:posOffset>623315</wp:posOffset>
              </wp:positionV>
              <wp:extent cx="5769610" cy="63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EEB078" id="Graphic 45" o:spid="_x0000_s1026" style="position:absolute;margin-left:70.6pt;margin-top:49.1pt;width:454.3pt;height:.5pt;z-index:-18041344;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75648" behindDoc="1" locked="0" layoutInCell="1" allowOverlap="1" wp14:anchorId="7CB26727" wp14:editId="7CB26728">
              <wp:simplePos x="0" y="0"/>
              <wp:positionH relativeFrom="page">
                <wp:posOffset>2185161</wp:posOffset>
              </wp:positionH>
              <wp:positionV relativeFrom="page">
                <wp:posOffset>443002</wp:posOffset>
              </wp:positionV>
              <wp:extent cx="4474845" cy="18097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4845" cy="180975"/>
                      </a:xfrm>
                      <a:prstGeom prst="rect">
                        <a:avLst/>
                      </a:prstGeom>
                    </wps:spPr>
                    <wps:txbx>
                      <w:txbxContent>
                        <w:p w14:paraId="7CB267C0" w14:textId="77777777" w:rsidR="008A4099" w:rsidRDefault="006A6EE2">
                          <w:pPr>
                            <w:spacing w:before="11"/>
                            <w:ind w:left="20"/>
                            <w:rPr>
                              <w:i/>
                            </w:rPr>
                          </w:pPr>
                          <w:r>
                            <w:rPr>
                              <w:i/>
                            </w:rPr>
                            <w:t>A</w:t>
                          </w:r>
                          <w:r>
                            <w:rPr>
                              <w:i/>
                              <w:spacing w:val="-5"/>
                            </w:rPr>
                            <w:t xml:space="preserve"> </w:t>
                          </w:r>
                          <w:r>
                            <w:rPr>
                              <w:i/>
                            </w:rPr>
                            <w:t>Charter</w:t>
                          </w:r>
                          <w:r>
                            <w:rPr>
                              <w:i/>
                              <w:spacing w:val="-3"/>
                            </w:rPr>
                            <w:t xml:space="preserve"> </w:t>
                          </w:r>
                          <w:r>
                            <w:rPr>
                              <w:i/>
                            </w:rPr>
                            <w:t>of</w:t>
                          </w:r>
                          <w:r>
                            <w:rPr>
                              <w:i/>
                              <w:spacing w:val="-1"/>
                            </w:rPr>
                            <w:t xml:space="preserve"> </w:t>
                          </w:r>
                          <w:r>
                            <w:rPr>
                              <w:i/>
                            </w:rPr>
                            <w:t>Human</w:t>
                          </w:r>
                          <w:r>
                            <w:rPr>
                              <w:i/>
                              <w:spacing w:val="-3"/>
                            </w:rPr>
                            <w:t xml:space="preserve"> </w:t>
                          </w:r>
                          <w:r>
                            <w:rPr>
                              <w:i/>
                            </w:rPr>
                            <w:t>Rights</w:t>
                          </w:r>
                          <w:r>
                            <w:rPr>
                              <w:i/>
                              <w:spacing w:val="-4"/>
                            </w:rPr>
                            <w:t xml:space="preserve"> </w:t>
                          </w:r>
                          <w:r>
                            <w:rPr>
                              <w:i/>
                            </w:rPr>
                            <w:t>for</w:t>
                          </w:r>
                          <w:r>
                            <w:rPr>
                              <w:i/>
                              <w:spacing w:val="-2"/>
                            </w:rPr>
                            <w:t xml:space="preserve"> </w:t>
                          </w:r>
                          <w:r>
                            <w:rPr>
                              <w:i/>
                            </w:rPr>
                            <w:t>Tasmania?</w:t>
                          </w:r>
                          <w:r>
                            <w:rPr>
                              <w:i/>
                              <w:spacing w:val="-3"/>
                            </w:rPr>
                            <w:t xml:space="preserve"> </w:t>
                          </w:r>
                          <w:r>
                            <w:rPr>
                              <w:i/>
                            </w:rPr>
                            <w:t>Update:</w:t>
                          </w:r>
                          <w:r>
                            <w:rPr>
                              <w:i/>
                              <w:spacing w:val="-2"/>
                            </w:rPr>
                            <w:t xml:space="preserve"> </w:t>
                          </w:r>
                          <w:r>
                            <w:rPr>
                              <w:i/>
                            </w:rPr>
                            <w:t>TLRI</w:t>
                          </w:r>
                          <w:r>
                            <w:rPr>
                              <w:i/>
                              <w:spacing w:val="-2"/>
                            </w:rPr>
                            <w:t xml:space="preserve"> </w:t>
                          </w:r>
                          <w:r>
                            <w:rPr>
                              <w:i/>
                            </w:rPr>
                            <w:t>Research</w:t>
                          </w:r>
                          <w:r>
                            <w:rPr>
                              <w:i/>
                              <w:spacing w:val="-4"/>
                            </w:rPr>
                            <w:t xml:space="preserve"> </w:t>
                          </w:r>
                          <w:r>
                            <w:rPr>
                              <w:i/>
                            </w:rPr>
                            <w:t>Paper</w:t>
                          </w:r>
                          <w:r>
                            <w:rPr>
                              <w:i/>
                              <w:spacing w:val="-3"/>
                            </w:rPr>
                            <w:t xml:space="preserve"> </w:t>
                          </w:r>
                          <w:r>
                            <w:rPr>
                              <w:i/>
                            </w:rPr>
                            <w:t>No</w:t>
                          </w:r>
                          <w:r>
                            <w:rPr>
                              <w:i/>
                              <w:spacing w:val="-2"/>
                            </w:rPr>
                            <w:t xml:space="preserve"> </w:t>
                          </w:r>
                          <w:r>
                            <w:rPr>
                              <w:i/>
                              <w:spacing w:val="-10"/>
                            </w:rPr>
                            <w:t>6</w:t>
                          </w:r>
                        </w:p>
                      </w:txbxContent>
                    </wps:txbx>
                    <wps:bodyPr wrap="square" lIns="0" tIns="0" rIns="0" bIns="0" rtlCol="0">
                      <a:noAutofit/>
                    </wps:bodyPr>
                  </wps:wsp>
                </a:graphicData>
              </a:graphic>
            </wp:anchor>
          </w:drawing>
        </mc:Choice>
        <mc:Fallback>
          <w:pict>
            <v:shapetype w14:anchorId="7CB26727" id="_x0000_t202" coordsize="21600,21600" o:spt="202" path="m,l,21600r21600,l21600,xe">
              <v:stroke joinstyle="miter"/>
              <v:path gradientshapeok="t" o:connecttype="rect"/>
            </v:shapetype>
            <v:shape id="Textbox 46" o:spid="_x0000_s1073" type="#_x0000_t202" style="position:absolute;margin-left:172.05pt;margin-top:34.9pt;width:352.35pt;height:14.25pt;z-index:-180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" filled="f" stroked="f">
              <v:textbox inset="0,0,0,0">
                <w:txbxContent>
                  <w:p w14:paraId="7CB267C0" w14:textId="77777777" w:rsidR="008A4099" w:rsidRDefault="006A6EE2">
                    <w:pPr>
                      <w:spacing w:before="11"/>
                      <w:ind w:left="20"/>
                      <w:rPr>
                        <w:i/>
                      </w:rPr>
                    </w:pPr>
                    <w:r>
                      <w:rPr>
                        <w:i/>
                      </w:rPr>
                      <w:t>A</w:t>
                    </w:r>
                    <w:r>
                      <w:rPr>
                        <w:i/>
                        <w:spacing w:val="-5"/>
                      </w:rPr>
                      <w:t xml:space="preserve"> </w:t>
                    </w:r>
                    <w:r>
                      <w:rPr>
                        <w:i/>
                      </w:rPr>
                      <w:t>Charter</w:t>
                    </w:r>
                    <w:r>
                      <w:rPr>
                        <w:i/>
                        <w:spacing w:val="-3"/>
                      </w:rPr>
                      <w:t xml:space="preserve"> </w:t>
                    </w:r>
                    <w:r>
                      <w:rPr>
                        <w:i/>
                      </w:rPr>
                      <w:t>of</w:t>
                    </w:r>
                    <w:r>
                      <w:rPr>
                        <w:i/>
                        <w:spacing w:val="-1"/>
                      </w:rPr>
                      <w:t xml:space="preserve"> </w:t>
                    </w:r>
                    <w:r>
                      <w:rPr>
                        <w:i/>
                      </w:rPr>
                      <w:t>Human</w:t>
                    </w:r>
                    <w:r>
                      <w:rPr>
                        <w:i/>
                        <w:spacing w:val="-3"/>
                      </w:rPr>
                      <w:t xml:space="preserve"> </w:t>
                    </w:r>
                    <w:r>
                      <w:rPr>
                        <w:i/>
                      </w:rPr>
                      <w:t>Rights</w:t>
                    </w:r>
                    <w:r>
                      <w:rPr>
                        <w:i/>
                        <w:spacing w:val="-4"/>
                      </w:rPr>
                      <w:t xml:space="preserve"> </w:t>
                    </w:r>
                    <w:r>
                      <w:rPr>
                        <w:i/>
                      </w:rPr>
                      <w:t>for</w:t>
                    </w:r>
                    <w:r>
                      <w:rPr>
                        <w:i/>
                        <w:spacing w:val="-2"/>
                      </w:rPr>
                      <w:t xml:space="preserve"> </w:t>
                    </w:r>
                    <w:r>
                      <w:rPr>
                        <w:i/>
                      </w:rPr>
                      <w:t>Tasmania?</w:t>
                    </w:r>
                    <w:r>
                      <w:rPr>
                        <w:i/>
                        <w:spacing w:val="-3"/>
                      </w:rPr>
                      <w:t xml:space="preserve"> </w:t>
                    </w:r>
                    <w:r>
                      <w:rPr>
                        <w:i/>
                      </w:rPr>
                      <w:t>Update:</w:t>
                    </w:r>
                    <w:r>
                      <w:rPr>
                        <w:i/>
                        <w:spacing w:val="-2"/>
                      </w:rPr>
                      <w:t xml:space="preserve"> </w:t>
                    </w:r>
                    <w:r>
                      <w:rPr>
                        <w:i/>
                      </w:rPr>
                      <w:t>TLRI</w:t>
                    </w:r>
                    <w:r>
                      <w:rPr>
                        <w:i/>
                        <w:spacing w:val="-2"/>
                      </w:rPr>
                      <w:t xml:space="preserve"> </w:t>
                    </w:r>
                    <w:r>
                      <w:rPr>
                        <w:i/>
                      </w:rPr>
                      <w:t>Research</w:t>
                    </w:r>
                    <w:r>
                      <w:rPr>
                        <w:i/>
                        <w:spacing w:val="-4"/>
                      </w:rPr>
                      <w:t xml:space="preserve"> </w:t>
                    </w:r>
                    <w:r>
                      <w:rPr>
                        <w:i/>
                      </w:rPr>
                      <w:t>Paper</w:t>
                    </w:r>
                    <w:r>
                      <w:rPr>
                        <w:i/>
                        <w:spacing w:val="-3"/>
                      </w:rPr>
                      <w:t xml:space="preserve"> </w:t>
                    </w:r>
                    <w:r>
                      <w:rPr>
                        <w:i/>
                      </w:rPr>
                      <w:t>No</w:t>
                    </w:r>
                    <w:r>
                      <w:rPr>
                        <w:i/>
                        <w:spacing w:val="-2"/>
                      </w:rPr>
                      <w:t xml:space="preserve"> </w:t>
                    </w:r>
                    <w:r>
                      <w:rPr>
                        <w:i/>
                        <w:spacing w:val="-10"/>
                      </w:rPr>
                      <w:t>6</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9" w14:textId="77777777" w:rsidR="008A4099" w:rsidRDefault="006A6EE2">
    <w:pPr>
      <w:pStyle w:val="BodyText"/>
      <w:spacing w:line="14" w:lineRule="auto"/>
      <w:rPr>
        <w:sz w:val="20"/>
      </w:rPr>
    </w:pPr>
    <w:r>
      <w:rPr>
        <w:noProof/>
      </w:rPr>
      <mc:AlternateContent>
        <mc:Choice Requires="wps">
          <w:drawing>
            <wp:anchor distT="0" distB="0" distL="0" distR="0" simplePos="0" relativeHeight="485277184" behindDoc="1" locked="0" layoutInCell="1" allowOverlap="1" wp14:anchorId="7CB2672D" wp14:editId="7CB2672E">
              <wp:simplePos x="0" y="0"/>
              <wp:positionH relativeFrom="page">
                <wp:posOffset>896416</wp:posOffset>
              </wp:positionH>
              <wp:positionV relativeFrom="page">
                <wp:posOffset>623315</wp:posOffset>
              </wp:positionV>
              <wp:extent cx="5769610" cy="635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F619D9" id="Graphic 58" o:spid="_x0000_s1026" style="position:absolute;margin-left:70.6pt;margin-top:49.1pt;width:454.3pt;height:.5pt;z-index:-18039296;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77696" behindDoc="1" locked="0" layoutInCell="1" allowOverlap="1" wp14:anchorId="7CB2672F" wp14:editId="7CB26730">
              <wp:simplePos x="0" y="0"/>
              <wp:positionH relativeFrom="page">
                <wp:posOffset>902004</wp:posOffset>
              </wp:positionH>
              <wp:positionV relativeFrom="page">
                <wp:posOffset>443002</wp:posOffset>
              </wp:positionV>
              <wp:extent cx="4284980" cy="18097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4980" cy="180975"/>
                      </a:xfrm>
                      <a:prstGeom prst="rect">
                        <a:avLst/>
                      </a:prstGeom>
                    </wps:spPr>
                    <wps:txbx>
                      <w:txbxContent>
                        <w:p w14:paraId="7CB267C3" w14:textId="77777777" w:rsidR="008A4099" w:rsidRDefault="006A6EE2">
                          <w:pPr>
                            <w:spacing w:before="11"/>
                            <w:ind w:left="20"/>
                            <w:rPr>
                              <w:i/>
                            </w:rPr>
                          </w:pPr>
                          <w:r>
                            <w:rPr>
                              <w:i/>
                            </w:rPr>
                            <w:t>Part</w:t>
                          </w:r>
                          <w:r>
                            <w:rPr>
                              <w:i/>
                              <w:spacing w:val="-4"/>
                            </w:rPr>
                            <w:t xml:space="preserve"> </w:t>
                          </w:r>
                          <w:r>
                            <w:rPr>
                              <w:i/>
                            </w:rPr>
                            <w:t>3:</w:t>
                          </w:r>
                          <w:r>
                            <w:rPr>
                              <w:i/>
                              <w:spacing w:val="-2"/>
                            </w:rPr>
                            <w:t xml:space="preserve"> </w:t>
                          </w:r>
                          <w:r>
                            <w:rPr>
                              <w:i/>
                            </w:rPr>
                            <w:t>Approaches</w:t>
                          </w:r>
                          <w:r>
                            <w:rPr>
                              <w:i/>
                              <w:spacing w:val="-4"/>
                            </w:rPr>
                            <w:t xml:space="preserve"> </w:t>
                          </w:r>
                          <w:r>
                            <w:rPr>
                              <w:i/>
                            </w:rPr>
                            <w:t>to</w:t>
                          </w:r>
                          <w:r>
                            <w:rPr>
                              <w:i/>
                              <w:spacing w:val="-2"/>
                            </w:rPr>
                            <w:t xml:space="preserve"> </w:t>
                          </w:r>
                          <w:r>
                            <w:rPr>
                              <w:i/>
                            </w:rPr>
                            <w:t>Human</w:t>
                          </w:r>
                          <w:r>
                            <w:rPr>
                              <w:i/>
                              <w:spacing w:val="-2"/>
                            </w:rPr>
                            <w:t xml:space="preserve"> </w:t>
                          </w:r>
                          <w:r>
                            <w:rPr>
                              <w:i/>
                            </w:rPr>
                            <w:t>Rights</w:t>
                          </w:r>
                          <w:r>
                            <w:rPr>
                              <w:i/>
                              <w:spacing w:val="-4"/>
                            </w:rPr>
                            <w:t xml:space="preserve"> </w:t>
                          </w:r>
                          <w:r>
                            <w:rPr>
                              <w:i/>
                            </w:rPr>
                            <w:t>in</w:t>
                          </w:r>
                          <w:r>
                            <w:rPr>
                              <w:i/>
                              <w:spacing w:val="-5"/>
                            </w:rPr>
                            <w:t xml:space="preserve"> </w:t>
                          </w:r>
                          <w:r>
                            <w:rPr>
                              <w:i/>
                            </w:rPr>
                            <w:t>the</w:t>
                          </w:r>
                          <w:r>
                            <w:rPr>
                              <w:i/>
                              <w:spacing w:val="-2"/>
                            </w:rPr>
                            <w:t xml:space="preserve"> </w:t>
                          </w:r>
                          <w:r>
                            <w:rPr>
                              <w:i/>
                            </w:rPr>
                            <w:t>Development</w:t>
                          </w:r>
                          <w:r>
                            <w:rPr>
                              <w:i/>
                              <w:spacing w:val="-1"/>
                            </w:rPr>
                            <w:t xml:space="preserve"> </w:t>
                          </w:r>
                          <w:r>
                            <w:rPr>
                              <w:i/>
                            </w:rPr>
                            <w:t>of</w:t>
                          </w:r>
                          <w:r>
                            <w:rPr>
                              <w:i/>
                              <w:spacing w:val="-4"/>
                            </w:rPr>
                            <w:t xml:space="preserve"> </w:t>
                          </w:r>
                          <w:r>
                            <w:rPr>
                              <w:i/>
                            </w:rPr>
                            <w:t>Law</w:t>
                          </w:r>
                          <w:r>
                            <w:rPr>
                              <w:i/>
                              <w:spacing w:val="-4"/>
                            </w:rPr>
                            <w:t xml:space="preserve"> </w:t>
                          </w:r>
                          <w:r>
                            <w:rPr>
                              <w:i/>
                            </w:rPr>
                            <w:t>and</w:t>
                          </w:r>
                          <w:r>
                            <w:rPr>
                              <w:i/>
                              <w:spacing w:val="-2"/>
                            </w:rPr>
                            <w:t xml:space="preserve"> Policy</w:t>
                          </w:r>
                        </w:p>
                      </w:txbxContent>
                    </wps:txbx>
                    <wps:bodyPr wrap="square" lIns="0" tIns="0" rIns="0" bIns="0" rtlCol="0">
                      <a:noAutofit/>
                    </wps:bodyPr>
                  </wps:wsp>
                </a:graphicData>
              </a:graphic>
            </wp:anchor>
          </w:drawing>
        </mc:Choice>
        <mc:Fallback>
          <w:pict>
            <v:shapetype w14:anchorId="7CB2672F" id="_x0000_t202" coordsize="21600,21600" o:spt="202" path="m,l,21600r21600,l21600,xe">
              <v:stroke joinstyle="miter"/>
              <v:path gradientshapeok="t" o:connecttype="rect"/>
            </v:shapetype>
            <v:shape id="Textbox 59" o:spid="_x0000_s1076" type="#_x0000_t202" style="position:absolute;margin-left:71pt;margin-top:34.9pt;width:337.4pt;height:14.25pt;z-index:-180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" filled="f" stroked="f">
              <v:textbox inset="0,0,0,0">
                <w:txbxContent>
                  <w:p w14:paraId="7CB267C3" w14:textId="77777777" w:rsidR="008A4099" w:rsidRDefault="006A6EE2">
                    <w:pPr>
                      <w:spacing w:before="11"/>
                      <w:ind w:left="20"/>
                      <w:rPr>
                        <w:i/>
                      </w:rPr>
                    </w:pPr>
                    <w:r>
                      <w:rPr>
                        <w:i/>
                      </w:rPr>
                      <w:t>Part</w:t>
                    </w:r>
                    <w:r>
                      <w:rPr>
                        <w:i/>
                        <w:spacing w:val="-4"/>
                      </w:rPr>
                      <w:t xml:space="preserve"> </w:t>
                    </w:r>
                    <w:r>
                      <w:rPr>
                        <w:i/>
                      </w:rPr>
                      <w:t>3:</w:t>
                    </w:r>
                    <w:r>
                      <w:rPr>
                        <w:i/>
                        <w:spacing w:val="-2"/>
                      </w:rPr>
                      <w:t xml:space="preserve"> </w:t>
                    </w:r>
                    <w:r>
                      <w:rPr>
                        <w:i/>
                      </w:rPr>
                      <w:t>Approaches</w:t>
                    </w:r>
                    <w:r>
                      <w:rPr>
                        <w:i/>
                        <w:spacing w:val="-4"/>
                      </w:rPr>
                      <w:t xml:space="preserve"> </w:t>
                    </w:r>
                    <w:r>
                      <w:rPr>
                        <w:i/>
                      </w:rPr>
                      <w:t>to</w:t>
                    </w:r>
                    <w:r>
                      <w:rPr>
                        <w:i/>
                        <w:spacing w:val="-2"/>
                      </w:rPr>
                      <w:t xml:space="preserve"> </w:t>
                    </w:r>
                    <w:r>
                      <w:rPr>
                        <w:i/>
                      </w:rPr>
                      <w:t>Human</w:t>
                    </w:r>
                    <w:r>
                      <w:rPr>
                        <w:i/>
                        <w:spacing w:val="-2"/>
                      </w:rPr>
                      <w:t xml:space="preserve"> </w:t>
                    </w:r>
                    <w:r>
                      <w:rPr>
                        <w:i/>
                      </w:rPr>
                      <w:t>Rights</w:t>
                    </w:r>
                    <w:r>
                      <w:rPr>
                        <w:i/>
                        <w:spacing w:val="-4"/>
                      </w:rPr>
                      <w:t xml:space="preserve"> </w:t>
                    </w:r>
                    <w:r>
                      <w:rPr>
                        <w:i/>
                      </w:rPr>
                      <w:t>in</w:t>
                    </w:r>
                    <w:r>
                      <w:rPr>
                        <w:i/>
                        <w:spacing w:val="-5"/>
                      </w:rPr>
                      <w:t xml:space="preserve"> </w:t>
                    </w:r>
                    <w:r>
                      <w:rPr>
                        <w:i/>
                      </w:rPr>
                      <w:t>the</w:t>
                    </w:r>
                    <w:r>
                      <w:rPr>
                        <w:i/>
                        <w:spacing w:val="-2"/>
                      </w:rPr>
                      <w:t xml:space="preserve"> </w:t>
                    </w:r>
                    <w:r>
                      <w:rPr>
                        <w:i/>
                      </w:rPr>
                      <w:t>Development</w:t>
                    </w:r>
                    <w:r>
                      <w:rPr>
                        <w:i/>
                        <w:spacing w:val="-1"/>
                      </w:rPr>
                      <w:t xml:space="preserve"> </w:t>
                    </w:r>
                    <w:r>
                      <w:rPr>
                        <w:i/>
                      </w:rPr>
                      <w:t>of</w:t>
                    </w:r>
                    <w:r>
                      <w:rPr>
                        <w:i/>
                        <w:spacing w:val="-4"/>
                      </w:rPr>
                      <w:t xml:space="preserve"> </w:t>
                    </w:r>
                    <w:r>
                      <w:rPr>
                        <w:i/>
                      </w:rPr>
                      <w:t>Law</w:t>
                    </w:r>
                    <w:r>
                      <w:rPr>
                        <w:i/>
                        <w:spacing w:val="-4"/>
                      </w:rPr>
                      <w:t xml:space="preserve"> </w:t>
                    </w:r>
                    <w:r>
                      <w:rPr>
                        <w:i/>
                      </w:rPr>
                      <w:t>and</w:t>
                    </w:r>
                    <w:r>
                      <w:rPr>
                        <w:i/>
                        <w:spacing w:val="-2"/>
                      </w:rPr>
                      <w:t xml:space="preserve"> Policy</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A" w14:textId="77777777" w:rsidR="008A4099" w:rsidRDefault="006A6EE2">
    <w:pPr>
      <w:pStyle w:val="BodyText"/>
      <w:spacing w:line="14" w:lineRule="auto"/>
      <w:rPr>
        <w:sz w:val="20"/>
      </w:rPr>
    </w:pPr>
    <w:r>
      <w:rPr>
        <w:noProof/>
      </w:rPr>
      <mc:AlternateContent>
        <mc:Choice Requires="wps">
          <w:drawing>
            <wp:anchor distT="0" distB="0" distL="0" distR="0" simplePos="0" relativeHeight="485278208" behindDoc="1" locked="0" layoutInCell="1" allowOverlap="1" wp14:anchorId="7CB26731" wp14:editId="7CB26732">
              <wp:simplePos x="0" y="0"/>
              <wp:positionH relativeFrom="page">
                <wp:posOffset>896416</wp:posOffset>
              </wp:positionH>
              <wp:positionV relativeFrom="page">
                <wp:posOffset>623315</wp:posOffset>
              </wp:positionV>
              <wp:extent cx="5769610"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8F14CD" id="Graphic 60" o:spid="_x0000_s1026" style="position:absolute;margin-left:70.6pt;margin-top:49.1pt;width:454.3pt;height:.5pt;z-index:-18038272;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78720" behindDoc="1" locked="0" layoutInCell="1" allowOverlap="1" wp14:anchorId="7CB26733" wp14:editId="7CB26734">
              <wp:simplePos x="0" y="0"/>
              <wp:positionH relativeFrom="page">
                <wp:posOffset>2185161</wp:posOffset>
              </wp:positionH>
              <wp:positionV relativeFrom="page">
                <wp:posOffset>443002</wp:posOffset>
              </wp:positionV>
              <wp:extent cx="4475480" cy="1809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5480" cy="180975"/>
                      </a:xfrm>
                      <a:prstGeom prst="rect">
                        <a:avLst/>
                      </a:prstGeom>
                    </wps:spPr>
                    <wps:txbx>
                      <w:txbxContent>
                        <w:p w14:paraId="7CB267C4"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wps:txbx>
                    <wps:bodyPr wrap="square" lIns="0" tIns="0" rIns="0" bIns="0" rtlCol="0">
                      <a:noAutofit/>
                    </wps:bodyPr>
                  </wps:wsp>
                </a:graphicData>
              </a:graphic>
            </wp:anchor>
          </w:drawing>
        </mc:Choice>
        <mc:Fallback>
          <w:pict>
            <v:shapetype w14:anchorId="7CB26733" id="_x0000_t202" coordsize="21600,21600" o:spt="202" path="m,l,21600r21600,l21600,xe">
              <v:stroke joinstyle="miter"/>
              <v:path gradientshapeok="t" o:connecttype="rect"/>
            </v:shapetype>
            <v:shape id="Textbox 61" o:spid="_x0000_s1077" type="#_x0000_t202" style="position:absolute;margin-left:172.05pt;margin-top:34.9pt;width:352.4pt;height:14.25pt;z-index:-180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" filled="f" stroked="f">
              <v:textbox inset="0,0,0,0">
                <w:txbxContent>
                  <w:p w14:paraId="7CB267C4"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B" w14:textId="77777777" w:rsidR="008A4099" w:rsidRDefault="008A4099">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D" w14:textId="77777777" w:rsidR="008A4099" w:rsidRDefault="006A6EE2">
    <w:pPr>
      <w:pStyle w:val="BodyText"/>
      <w:spacing w:line="14" w:lineRule="auto"/>
      <w:rPr>
        <w:sz w:val="20"/>
      </w:rPr>
    </w:pPr>
    <w:r>
      <w:rPr>
        <w:noProof/>
      </w:rPr>
      <mc:AlternateContent>
        <mc:Choice Requires="wps">
          <w:drawing>
            <wp:anchor distT="0" distB="0" distL="0" distR="0" simplePos="0" relativeHeight="485280256" behindDoc="1" locked="0" layoutInCell="1" allowOverlap="1" wp14:anchorId="7CB26739" wp14:editId="7CB2673A">
              <wp:simplePos x="0" y="0"/>
              <wp:positionH relativeFrom="page">
                <wp:posOffset>896416</wp:posOffset>
              </wp:positionH>
              <wp:positionV relativeFrom="page">
                <wp:posOffset>623315</wp:posOffset>
              </wp:positionV>
              <wp:extent cx="5769610" cy="63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C8DFE0" id="Graphic 98" o:spid="_x0000_s1026" style="position:absolute;margin-left:70.6pt;margin-top:49.1pt;width:454.3pt;height:.5pt;z-index:-18036224;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80768" behindDoc="1" locked="0" layoutInCell="1" allowOverlap="1" wp14:anchorId="7CB2673B" wp14:editId="7CB2673C">
              <wp:simplePos x="0" y="0"/>
              <wp:positionH relativeFrom="page">
                <wp:posOffset>902004</wp:posOffset>
              </wp:positionH>
              <wp:positionV relativeFrom="page">
                <wp:posOffset>443002</wp:posOffset>
              </wp:positionV>
              <wp:extent cx="2450465" cy="18097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0465" cy="180975"/>
                      </a:xfrm>
                      <a:prstGeom prst="rect">
                        <a:avLst/>
                      </a:prstGeom>
                    </wps:spPr>
                    <wps:txbx>
                      <w:txbxContent>
                        <w:p w14:paraId="7CB267C7" w14:textId="77777777" w:rsidR="008A4099" w:rsidRDefault="006A6EE2">
                          <w:pPr>
                            <w:spacing w:before="11"/>
                            <w:ind w:left="20"/>
                            <w:rPr>
                              <w:i/>
                            </w:rPr>
                          </w:pPr>
                          <w:r>
                            <w:rPr>
                              <w:i/>
                            </w:rPr>
                            <w:t>Part</w:t>
                          </w:r>
                          <w:r>
                            <w:rPr>
                              <w:i/>
                              <w:spacing w:val="-4"/>
                            </w:rPr>
                            <w:t xml:space="preserve"> </w:t>
                          </w:r>
                          <w:r>
                            <w:rPr>
                              <w:i/>
                            </w:rPr>
                            <w:t>4:</w:t>
                          </w:r>
                          <w:r>
                            <w:rPr>
                              <w:i/>
                              <w:spacing w:val="-1"/>
                            </w:rPr>
                            <w:t xml:space="preserve"> </w:t>
                          </w:r>
                          <w:r>
                            <w:rPr>
                              <w:i/>
                            </w:rPr>
                            <w:t>Building</w:t>
                          </w:r>
                          <w:r>
                            <w:rPr>
                              <w:i/>
                              <w:spacing w:val="-2"/>
                            </w:rPr>
                            <w:t xml:space="preserve"> </w:t>
                          </w:r>
                          <w:r>
                            <w:rPr>
                              <w:i/>
                            </w:rPr>
                            <w:t>on</w:t>
                          </w:r>
                          <w:r>
                            <w:rPr>
                              <w:i/>
                              <w:spacing w:val="-5"/>
                            </w:rPr>
                            <w:t xml:space="preserve"> </w:t>
                          </w:r>
                          <w:r>
                            <w:rPr>
                              <w:i/>
                            </w:rPr>
                            <w:t>the</w:t>
                          </w:r>
                          <w:r>
                            <w:rPr>
                              <w:i/>
                              <w:spacing w:val="-2"/>
                            </w:rPr>
                            <w:t xml:space="preserve"> </w:t>
                          </w:r>
                          <w:r>
                            <w:rPr>
                              <w:i/>
                            </w:rPr>
                            <w:t>TLRI’s</w:t>
                          </w:r>
                          <w:r>
                            <w:rPr>
                              <w:i/>
                              <w:spacing w:val="-4"/>
                            </w:rPr>
                            <w:t xml:space="preserve"> </w:t>
                          </w:r>
                          <w:r>
                            <w:rPr>
                              <w:i/>
                            </w:rPr>
                            <w:t>2007</w:t>
                          </w:r>
                          <w:r>
                            <w:rPr>
                              <w:i/>
                              <w:spacing w:val="-5"/>
                            </w:rPr>
                            <w:t xml:space="preserve"> </w:t>
                          </w:r>
                          <w:r>
                            <w:rPr>
                              <w:i/>
                              <w:spacing w:val="-2"/>
                            </w:rPr>
                            <w:t>Model</w:t>
                          </w:r>
                        </w:p>
                      </w:txbxContent>
                    </wps:txbx>
                    <wps:bodyPr wrap="square" lIns="0" tIns="0" rIns="0" bIns="0" rtlCol="0">
                      <a:noAutofit/>
                    </wps:bodyPr>
                  </wps:wsp>
                </a:graphicData>
              </a:graphic>
            </wp:anchor>
          </w:drawing>
        </mc:Choice>
        <mc:Fallback>
          <w:pict>
            <v:shapetype w14:anchorId="7CB2673B" id="_x0000_t202" coordsize="21600,21600" o:spt="202" path="m,l,21600r21600,l21600,xe">
              <v:stroke joinstyle="miter"/>
              <v:path gradientshapeok="t" o:connecttype="rect"/>
            </v:shapetype>
            <v:shape id="Textbox 99" o:spid="_x0000_s1080" type="#_x0000_t202" style="position:absolute;margin-left:71pt;margin-top:34.9pt;width:192.95pt;height:14.25pt;z-index:-180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VNmwEAACM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" filled="f" stroked="f">
              <v:textbox inset="0,0,0,0">
                <w:txbxContent>
                  <w:p w14:paraId="7CB267C7" w14:textId="77777777" w:rsidR="008A4099" w:rsidRDefault="006A6EE2">
                    <w:pPr>
                      <w:spacing w:before="11"/>
                      <w:ind w:left="20"/>
                      <w:rPr>
                        <w:i/>
                      </w:rPr>
                    </w:pPr>
                    <w:r>
                      <w:rPr>
                        <w:i/>
                      </w:rPr>
                      <w:t>Part</w:t>
                    </w:r>
                    <w:r>
                      <w:rPr>
                        <w:i/>
                        <w:spacing w:val="-4"/>
                      </w:rPr>
                      <w:t xml:space="preserve"> </w:t>
                    </w:r>
                    <w:r>
                      <w:rPr>
                        <w:i/>
                      </w:rPr>
                      <w:t>4:</w:t>
                    </w:r>
                    <w:r>
                      <w:rPr>
                        <w:i/>
                        <w:spacing w:val="-1"/>
                      </w:rPr>
                      <w:t xml:space="preserve"> </w:t>
                    </w:r>
                    <w:r>
                      <w:rPr>
                        <w:i/>
                      </w:rPr>
                      <w:t>Building</w:t>
                    </w:r>
                    <w:r>
                      <w:rPr>
                        <w:i/>
                        <w:spacing w:val="-2"/>
                      </w:rPr>
                      <w:t xml:space="preserve"> </w:t>
                    </w:r>
                    <w:r>
                      <w:rPr>
                        <w:i/>
                      </w:rPr>
                      <w:t>on</w:t>
                    </w:r>
                    <w:r>
                      <w:rPr>
                        <w:i/>
                        <w:spacing w:val="-5"/>
                      </w:rPr>
                      <w:t xml:space="preserve"> </w:t>
                    </w:r>
                    <w:r>
                      <w:rPr>
                        <w:i/>
                      </w:rPr>
                      <w:t>the</w:t>
                    </w:r>
                    <w:r>
                      <w:rPr>
                        <w:i/>
                        <w:spacing w:val="-2"/>
                      </w:rPr>
                      <w:t xml:space="preserve"> </w:t>
                    </w:r>
                    <w:r>
                      <w:rPr>
                        <w:i/>
                      </w:rPr>
                      <w:t>TLRI’s</w:t>
                    </w:r>
                    <w:r>
                      <w:rPr>
                        <w:i/>
                        <w:spacing w:val="-4"/>
                      </w:rPr>
                      <w:t xml:space="preserve"> </w:t>
                    </w:r>
                    <w:r>
                      <w:rPr>
                        <w:i/>
                      </w:rPr>
                      <w:t>2007</w:t>
                    </w:r>
                    <w:r>
                      <w:rPr>
                        <w:i/>
                        <w:spacing w:val="-5"/>
                      </w:rPr>
                      <w:t xml:space="preserve"> </w:t>
                    </w:r>
                    <w:r>
                      <w:rPr>
                        <w:i/>
                        <w:spacing w:val="-2"/>
                      </w:rPr>
                      <w:t>Model</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DE" w14:textId="77777777" w:rsidR="008A4099" w:rsidRDefault="006A6EE2">
    <w:pPr>
      <w:pStyle w:val="BodyText"/>
      <w:spacing w:line="14" w:lineRule="auto"/>
      <w:rPr>
        <w:sz w:val="20"/>
      </w:rPr>
    </w:pPr>
    <w:r>
      <w:rPr>
        <w:noProof/>
      </w:rPr>
      <mc:AlternateContent>
        <mc:Choice Requires="wps">
          <w:drawing>
            <wp:anchor distT="0" distB="0" distL="0" distR="0" simplePos="0" relativeHeight="485281280" behindDoc="1" locked="0" layoutInCell="1" allowOverlap="1" wp14:anchorId="7CB2673D" wp14:editId="7CB2673E">
              <wp:simplePos x="0" y="0"/>
              <wp:positionH relativeFrom="page">
                <wp:posOffset>896416</wp:posOffset>
              </wp:positionH>
              <wp:positionV relativeFrom="page">
                <wp:posOffset>623315</wp:posOffset>
              </wp:positionV>
              <wp:extent cx="5769610" cy="63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235FFC" id="Graphic 100" o:spid="_x0000_s1026" style="position:absolute;margin-left:70.6pt;margin-top:49.1pt;width:454.3pt;height:.5pt;z-index:-18035200;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81792" behindDoc="1" locked="0" layoutInCell="1" allowOverlap="1" wp14:anchorId="7CB2673F" wp14:editId="7CB26740">
              <wp:simplePos x="0" y="0"/>
              <wp:positionH relativeFrom="page">
                <wp:posOffset>2185161</wp:posOffset>
              </wp:positionH>
              <wp:positionV relativeFrom="page">
                <wp:posOffset>443002</wp:posOffset>
              </wp:positionV>
              <wp:extent cx="4475480" cy="18097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5480" cy="180975"/>
                      </a:xfrm>
                      <a:prstGeom prst="rect">
                        <a:avLst/>
                      </a:prstGeom>
                    </wps:spPr>
                    <wps:txbx>
                      <w:txbxContent>
                        <w:p w14:paraId="7CB267C8"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wps:txbx>
                    <wps:bodyPr wrap="square" lIns="0" tIns="0" rIns="0" bIns="0" rtlCol="0">
                      <a:noAutofit/>
                    </wps:bodyPr>
                  </wps:wsp>
                </a:graphicData>
              </a:graphic>
            </wp:anchor>
          </w:drawing>
        </mc:Choice>
        <mc:Fallback>
          <w:pict>
            <v:shapetype w14:anchorId="7CB2673F" id="_x0000_t202" coordsize="21600,21600" o:spt="202" path="m,l,21600r21600,l21600,xe">
              <v:stroke joinstyle="miter"/>
              <v:path gradientshapeok="t" o:connecttype="rect"/>
            </v:shapetype>
            <v:shape id="Textbox 101" o:spid="_x0000_s1081" type="#_x0000_t202" style="position:absolute;margin-left:172.05pt;margin-top:34.9pt;width:352.4pt;height:14.25pt;z-index:-180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" filled="f" stroked="f">
              <v:textbox inset="0,0,0,0">
                <w:txbxContent>
                  <w:p w14:paraId="7CB267C8"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1" w14:textId="77777777" w:rsidR="008A4099" w:rsidRDefault="006A6EE2">
    <w:pPr>
      <w:pStyle w:val="BodyText"/>
      <w:spacing w:line="14" w:lineRule="auto"/>
      <w:rPr>
        <w:sz w:val="20"/>
      </w:rPr>
    </w:pPr>
    <w:r>
      <w:rPr>
        <w:noProof/>
      </w:rPr>
      <mc:AlternateContent>
        <mc:Choice Requires="wps">
          <w:drawing>
            <wp:anchor distT="0" distB="0" distL="0" distR="0" simplePos="0" relativeHeight="485283328" behindDoc="1" locked="0" layoutInCell="1" allowOverlap="1" wp14:anchorId="7CB26745" wp14:editId="7CB26746">
              <wp:simplePos x="0" y="0"/>
              <wp:positionH relativeFrom="page">
                <wp:posOffset>896416</wp:posOffset>
              </wp:positionH>
              <wp:positionV relativeFrom="page">
                <wp:posOffset>623315</wp:posOffset>
              </wp:positionV>
              <wp:extent cx="5769610" cy="635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B78BBB" id="Graphic 157" o:spid="_x0000_s1026" style="position:absolute;margin-left:70.6pt;margin-top:49.1pt;width:454.3pt;height:.5pt;z-index:-18033152;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83840" behindDoc="1" locked="0" layoutInCell="1" allowOverlap="1" wp14:anchorId="7CB26747" wp14:editId="7CB26748">
              <wp:simplePos x="0" y="0"/>
              <wp:positionH relativeFrom="page">
                <wp:posOffset>902004</wp:posOffset>
              </wp:positionH>
              <wp:positionV relativeFrom="page">
                <wp:posOffset>443002</wp:posOffset>
              </wp:positionV>
              <wp:extent cx="3215640" cy="18097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5640" cy="180975"/>
                      </a:xfrm>
                      <a:prstGeom prst="rect">
                        <a:avLst/>
                      </a:prstGeom>
                    </wps:spPr>
                    <wps:txbx>
                      <w:txbxContent>
                        <w:p w14:paraId="7CB267CB" w14:textId="77777777" w:rsidR="008A4099" w:rsidRDefault="006A6EE2">
                          <w:pPr>
                            <w:spacing w:before="11"/>
                            <w:ind w:left="20"/>
                            <w:rPr>
                              <w:i/>
                            </w:rPr>
                          </w:pPr>
                          <w:r>
                            <w:rPr>
                              <w:i/>
                            </w:rPr>
                            <w:t>Appendix</w:t>
                          </w:r>
                          <w:r>
                            <w:rPr>
                              <w:i/>
                              <w:spacing w:val="-5"/>
                            </w:rPr>
                            <w:t xml:space="preserve"> </w:t>
                          </w:r>
                          <w:r>
                            <w:rPr>
                              <w:i/>
                            </w:rPr>
                            <w:t>A:</w:t>
                          </w:r>
                          <w:r>
                            <w:rPr>
                              <w:i/>
                              <w:spacing w:val="-2"/>
                            </w:rPr>
                            <w:t xml:space="preserve"> </w:t>
                          </w:r>
                          <w:r>
                            <w:rPr>
                              <w:i/>
                            </w:rPr>
                            <w:t>TLRI</w:t>
                          </w:r>
                          <w:r>
                            <w:rPr>
                              <w:i/>
                              <w:spacing w:val="-3"/>
                            </w:rPr>
                            <w:t xml:space="preserve"> </w:t>
                          </w:r>
                          <w:r>
                            <w:rPr>
                              <w:i/>
                            </w:rPr>
                            <w:t>2007</w:t>
                          </w:r>
                          <w:r>
                            <w:rPr>
                              <w:i/>
                              <w:spacing w:val="-2"/>
                            </w:rPr>
                            <w:t xml:space="preserve"> </w:t>
                          </w:r>
                          <w:r>
                            <w:rPr>
                              <w:i/>
                            </w:rPr>
                            <w:t>Final</w:t>
                          </w:r>
                          <w:r>
                            <w:rPr>
                              <w:i/>
                              <w:spacing w:val="-2"/>
                            </w:rPr>
                            <w:t xml:space="preserve"> </w:t>
                          </w:r>
                          <w:r>
                            <w:rPr>
                              <w:i/>
                            </w:rPr>
                            <w:t>Report:</w:t>
                          </w:r>
                          <w:r>
                            <w:rPr>
                              <w:i/>
                              <w:spacing w:val="-2"/>
                            </w:rPr>
                            <w:t xml:space="preserve"> Recommendations</w:t>
                          </w:r>
                        </w:p>
                      </w:txbxContent>
                    </wps:txbx>
                    <wps:bodyPr wrap="square" lIns="0" tIns="0" rIns="0" bIns="0" rtlCol="0">
                      <a:noAutofit/>
                    </wps:bodyPr>
                  </wps:wsp>
                </a:graphicData>
              </a:graphic>
            </wp:anchor>
          </w:drawing>
        </mc:Choice>
        <mc:Fallback>
          <w:pict>
            <v:shapetype w14:anchorId="7CB26747" id="_x0000_t202" coordsize="21600,21600" o:spt="202" path="m,l,21600r21600,l21600,xe">
              <v:stroke joinstyle="miter"/>
              <v:path gradientshapeok="t" o:connecttype="rect"/>
            </v:shapetype>
            <v:shape id="Textbox 158" o:spid="_x0000_s1084" type="#_x0000_t202" style="position:absolute;margin-left:71pt;margin-top:34.9pt;width:253.2pt;height:14.25pt;z-index:-180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" filled="f" stroked="f">
              <v:textbox inset="0,0,0,0">
                <w:txbxContent>
                  <w:p w14:paraId="7CB267CB" w14:textId="77777777" w:rsidR="008A4099" w:rsidRDefault="006A6EE2">
                    <w:pPr>
                      <w:spacing w:before="11"/>
                      <w:ind w:left="20"/>
                      <w:rPr>
                        <w:i/>
                      </w:rPr>
                    </w:pPr>
                    <w:r>
                      <w:rPr>
                        <w:i/>
                      </w:rPr>
                      <w:t>Appendix</w:t>
                    </w:r>
                    <w:r>
                      <w:rPr>
                        <w:i/>
                        <w:spacing w:val="-5"/>
                      </w:rPr>
                      <w:t xml:space="preserve"> </w:t>
                    </w:r>
                    <w:r>
                      <w:rPr>
                        <w:i/>
                      </w:rPr>
                      <w:t>A:</w:t>
                    </w:r>
                    <w:r>
                      <w:rPr>
                        <w:i/>
                        <w:spacing w:val="-2"/>
                      </w:rPr>
                      <w:t xml:space="preserve"> </w:t>
                    </w:r>
                    <w:r>
                      <w:rPr>
                        <w:i/>
                      </w:rPr>
                      <w:t>TLRI</w:t>
                    </w:r>
                    <w:r>
                      <w:rPr>
                        <w:i/>
                        <w:spacing w:val="-3"/>
                      </w:rPr>
                      <w:t xml:space="preserve"> </w:t>
                    </w:r>
                    <w:r>
                      <w:rPr>
                        <w:i/>
                      </w:rPr>
                      <w:t>2007</w:t>
                    </w:r>
                    <w:r>
                      <w:rPr>
                        <w:i/>
                        <w:spacing w:val="-2"/>
                      </w:rPr>
                      <w:t xml:space="preserve"> </w:t>
                    </w:r>
                    <w:r>
                      <w:rPr>
                        <w:i/>
                      </w:rPr>
                      <w:t>Final</w:t>
                    </w:r>
                    <w:r>
                      <w:rPr>
                        <w:i/>
                        <w:spacing w:val="-2"/>
                      </w:rPr>
                      <w:t xml:space="preserve"> </w:t>
                    </w:r>
                    <w:r>
                      <w:rPr>
                        <w:i/>
                      </w:rPr>
                      <w:t>Report:</w:t>
                    </w:r>
                    <w:r>
                      <w:rPr>
                        <w:i/>
                        <w:spacing w:val="-2"/>
                      </w:rPr>
                      <w:t xml:space="preserve"> Recommendations</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2" w14:textId="77777777" w:rsidR="008A4099" w:rsidRDefault="006A6EE2">
    <w:pPr>
      <w:pStyle w:val="BodyText"/>
      <w:spacing w:line="14" w:lineRule="auto"/>
      <w:rPr>
        <w:sz w:val="20"/>
      </w:rPr>
    </w:pPr>
    <w:r>
      <w:rPr>
        <w:noProof/>
      </w:rPr>
      <mc:AlternateContent>
        <mc:Choice Requires="wps">
          <w:drawing>
            <wp:anchor distT="0" distB="0" distL="0" distR="0" simplePos="0" relativeHeight="485284352" behindDoc="1" locked="0" layoutInCell="1" allowOverlap="1" wp14:anchorId="7CB26749" wp14:editId="7CB2674A">
              <wp:simplePos x="0" y="0"/>
              <wp:positionH relativeFrom="page">
                <wp:posOffset>896416</wp:posOffset>
              </wp:positionH>
              <wp:positionV relativeFrom="page">
                <wp:posOffset>623315</wp:posOffset>
              </wp:positionV>
              <wp:extent cx="5769610" cy="635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46D325" id="Graphic 159" o:spid="_x0000_s1026" style="position:absolute;margin-left:70.6pt;margin-top:49.1pt;width:454.3pt;height:.5pt;z-index:-18032128;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84864" behindDoc="1" locked="0" layoutInCell="1" allowOverlap="1" wp14:anchorId="7CB2674B" wp14:editId="7CB2674C">
              <wp:simplePos x="0" y="0"/>
              <wp:positionH relativeFrom="page">
                <wp:posOffset>2185161</wp:posOffset>
              </wp:positionH>
              <wp:positionV relativeFrom="page">
                <wp:posOffset>443002</wp:posOffset>
              </wp:positionV>
              <wp:extent cx="4475480" cy="18097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5480" cy="180975"/>
                      </a:xfrm>
                      <a:prstGeom prst="rect">
                        <a:avLst/>
                      </a:prstGeom>
                    </wps:spPr>
                    <wps:txbx>
                      <w:txbxContent>
                        <w:p w14:paraId="7CB267CC"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wps:txbx>
                    <wps:bodyPr wrap="square" lIns="0" tIns="0" rIns="0" bIns="0" rtlCol="0">
                      <a:noAutofit/>
                    </wps:bodyPr>
                  </wps:wsp>
                </a:graphicData>
              </a:graphic>
            </wp:anchor>
          </w:drawing>
        </mc:Choice>
        <mc:Fallback>
          <w:pict>
            <v:shapetype w14:anchorId="7CB2674B" id="_x0000_t202" coordsize="21600,21600" o:spt="202" path="m,l,21600r21600,l21600,xe">
              <v:stroke joinstyle="miter"/>
              <v:path gradientshapeok="t" o:connecttype="rect"/>
            </v:shapetype>
            <v:shape id="Textbox 160" o:spid="_x0000_s1085" type="#_x0000_t202" style="position:absolute;margin-left:172.05pt;margin-top:34.9pt;width:352.4pt;height:14.25pt;z-index:-180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" filled="f" stroked="f">
              <v:textbox inset="0,0,0,0">
                <w:txbxContent>
                  <w:p w14:paraId="7CB267CC"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2"/>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5" w14:textId="77777777" w:rsidR="008A4099" w:rsidRDefault="006A6EE2">
    <w:pPr>
      <w:pStyle w:val="BodyText"/>
      <w:spacing w:line="14" w:lineRule="auto"/>
      <w:rPr>
        <w:sz w:val="20"/>
      </w:rPr>
    </w:pPr>
    <w:r>
      <w:rPr>
        <w:noProof/>
      </w:rPr>
      <mc:AlternateContent>
        <mc:Choice Requires="wps">
          <w:drawing>
            <wp:anchor distT="0" distB="0" distL="0" distR="0" simplePos="0" relativeHeight="485286400" behindDoc="1" locked="0" layoutInCell="1" allowOverlap="1" wp14:anchorId="7CB26751" wp14:editId="7CB26752">
              <wp:simplePos x="0" y="0"/>
              <wp:positionH relativeFrom="page">
                <wp:posOffset>896416</wp:posOffset>
              </wp:positionH>
              <wp:positionV relativeFrom="page">
                <wp:posOffset>623315</wp:posOffset>
              </wp:positionV>
              <wp:extent cx="5769610" cy="635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B8541E" id="Graphic 164" o:spid="_x0000_s1026" style="position:absolute;margin-left:70.6pt;margin-top:49.1pt;width:454.3pt;height:.5pt;z-index:-18030080;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86912" behindDoc="1" locked="0" layoutInCell="1" allowOverlap="1" wp14:anchorId="7CB26753" wp14:editId="7CB26754">
              <wp:simplePos x="0" y="0"/>
              <wp:positionH relativeFrom="page">
                <wp:posOffset>902004</wp:posOffset>
              </wp:positionH>
              <wp:positionV relativeFrom="page">
                <wp:posOffset>443002</wp:posOffset>
              </wp:positionV>
              <wp:extent cx="4559300" cy="18097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7CB267CF" w14:textId="77777777" w:rsidR="008A4099" w:rsidRDefault="006A6EE2">
                          <w:pPr>
                            <w:spacing w:before="11"/>
                            <w:ind w:left="20"/>
                            <w:rPr>
                              <w:i/>
                            </w:rPr>
                          </w:pPr>
                          <w:r>
                            <w:rPr>
                              <w:i/>
                            </w:rPr>
                            <w:t>Appendix</w:t>
                          </w:r>
                          <w:r>
                            <w:rPr>
                              <w:i/>
                              <w:spacing w:val="-6"/>
                            </w:rPr>
                            <w:t xml:space="preserve"> </w:t>
                          </w:r>
                          <w:r>
                            <w:rPr>
                              <w:i/>
                            </w:rPr>
                            <w:t>B:</w:t>
                          </w:r>
                          <w:r>
                            <w:rPr>
                              <w:i/>
                              <w:spacing w:val="-3"/>
                            </w:rPr>
                            <w:t xml:space="preserve"> </w:t>
                          </w:r>
                          <w:r>
                            <w:rPr>
                              <w:i/>
                            </w:rPr>
                            <w:t>Rights</w:t>
                          </w:r>
                          <w:r>
                            <w:rPr>
                              <w:i/>
                              <w:spacing w:val="-3"/>
                            </w:rPr>
                            <w:t xml:space="preserve"> </w:t>
                          </w:r>
                          <w:r>
                            <w:rPr>
                              <w:i/>
                            </w:rPr>
                            <w:t>protected</w:t>
                          </w:r>
                          <w:r>
                            <w:rPr>
                              <w:i/>
                              <w:spacing w:val="-3"/>
                            </w:rPr>
                            <w:t xml:space="preserve"> </w:t>
                          </w:r>
                          <w:r>
                            <w:rPr>
                              <w:i/>
                            </w:rPr>
                            <w:t>in</w:t>
                          </w:r>
                          <w:r>
                            <w:rPr>
                              <w:i/>
                              <w:spacing w:val="-6"/>
                            </w:rPr>
                            <w:t xml:space="preserve"> </w:t>
                          </w:r>
                          <w:r>
                            <w:rPr>
                              <w:i/>
                            </w:rPr>
                            <w:t>each</w:t>
                          </w:r>
                          <w:r>
                            <w:rPr>
                              <w:i/>
                              <w:spacing w:val="-5"/>
                            </w:rPr>
                            <w:t xml:space="preserve"> </w:t>
                          </w:r>
                          <w:r>
                            <w:rPr>
                              <w:i/>
                            </w:rPr>
                            <w:t>jurisdiction</w:t>
                          </w:r>
                          <w:r>
                            <w:rPr>
                              <w:i/>
                              <w:spacing w:val="-3"/>
                            </w:rPr>
                            <w:t xml:space="preserve"> </w:t>
                          </w:r>
                          <w:r>
                            <w:rPr>
                              <w:i/>
                            </w:rPr>
                            <w:t>with</w:t>
                          </w:r>
                          <w:r>
                            <w:rPr>
                              <w:i/>
                              <w:spacing w:val="-6"/>
                            </w:rPr>
                            <w:t xml:space="preserve"> </w:t>
                          </w:r>
                          <w:r>
                            <w:rPr>
                              <w:i/>
                            </w:rPr>
                            <w:t>a</w:t>
                          </w:r>
                          <w:r>
                            <w:rPr>
                              <w:i/>
                              <w:spacing w:val="-3"/>
                            </w:rPr>
                            <w:t xml:space="preserve"> </w:t>
                          </w:r>
                          <w:r>
                            <w:rPr>
                              <w:i/>
                            </w:rPr>
                            <w:t>human</w:t>
                          </w:r>
                          <w:r>
                            <w:rPr>
                              <w:i/>
                              <w:spacing w:val="-3"/>
                            </w:rPr>
                            <w:t xml:space="preserve"> </w:t>
                          </w:r>
                          <w:r>
                            <w:rPr>
                              <w:i/>
                            </w:rPr>
                            <w:t>rights</w:t>
                          </w:r>
                          <w:r>
                            <w:rPr>
                              <w:i/>
                              <w:spacing w:val="-3"/>
                            </w:rPr>
                            <w:t xml:space="preserve"> </w:t>
                          </w:r>
                          <w:r>
                            <w:rPr>
                              <w:i/>
                              <w:spacing w:val="-2"/>
                            </w:rPr>
                            <w:t>enactment</w:t>
                          </w:r>
                        </w:p>
                      </w:txbxContent>
                    </wps:txbx>
                    <wps:bodyPr wrap="square" lIns="0" tIns="0" rIns="0" bIns="0" rtlCol="0">
                      <a:noAutofit/>
                    </wps:bodyPr>
                  </wps:wsp>
                </a:graphicData>
              </a:graphic>
            </wp:anchor>
          </w:drawing>
        </mc:Choice>
        <mc:Fallback>
          <w:pict>
            <v:shapetype w14:anchorId="7CB26753" id="_x0000_t202" coordsize="21600,21600" o:spt="202" path="m,l,21600r21600,l21600,xe">
              <v:stroke joinstyle="miter"/>
              <v:path gradientshapeok="t" o:connecttype="rect"/>
            </v:shapetype>
            <v:shape id="Textbox 165" o:spid="_x0000_s1088" type="#_x0000_t202" style="position:absolute;margin-left:71pt;margin-top:34.9pt;width:359pt;height:14.25pt;z-index:-180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" filled="f" stroked="f">
              <v:textbox inset="0,0,0,0">
                <w:txbxContent>
                  <w:p w14:paraId="7CB267CF" w14:textId="77777777" w:rsidR="008A4099" w:rsidRDefault="006A6EE2">
                    <w:pPr>
                      <w:spacing w:before="11"/>
                      <w:ind w:left="20"/>
                      <w:rPr>
                        <w:i/>
                      </w:rPr>
                    </w:pPr>
                    <w:r>
                      <w:rPr>
                        <w:i/>
                      </w:rPr>
                      <w:t>Appendix</w:t>
                    </w:r>
                    <w:r>
                      <w:rPr>
                        <w:i/>
                        <w:spacing w:val="-6"/>
                      </w:rPr>
                      <w:t xml:space="preserve"> </w:t>
                    </w:r>
                    <w:r>
                      <w:rPr>
                        <w:i/>
                      </w:rPr>
                      <w:t>B:</w:t>
                    </w:r>
                    <w:r>
                      <w:rPr>
                        <w:i/>
                        <w:spacing w:val="-3"/>
                      </w:rPr>
                      <w:t xml:space="preserve"> </w:t>
                    </w:r>
                    <w:r>
                      <w:rPr>
                        <w:i/>
                      </w:rPr>
                      <w:t>Rights</w:t>
                    </w:r>
                    <w:r>
                      <w:rPr>
                        <w:i/>
                        <w:spacing w:val="-3"/>
                      </w:rPr>
                      <w:t xml:space="preserve"> </w:t>
                    </w:r>
                    <w:r>
                      <w:rPr>
                        <w:i/>
                      </w:rPr>
                      <w:t>protected</w:t>
                    </w:r>
                    <w:r>
                      <w:rPr>
                        <w:i/>
                        <w:spacing w:val="-3"/>
                      </w:rPr>
                      <w:t xml:space="preserve"> </w:t>
                    </w:r>
                    <w:r>
                      <w:rPr>
                        <w:i/>
                      </w:rPr>
                      <w:t>in</w:t>
                    </w:r>
                    <w:r>
                      <w:rPr>
                        <w:i/>
                        <w:spacing w:val="-6"/>
                      </w:rPr>
                      <w:t xml:space="preserve"> </w:t>
                    </w:r>
                    <w:r>
                      <w:rPr>
                        <w:i/>
                      </w:rPr>
                      <w:t>each</w:t>
                    </w:r>
                    <w:r>
                      <w:rPr>
                        <w:i/>
                        <w:spacing w:val="-5"/>
                      </w:rPr>
                      <w:t xml:space="preserve"> </w:t>
                    </w:r>
                    <w:r>
                      <w:rPr>
                        <w:i/>
                      </w:rPr>
                      <w:t>jurisdiction</w:t>
                    </w:r>
                    <w:r>
                      <w:rPr>
                        <w:i/>
                        <w:spacing w:val="-3"/>
                      </w:rPr>
                      <w:t xml:space="preserve"> </w:t>
                    </w:r>
                    <w:r>
                      <w:rPr>
                        <w:i/>
                      </w:rPr>
                      <w:t>with</w:t>
                    </w:r>
                    <w:r>
                      <w:rPr>
                        <w:i/>
                        <w:spacing w:val="-6"/>
                      </w:rPr>
                      <w:t xml:space="preserve"> </w:t>
                    </w:r>
                    <w:r>
                      <w:rPr>
                        <w:i/>
                      </w:rPr>
                      <w:t>a</w:t>
                    </w:r>
                    <w:r>
                      <w:rPr>
                        <w:i/>
                        <w:spacing w:val="-3"/>
                      </w:rPr>
                      <w:t xml:space="preserve"> </w:t>
                    </w:r>
                    <w:r>
                      <w:rPr>
                        <w:i/>
                      </w:rPr>
                      <w:t>human</w:t>
                    </w:r>
                    <w:r>
                      <w:rPr>
                        <w:i/>
                        <w:spacing w:val="-3"/>
                      </w:rPr>
                      <w:t xml:space="preserve"> </w:t>
                    </w:r>
                    <w:r>
                      <w:rPr>
                        <w:i/>
                      </w:rPr>
                      <w:t>rights</w:t>
                    </w:r>
                    <w:r>
                      <w:rPr>
                        <w:i/>
                        <w:spacing w:val="-3"/>
                      </w:rPr>
                      <w:t xml:space="preserve"> </w:t>
                    </w:r>
                    <w:r>
                      <w:rPr>
                        <w:i/>
                        <w:spacing w:val="-2"/>
                      </w:rPr>
                      <w:t>enactment</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E6" w14:textId="77777777" w:rsidR="008A4099" w:rsidRDefault="006A6EE2">
    <w:pPr>
      <w:pStyle w:val="BodyText"/>
      <w:spacing w:line="14" w:lineRule="auto"/>
      <w:rPr>
        <w:sz w:val="20"/>
      </w:rPr>
    </w:pPr>
    <w:r>
      <w:rPr>
        <w:noProof/>
      </w:rPr>
      <mc:AlternateContent>
        <mc:Choice Requires="wps">
          <w:drawing>
            <wp:anchor distT="0" distB="0" distL="0" distR="0" simplePos="0" relativeHeight="485287424" behindDoc="1" locked="0" layoutInCell="1" allowOverlap="1" wp14:anchorId="7CB26755" wp14:editId="7CB26756">
              <wp:simplePos x="0" y="0"/>
              <wp:positionH relativeFrom="page">
                <wp:posOffset>896416</wp:posOffset>
              </wp:positionH>
              <wp:positionV relativeFrom="page">
                <wp:posOffset>623315</wp:posOffset>
              </wp:positionV>
              <wp:extent cx="5769610" cy="63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7CAC35" id="Graphic 166" o:spid="_x0000_s1026" style="position:absolute;margin-left:70.6pt;margin-top:49.1pt;width:454.3pt;height:.5pt;z-index:-18029056;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" path="m5769229,l,,,6096r5769229,l5769229,xe" fillcolor="black" stroked="f">
              <v:path arrowok="t"/>
              <w10:wrap anchorx="page" anchory="page"/>
            </v:shape>
          </w:pict>
        </mc:Fallback>
      </mc:AlternateContent>
    </w:r>
    <w:r>
      <w:rPr>
        <w:noProof/>
      </w:rPr>
      <mc:AlternateContent>
        <mc:Choice Requires="wps">
          <w:drawing>
            <wp:anchor distT="0" distB="0" distL="0" distR="0" simplePos="0" relativeHeight="485287936" behindDoc="1" locked="0" layoutInCell="1" allowOverlap="1" wp14:anchorId="7CB26757" wp14:editId="7CB26758">
              <wp:simplePos x="0" y="0"/>
              <wp:positionH relativeFrom="page">
                <wp:posOffset>2185161</wp:posOffset>
              </wp:positionH>
              <wp:positionV relativeFrom="page">
                <wp:posOffset>443002</wp:posOffset>
              </wp:positionV>
              <wp:extent cx="4476750" cy="18097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0" cy="180975"/>
                      </a:xfrm>
                      <a:prstGeom prst="rect">
                        <a:avLst/>
                      </a:prstGeom>
                    </wps:spPr>
                    <wps:txbx>
                      <w:txbxContent>
                        <w:p w14:paraId="7CB267D0"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1"/>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wps:txbx>
                    <wps:bodyPr wrap="square" lIns="0" tIns="0" rIns="0" bIns="0" rtlCol="0">
                      <a:noAutofit/>
                    </wps:bodyPr>
                  </wps:wsp>
                </a:graphicData>
              </a:graphic>
            </wp:anchor>
          </w:drawing>
        </mc:Choice>
        <mc:Fallback>
          <w:pict>
            <v:shapetype w14:anchorId="7CB26757" id="_x0000_t202" coordsize="21600,21600" o:spt="202" path="m,l,21600r21600,l21600,xe">
              <v:stroke joinstyle="miter"/>
              <v:path gradientshapeok="t" o:connecttype="rect"/>
            </v:shapetype>
            <v:shape id="Textbox 167" o:spid="_x0000_s1089" type="#_x0000_t202" style="position:absolute;margin-left:172.05pt;margin-top:34.9pt;width:352.5pt;height:14.25pt;z-index:-180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" filled="f" stroked="f">
              <v:textbox inset="0,0,0,0">
                <w:txbxContent>
                  <w:p w14:paraId="7CB267D0" w14:textId="77777777" w:rsidR="008A4099" w:rsidRDefault="006A6EE2">
                    <w:pPr>
                      <w:spacing w:before="11"/>
                      <w:ind w:left="20"/>
                      <w:rPr>
                        <w:i/>
                      </w:rPr>
                    </w:pPr>
                    <w:r>
                      <w:rPr>
                        <w:i/>
                      </w:rPr>
                      <w:t>A</w:t>
                    </w:r>
                    <w:r>
                      <w:rPr>
                        <w:i/>
                        <w:spacing w:val="-4"/>
                      </w:rPr>
                      <w:t xml:space="preserve"> </w:t>
                    </w:r>
                    <w:r>
                      <w:rPr>
                        <w:i/>
                      </w:rPr>
                      <w:t>Charter</w:t>
                    </w:r>
                    <w:r>
                      <w:rPr>
                        <w:i/>
                        <w:spacing w:val="-2"/>
                      </w:rPr>
                      <w:t xml:space="preserve"> </w:t>
                    </w:r>
                    <w:r>
                      <w:rPr>
                        <w:i/>
                      </w:rPr>
                      <w:t>of</w:t>
                    </w:r>
                    <w:r>
                      <w:rPr>
                        <w:i/>
                        <w:spacing w:val="-1"/>
                      </w:rPr>
                      <w:t xml:space="preserve"> </w:t>
                    </w:r>
                    <w:r>
                      <w:rPr>
                        <w:i/>
                      </w:rPr>
                      <w:t>Human</w:t>
                    </w:r>
                    <w:r>
                      <w:rPr>
                        <w:i/>
                        <w:spacing w:val="-2"/>
                      </w:rPr>
                      <w:t xml:space="preserve"> </w:t>
                    </w:r>
                    <w:r>
                      <w:rPr>
                        <w:i/>
                      </w:rPr>
                      <w:t>Rights</w:t>
                    </w:r>
                    <w:r>
                      <w:rPr>
                        <w:i/>
                        <w:spacing w:val="-5"/>
                      </w:rPr>
                      <w:t xml:space="preserve"> </w:t>
                    </w:r>
                    <w:r>
                      <w:rPr>
                        <w:i/>
                      </w:rPr>
                      <w:t>for</w:t>
                    </w:r>
                    <w:r>
                      <w:rPr>
                        <w:i/>
                        <w:spacing w:val="-2"/>
                      </w:rPr>
                      <w:t xml:space="preserve"> </w:t>
                    </w:r>
                    <w:r>
                      <w:rPr>
                        <w:i/>
                      </w:rPr>
                      <w:t>Tasmania?</w:t>
                    </w:r>
                    <w:r>
                      <w:rPr>
                        <w:i/>
                        <w:spacing w:val="-2"/>
                      </w:rPr>
                      <w:t xml:space="preserve"> </w:t>
                    </w:r>
                    <w:r>
                      <w:rPr>
                        <w:i/>
                      </w:rPr>
                      <w:t>Update:</w:t>
                    </w:r>
                    <w:r>
                      <w:rPr>
                        <w:i/>
                        <w:spacing w:val="-2"/>
                      </w:rPr>
                      <w:t xml:space="preserve"> </w:t>
                    </w:r>
                    <w:r>
                      <w:rPr>
                        <w:i/>
                      </w:rPr>
                      <w:t>TLRI</w:t>
                    </w:r>
                    <w:r>
                      <w:rPr>
                        <w:i/>
                        <w:spacing w:val="-1"/>
                      </w:rPr>
                      <w:t xml:space="preserve"> </w:t>
                    </w:r>
                    <w:r>
                      <w:rPr>
                        <w:i/>
                      </w:rPr>
                      <w:t>Research</w:t>
                    </w:r>
                    <w:r>
                      <w:rPr>
                        <w:i/>
                        <w:spacing w:val="-5"/>
                      </w:rPr>
                      <w:t xml:space="preserve"> </w:t>
                    </w:r>
                    <w:r>
                      <w:rPr>
                        <w:i/>
                      </w:rPr>
                      <w:t>Paper</w:t>
                    </w:r>
                    <w:r>
                      <w:rPr>
                        <w:i/>
                        <w:spacing w:val="-2"/>
                      </w:rPr>
                      <w:t xml:space="preserve"> </w:t>
                    </w:r>
                    <w:r>
                      <w:rPr>
                        <w:i/>
                      </w:rPr>
                      <w:t>No</w:t>
                    </w:r>
                    <w:r>
                      <w:rPr>
                        <w:i/>
                        <w:spacing w:val="-2"/>
                      </w:rPr>
                      <w:t xml:space="preserve"> </w:t>
                    </w:r>
                    <w:r>
                      <w:rPr>
                        <w:i/>
                        <w:spacing w:val="-10"/>
                      </w:rPr>
                      <w:t>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C" w14:textId="77777777" w:rsidR="008A4099" w:rsidRDefault="006A6EE2">
    <w:pPr>
      <w:pStyle w:val="BodyText"/>
      <w:spacing w:line="14" w:lineRule="auto"/>
      <w:rPr>
        <w:sz w:val="20"/>
      </w:rPr>
    </w:pPr>
    <w:r>
      <w:rPr>
        <w:noProof/>
      </w:rPr>
      <mc:AlternateContent>
        <mc:Choice Requires="wps">
          <w:drawing>
            <wp:anchor distT="0" distB="0" distL="0" distR="0" simplePos="0" relativeHeight="485262336" behindDoc="1" locked="0" layoutInCell="1" allowOverlap="1" wp14:anchorId="7CB266F3" wp14:editId="7CB266F4">
              <wp:simplePos x="0" y="0"/>
              <wp:positionH relativeFrom="page">
                <wp:posOffset>902004</wp:posOffset>
              </wp:positionH>
              <wp:positionV relativeFrom="page">
                <wp:posOffset>910308</wp:posOffset>
              </wp:positionV>
              <wp:extent cx="1706245" cy="2501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245" cy="250190"/>
                      </a:xfrm>
                      <a:prstGeom prst="rect">
                        <a:avLst/>
                      </a:prstGeom>
                    </wps:spPr>
                    <wps:txbx>
                      <w:txbxContent>
                        <w:p w14:paraId="7CB267AC" w14:textId="77777777" w:rsidR="008A4099" w:rsidRDefault="006A6EE2">
                          <w:pPr>
                            <w:spacing w:before="5"/>
                            <w:ind w:left="20"/>
                            <w:rPr>
                              <w:b/>
                              <w:sz w:val="32"/>
                            </w:rPr>
                          </w:pPr>
                          <w:r>
                            <w:rPr>
                              <w:b/>
                              <w:spacing w:val="-2"/>
                              <w:sz w:val="32"/>
                            </w:rPr>
                            <w:t>Acknowledgements</w:t>
                          </w:r>
                        </w:p>
                      </w:txbxContent>
                    </wps:txbx>
                    <wps:bodyPr wrap="square" lIns="0" tIns="0" rIns="0" bIns="0" rtlCol="0">
                      <a:noAutofit/>
                    </wps:bodyPr>
                  </wps:wsp>
                </a:graphicData>
              </a:graphic>
            </wp:anchor>
          </w:drawing>
        </mc:Choice>
        <mc:Fallback>
          <w:pict>
            <v:shapetype w14:anchorId="7CB266F3" id="_x0000_t202" coordsize="21600,21600" o:spt="202" path="m,l,21600r21600,l21600,xe">
              <v:stroke joinstyle="miter"/>
              <v:path gradientshapeok="t" o:connecttype="rect"/>
            </v:shapetype>
            <v:shape id="Textbox 7" o:spid="_x0000_s1053" type="#_x0000_t202" style="position:absolute;margin-left:71pt;margin-top:71.7pt;width:134.35pt;height:19.7pt;z-index:-180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" filled="f" stroked="f">
              <v:textbox inset="0,0,0,0">
                <w:txbxContent>
                  <w:p w14:paraId="7CB267AC" w14:textId="77777777" w:rsidR="008A4099" w:rsidRDefault="006A6EE2">
                    <w:pPr>
                      <w:spacing w:before="5"/>
                      <w:ind w:left="20"/>
                      <w:rPr>
                        <w:b/>
                        <w:sz w:val="32"/>
                      </w:rPr>
                    </w:pPr>
                    <w:r>
                      <w:rPr>
                        <w:b/>
                        <w:spacing w:val="-2"/>
                        <w:sz w:val="32"/>
                      </w:rPr>
                      <w:t>Acknowledgements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BD" w14:textId="77777777" w:rsidR="008A4099" w:rsidRDefault="006A6EE2">
    <w:pPr>
      <w:pStyle w:val="BodyText"/>
      <w:spacing w:line="14" w:lineRule="auto"/>
      <w:rPr>
        <w:sz w:val="20"/>
      </w:rPr>
    </w:pPr>
    <w:r>
      <w:rPr>
        <w:noProof/>
      </w:rPr>
      <mc:AlternateContent>
        <mc:Choice Requires="wps">
          <w:drawing>
            <wp:anchor distT="0" distB="0" distL="0" distR="0" simplePos="0" relativeHeight="485262848" behindDoc="1" locked="0" layoutInCell="1" allowOverlap="1" wp14:anchorId="7CB266F5" wp14:editId="7CB266F6">
              <wp:simplePos x="0" y="0"/>
              <wp:positionH relativeFrom="page">
                <wp:posOffset>902004</wp:posOffset>
              </wp:positionH>
              <wp:positionV relativeFrom="page">
                <wp:posOffset>910308</wp:posOffset>
              </wp:positionV>
              <wp:extent cx="3095625" cy="2501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250190"/>
                      </a:xfrm>
                      <a:prstGeom prst="rect">
                        <a:avLst/>
                      </a:prstGeom>
                    </wps:spPr>
                    <wps:txbx>
                      <w:txbxContent>
                        <w:p w14:paraId="7CB267AD" w14:textId="77777777" w:rsidR="008A4099" w:rsidRDefault="006A6EE2">
                          <w:pPr>
                            <w:spacing w:before="5"/>
                            <w:ind w:left="20"/>
                            <w:rPr>
                              <w:b/>
                              <w:sz w:val="32"/>
                            </w:rPr>
                          </w:pPr>
                          <w:r>
                            <w:rPr>
                              <w:b/>
                              <w:sz w:val="32"/>
                            </w:rPr>
                            <w:t>List</w:t>
                          </w:r>
                          <w:r>
                            <w:rPr>
                              <w:b/>
                              <w:spacing w:val="-9"/>
                              <w:sz w:val="32"/>
                            </w:rPr>
                            <w:t xml:space="preserve"> </w:t>
                          </w:r>
                          <w:r>
                            <w:rPr>
                              <w:b/>
                              <w:sz w:val="32"/>
                            </w:rPr>
                            <w:t>of</w:t>
                          </w:r>
                          <w:r>
                            <w:rPr>
                              <w:b/>
                              <w:spacing w:val="-7"/>
                              <w:sz w:val="32"/>
                            </w:rPr>
                            <w:t xml:space="preserve"> </w:t>
                          </w:r>
                          <w:r>
                            <w:rPr>
                              <w:b/>
                              <w:sz w:val="32"/>
                            </w:rPr>
                            <w:t>acronyms</w:t>
                          </w:r>
                          <w:r>
                            <w:rPr>
                              <w:b/>
                              <w:spacing w:val="-5"/>
                              <w:sz w:val="32"/>
                            </w:rPr>
                            <w:t xml:space="preserve"> </w:t>
                          </w:r>
                          <w:r>
                            <w:rPr>
                              <w:b/>
                              <w:sz w:val="32"/>
                            </w:rPr>
                            <w:t>and</w:t>
                          </w:r>
                          <w:r>
                            <w:rPr>
                              <w:b/>
                              <w:spacing w:val="-5"/>
                              <w:sz w:val="32"/>
                            </w:rPr>
                            <w:t xml:space="preserve"> </w:t>
                          </w:r>
                          <w:r>
                            <w:rPr>
                              <w:b/>
                              <w:spacing w:val="-2"/>
                              <w:sz w:val="32"/>
                            </w:rPr>
                            <w:t>abbreviations</w:t>
                          </w:r>
                        </w:p>
                      </w:txbxContent>
                    </wps:txbx>
                    <wps:bodyPr wrap="square" lIns="0" tIns="0" rIns="0" bIns="0" rtlCol="0">
                      <a:noAutofit/>
                    </wps:bodyPr>
                  </wps:wsp>
                </a:graphicData>
              </a:graphic>
            </wp:anchor>
          </w:drawing>
        </mc:Choice>
        <mc:Fallback>
          <w:pict>
            <v:shapetype w14:anchorId="7CB266F5" id="_x0000_t202" coordsize="21600,21600" o:spt="202" path="m,l,21600r21600,l21600,xe">
              <v:stroke joinstyle="miter"/>
              <v:path gradientshapeok="t" o:connecttype="rect"/>
            </v:shapetype>
            <v:shape id="Textbox 8" o:spid="_x0000_s1054" type="#_x0000_t202" style="position:absolute;margin-left:71pt;margin-top:71.7pt;width:243.75pt;height:19.7pt;z-index:-180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" filled="f" stroked="f">
              <v:textbox inset="0,0,0,0">
                <w:txbxContent>
                  <w:p w14:paraId="7CB267AD" w14:textId="77777777" w:rsidR="008A4099" w:rsidRDefault="006A6EE2">
                    <w:pPr>
                      <w:spacing w:before="5"/>
                      <w:ind w:left="20"/>
                      <w:rPr>
                        <w:b/>
                        <w:sz w:val="32"/>
                      </w:rPr>
                    </w:pPr>
                    <w:r>
                      <w:rPr>
                        <w:b/>
                        <w:sz w:val="32"/>
                      </w:rPr>
                      <w:t>List</w:t>
                    </w:r>
                    <w:r>
                      <w:rPr>
                        <w:b/>
                        <w:spacing w:val="-9"/>
                        <w:sz w:val="32"/>
                      </w:rPr>
                      <w:t xml:space="preserve"> </w:t>
                    </w:r>
                    <w:r>
                      <w:rPr>
                        <w:b/>
                        <w:sz w:val="32"/>
                      </w:rPr>
                      <w:t>of</w:t>
                    </w:r>
                    <w:r>
                      <w:rPr>
                        <w:b/>
                        <w:spacing w:val="-7"/>
                        <w:sz w:val="32"/>
                      </w:rPr>
                      <w:t xml:space="preserve"> </w:t>
                    </w:r>
                    <w:r>
                      <w:rPr>
                        <w:b/>
                        <w:sz w:val="32"/>
                      </w:rPr>
                      <w:t>acronyms</w:t>
                    </w:r>
                    <w:r>
                      <w:rPr>
                        <w:b/>
                        <w:spacing w:val="-5"/>
                        <w:sz w:val="32"/>
                      </w:rPr>
                      <w:t xml:space="preserve"> </w:t>
                    </w:r>
                    <w:r>
                      <w:rPr>
                        <w:b/>
                        <w:sz w:val="32"/>
                      </w:rPr>
                      <w:t>and</w:t>
                    </w:r>
                    <w:r>
                      <w:rPr>
                        <w:b/>
                        <w:spacing w:val="-5"/>
                        <w:sz w:val="32"/>
                      </w:rPr>
                      <w:t xml:space="preserve"> </w:t>
                    </w:r>
                    <w:r>
                      <w:rPr>
                        <w:b/>
                        <w:spacing w:val="-2"/>
                        <w:sz w:val="32"/>
                      </w:rPr>
                      <w:t>abbreviations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0" w14:textId="77777777" w:rsidR="008A4099" w:rsidRDefault="008A4099">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3" w14:textId="77777777" w:rsidR="008A4099" w:rsidRDefault="006A6EE2">
    <w:pPr>
      <w:pStyle w:val="BodyText"/>
      <w:spacing w:line="14" w:lineRule="auto"/>
      <w:rPr>
        <w:sz w:val="20"/>
      </w:rPr>
    </w:pPr>
    <w:r>
      <w:rPr>
        <w:noProof/>
      </w:rPr>
      <mc:AlternateContent>
        <mc:Choice Requires="wps">
          <w:drawing>
            <wp:anchor distT="0" distB="0" distL="0" distR="0" simplePos="0" relativeHeight="485265408" behindDoc="1" locked="0" layoutInCell="1" allowOverlap="1" wp14:anchorId="7CB266FF" wp14:editId="7CB26700">
              <wp:simplePos x="0" y="0"/>
              <wp:positionH relativeFrom="page">
                <wp:posOffset>902004</wp:posOffset>
              </wp:positionH>
              <wp:positionV relativeFrom="page">
                <wp:posOffset>910308</wp:posOffset>
              </wp:positionV>
              <wp:extent cx="1628139" cy="25019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139" cy="250190"/>
                      </a:xfrm>
                      <a:prstGeom prst="rect">
                        <a:avLst/>
                      </a:prstGeom>
                    </wps:spPr>
                    <wps:txbx>
                      <w:txbxContent>
                        <w:p w14:paraId="7CB267B2" w14:textId="77777777" w:rsidR="008A4099" w:rsidRDefault="006A6EE2">
                          <w:pPr>
                            <w:spacing w:before="5"/>
                            <w:ind w:left="20"/>
                            <w:rPr>
                              <w:b/>
                              <w:sz w:val="32"/>
                            </w:rPr>
                          </w:pPr>
                          <w:r>
                            <w:rPr>
                              <w:b/>
                              <w:spacing w:val="-2"/>
                              <w:sz w:val="32"/>
                            </w:rPr>
                            <w:t>Recommendations</w:t>
                          </w:r>
                        </w:p>
                      </w:txbxContent>
                    </wps:txbx>
                    <wps:bodyPr wrap="square" lIns="0" tIns="0" rIns="0" bIns="0" rtlCol="0">
                      <a:noAutofit/>
                    </wps:bodyPr>
                  </wps:wsp>
                </a:graphicData>
              </a:graphic>
            </wp:anchor>
          </w:drawing>
        </mc:Choice>
        <mc:Fallback>
          <w:pict>
            <v:shapetype w14:anchorId="7CB266FF" id="_x0000_t202" coordsize="21600,21600" o:spt="202" path="m,l,21600r21600,l21600,xe">
              <v:stroke joinstyle="miter"/>
              <v:path gradientshapeok="t" o:connecttype="rect"/>
            </v:shapetype>
            <v:shape id="Textbox 13" o:spid="_x0000_s1059" type="#_x0000_t202" style="position:absolute;margin-left:71pt;margin-top:71.7pt;width:128.2pt;height:19.7pt;z-index:-180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" filled="f" stroked="f">
              <v:textbox inset="0,0,0,0">
                <w:txbxContent>
                  <w:p w14:paraId="7CB267B2" w14:textId="77777777" w:rsidR="008A4099" w:rsidRDefault="006A6EE2">
                    <w:pPr>
                      <w:spacing w:before="5"/>
                      <w:ind w:left="20"/>
                      <w:rPr>
                        <w:b/>
                        <w:sz w:val="32"/>
                      </w:rPr>
                    </w:pPr>
                    <w:r>
                      <w:rPr>
                        <w:b/>
                        <w:spacing w:val="-2"/>
                        <w:sz w:val="32"/>
                      </w:rPr>
                      <w:t>Recommendations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4" w14:textId="77777777" w:rsidR="008A4099" w:rsidRDefault="008A4099">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5" w14:textId="77777777" w:rsidR="008A4099" w:rsidRDefault="008A4099">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66C8" w14:textId="77777777" w:rsidR="008A4099" w:rsidRDefault="008A409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762"/>
    <w:multiLevelType w:val="multilevel"/>
    <w:tmpl w:val="91224018"/>
    <w:lvl w:ilvl="0">
      <w:start w:val="4"/>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7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74" w:hanging="720"/>
      </w:pPr>
      <w:rPr>
        <w:rFonts w:hint="default"/>
        <w:lang w:val="en-US" w:eastAsia="en-US" w:bidi="ar-SA"/>
      </w:rPr>
    </w:lvl>
    <w:lvl w:ilvl="5">
      <w:numFmt w:val="bullet"/>
      <w:lvlText w:val="•"/>
      <w:lvlJc w:val="left"/>
      <w:pPr>
        <w:ind w:left="5373" w:hanging="720"/>
      </w:pPr>
      <w:rPr>
        <w:rFonts w:hint="default"/>
        <w:lang w:val="en-US" w:eastAsia="en-US" w:bidi="ar-SA"/>
      </w:rPr>
    </w:lvl>
    <w:lvl w:ilvl="6">
      <w:numFmt w:val="bullet"/>
      <w:lvlText w:val="•"/>
      <w:lvlJc w:val="left"/>
      <w:pPr>
        <w:ind w:left="6271" w:hanging="720"/>
      </w:pPr>
      <w:rPr>
        <w:rFonts w:hint="default"/>
        <w:lang w:val="en-US" w:eastAsia="en-US" w:bidi="ar-SA"/>
      </w:rPr>
    </w:lvl>
    <w:lvl w:ilvl="7">
      <w:numFmt w:val="bullet"/>
      <w:lvlText w:val="•"/>
      <w:lvlJc w:val="left"/>
      <w:pPr>
        <w:ind w:left="7170" w:hanging="720"/>
      </w:pPr>
      <w:rPr>
        <w:rFonts w:hint="default"/>
        <w:lang w:val="en-US" w:eastAsia="en-US" w:bidi="ar-SA"/>
      </w:rPr>
    </w:lvl>
    <w:lvl w:ilvl="8">
      <w:numFmt w:val="bullet"/>
      <w:lvlText w:val="•"/>
      <w:lvlJc w:val="left"/>
      <w:pPr>
        <w:ind w:left="8069" w:hanging="720"/>
      </w:pPr>
      <w:rPr>
        <w:rFonts w:hint="default"/>
        <w:lang w:val="en-US" w:eastAsia="en-US" w:bidi="ar-SA"/>
      </w:rPr>
    </w:lvl>
  </w:abstractNum>
  <w:abstractNum w:abstractNumId="1" w15:restartNumberingAfterBreak="0">
    <w:nsid w:val="1D945BE4"/>
    <w:multiLevelType w:val="hybridMultilevel"/>
    <w:tmpl w:val="123CCAFC"/>
    <w:lvl w:ilvl="0" w:tplc="CB80747E">
      <w:numFmt w:val="bullet"/>
      <w:lvlText w:val=""/>
      <w:lvlJc w:val="left"/>
      <w:pPr>
        <w:ind w:left="520" w:hanging="360"/>
      </w:pPr>
      <w:rPr>
        <w:rFonts w:ascii="Symbol" w:eastAsia="Symbol" w:hAnsi="Symbol" w:cs="Symbol" w:hint="default"/>
        <w:b w:val="0"/>
        <w:bCs w:val="0"/>
        <w:i w:val="0"/>
        <w:iCs w:val="0"/>
        <w:spacing w:val="0"/>
        <w:w w:val="100"/>
        <w:sz w:val="22"/>
        <w:szCs w:val="22"/>
        <w:lang w:val="en-US" w:eastAsia="en-US" w:bidi="ar-SA"/>
      </w:rPr>
    </w:lvl>
    <w:lvl w:ilvl="1" w:tplc="A2EA74AE">
      <w:numFmt w:val="bullet"/>
      <w:lvlText w:val="•"/>
      <w:lvlJc w:val="left"/>
      <w:pPr>
        <w:ind w:left="1454" w:hanging="360"/>
      </w:pPr>
      <w:rPr>
        <w:rFonts w:hint="default"/>
        <w:lang w:val="en-US" w:eastAsia="en-US" w:bidi="ar-SA"/>
      </w:rPr>
    </w:lvl>
    <w:lvl w:ilvl="2" w:tplc="B69E73F2">
      <w:numFmt w:val="bullet"/>
      <w:lvlText w:val="•"/>
      <w:lvlJc w:val="left"/>
      <w:pPr>
        <w:ind w:left="2389" w:hanging="360"/>
      </w:pPr>
      <w:rPr>
        <w:rFonts w:hint="default"/>
        <w:lang w:val="en-US" w:eastAsia="en-US" w:bidi="ar-SA"/>
      </w:rPr>
    </w:lvl>
    <w:lvl w:ilvl="3" w:tplc="992EEB32">
      <w:numFmt w:val="bullet"/>
      <w:lvlText w:val="•"/>
      <w:lvlJc w:val="left"/>
      <w:pPr>
        <w:ind w:left="3323" w:hanging="360"/>
      </w:pPr>
      <w:rPr>
        <w:rFonts w:hint="default"/>
        <w:lang w:val="en-US" w:eastAsia="en-US" w:bidi="ar-SA"/>
      </w:rPr>
    </w:lvl>
    <w:lvl w:ilvl="4" w:tplc="76982EC8">
      <w:numFmt w:val="bullet"/>
      <w:lvlText w:val="•"/>
      <w:lvlJc w:val="left"/>
      <w:pPr>
        <w:ind w:left="4258" w:hanging="360"/>
      </w:pPr>
      <w:rPr>
        <w:rFonts w:hint="default"/>
        <w:lang w:val="en-US" w:eastAsia="en-US" w:bidi="ar-SA"/>
      </w:rPr>
    </w:lvl>
    <w:lvl w:ilvl="5" w:tplc="35CE7AE2">
      <w:numFmt w:val="bullet"/>
      <w:lvlText w:val="•"/>
      <w:lvlJc w:val="left"/>
      <w:pPr>
        <w:ind w:left="5193" w:hanging="360"/>
      </w:pPr>
      <w:rPr>
        <w:rFonts w:hint="default"/>
        <w:lang w:val="en-US" w:eastAsia="en-US" w:bidi="ar-SA"/>
      </w:rPr>
    </w:lvl>
    <w:lvl w:ilvl="6" w:tplc="D400932A">
      <w:numFmt w:val="bullet"/>
      <w:lvlText w:val="•"/>
      <w:lvlJc w:val="left"/>
      <w:pPr>
        <w:ind w:left="6127" w:hanging="360"/>
      </w:pPr>
      <w:rPr>
        <w:rFonts w:hint="default"/>
        <w:lang w:val="en-US" w:eastAsia="en-US" w:bidi="ar-SA"/>
      </w:rPr>
    </w:lvl>
    <w:lvl w:ilvl="7" w:tplc="4FA02B96">
      <w:numFmt w:val="bullet"/>
      <w:lvlText w:val="•"/>
      <w:lvlJc w:val="left"/>
      <w:pPr>
        <w:ind w:left="7062" w:hanging="360"/>
      </w:pPr>
      <w:rPr>
        <w:rFonts w:hint="default"/>
        <w:lang w:val="en-US" w:eastAsia="en-US" w:bidi="ar-SA"/>
      </w:rPr>
    </w:lvl>
    <w:lvl w:ilvl="8" w:tplc="6E96CCB8">
      <w:numFmt w:val="bullet"/>
      <w:lvlText w:val="•"/>
      <w:lvlJc w:val="left"/>
      <w:pPr>
        <w:ind w:left="7997" w:hanging="360"/>
      </w:pPr>
      <w:rPr>
        <w:rFonts w:hint="default"/>
        <w:lang w:val="en-US" w:eastAsia="en-US" w:bidi="ar-SA"/>
      </w:rPr>
    </w:lvl>
  </w:abstractNum>
  <w:abstractNum w:abstractNumId="2" w15:restartNumberingAfterBreak="0">
    <w:nsid w:val="1F3F7990"/>
    <w:multiLevelType w:val="hybridMultilevel"/>
    <w:tmpl w:val="C4F6C4AE"/>
    <w:lvl w:ilvl="0" w:tplc="CB7A7CE8">
      <w:numFmt w:val="bullet"/>
      <w:lvlText w:val=""/>
      <w:lvlJc w:val="left"/>
      <w:pPr>
        <w:ind w:left="388" w:hanging="360"/>
      </w:pPr>
      <w:rPr>
        <w:rFonts w:ascii="Symbol" w:eastAsia="Symbol" w:hAnsi="Symbol" w:cs="Symbol" w:hint="default"/>
        <w:b w:val="0"/>
        <w:bCs w:val="0"/>
        <w:i w:val="0"/>
        <w:iCs w:val="0"/>
        <w:spacing w:val="0"/>
        <w:w w:val="100"/>
        <w:sz w:val="22"/>
        <w:szCs w:val="22"/>
        <w:lang w:val="en-US" w:eastAsia="en-US" w:bidi="ar-SA"/>
      </w:rPr>
    </w:lvl>
    <w:lvl w:ilvl="1" w:tplc="3E1E94D6">
      <w:numFmt w:val="bullet"/>
      <w:lvlText w:val="•"/>
      <w:lvlJc w:val="left"/>
      <w:pPr>
        <w:ind w:left="1250" w:hanging="360"/>
      </w:pPr>
      <w:rPr>
        <w:rFonts w:hint="default"/>
        <w:lang w:val="en-US" w:eastAsia="en-US" w:bidi="ar-SA"/>
      </w:rPr>
    </w:lvl>
    <w:lvl w:ilvl="2" w:tplc="69267028">
      <w:numFmt w:val="bullet"/>
      <w:lvlText w:val="•"/>
      <w:lvlJc w:val="left"/>
      <w:pPr>
        <w:ind w:left="2121" w:hanging="360"/>
      </w:pPr>
      <w:rPr>
        <w:rFonts w:hint="default"/>
        <w:lang w:val="en-US" w:eastAsia="en-US" w:bidi="ar-SA"/>
      </w:rPr>
    </w:lvl>
    <w:lvl w:ilvl="3" w:tplc="06A088B2">
      <w:numFmt w:val="bullet"/>
      <w:lvlText w:val="•"/>
      <w:lvlJc w:val="left"/>
      <w:pPr>
        <w:ind w:left="2991" w:hanging="360"/>
      </w:pPr>
      <w:rPr>
        <w:rFonts w:hint="default"/>
        <w:lang w:val="en-US" w:eastAsia="en-US" w:bidi="ar-SA"/>
      </w:rPr>
    </w:lvl>
    <w:lvl w:ilvl="4" w:tplc="A8E0416A">
      <w:numFmt w:val="bullet"/>
      <w:lvlText w:val="•"/>
      <w:lvlJc w:val="left"/>
      <w:pPr>
        <w:ind w:left="3862" w:hanging="360"/>
      </w:pPr>
      <w:rPr>
        <w:rFonts w:hint="default"/>
        <w:lang w:val="en-US" w:eastAsia="en-US" w:bidi="ar-SA"/>
      </w:rPr>
    </w:lvl>
    <w:lvl w:ilvl="5" w:tplc="FC90EDFE">
      <w:numFmt w:val="bullet"/>
      <w:lvlText w:val="•"/>
      <w:lvlJc w:val="left"/>
      <w:pPr>
        <w:ind w:left="4732" w:hanging="360"/>
      </w:pPr>
      <w:rPr>
        <w:rFonts w:hint="default"/>
        <w:lang w:val="en-US" w:eastAsia="en-US" w:bidi="ar-SA"/>
      </w:rPr>
    </w:lvl>
    <w:lvl w:ilvl="6" w:tplc="E2D23D06">
      <w:numFmt w:val="bullet"/>
      <w:lvlText w:val="•"/>
      <w:lvlJc w:val="left"/>
      <w:pPr>
        <w:ind w:left="5603" w:hanging="360"/>
      </w:pPr>
      <w:rPr>
        <w:rFonts w:hint="default"/>
        <w:lang w:val="en-US" w:eastAsia="en-US" w:bidi="ar-SA"/>
      </w:rPr>
    </w:lvl>
    <w:lvl w:ilvl="7" w:tplc="74B4ACA6">
      <w:numFmt w:val="bullet"/>
      <w:lvlText w:val="•"/>
      <w:lvlJc w:val="left"/>
      <w:pPr>
        <w:ind w:left="6473" w:hanging="360"/>
      </w:pPr>
      <w:rPr>
        <w:rFonts w:hint="default"/>
        <w:lang w:val="en-US" w:eastAsia="en-US" w:bidi="ar-SA"/>
      </w:rPr>
    </w:lvl>
    <w:lvl w:ilvl="8" w:tplc="F754F3B4">
      <w:numFmt w:val="bullet"/>
      <w:lvlText w:val="•"/>
      <w:lvlJc w:val="left"/>
      <w:pPr>
        <w:ind w:left="7344" w:hanging="360"/>
      </w:pPr>
      <w:rPr>
        <w:rFonts w:hint="default"/>
        <w:lang w:val="en-US" w:eastAsia="en-US" w:bidi="ar-SA"/>
      </w:rPr>
    </w:lvl>
  </w:abstractNum>
  <w:abstractNum w:abstractNumId="3" w15:restartNumberingAfterBreak="0">
    <w:nsid w:val="21016B08"/>
    <w:multiLevelType w:val="hybridMultilevel"/>
    <w:tmpl w:val="D2D27AC2"/>
    <w:lvl w:ilvl="0" w:tplc="080CFB0E">
      <w:start w:val="1"/>
      <w:numFmt w:val="decimal"/>
      <w:lvlText w:val="(%1)"/>
      <w:lvlJc w:val="left"/>
      <w:pPr>
        <w:ind w:left="124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152CA4F6">
      <w:numFmt w:val="bullet"/>
      <w:lvlText w:val="•"/>
      <w:lvlJc w:val="left"/>
      <w:pPr>
        <w:ind w:left="2102" w:hanging="360"/>
      </w:pPr>
      <w:rPr>
        <w:rFonts w:hint="default"/>
        <w:lang w:val="en-US" w:eastAsia="en-US" w:bidi="ar-SA"/>
      </w:rPr>
    </w:lvl>
    <w:lvl w:ilvl="2" w:tplc="EFA65E6C">
      <w:numFmt w:val="bullet"/>
      <w:lvlText w:val="•"/>
      <w:lvlJc w:val="left"/>
      <w:pPr>
        <w:ind w:left="2965" w:hanging="360"/>
      </w:pPr>
      <w:rPr>
        <w:rFonts w:hint="default"/>
        <w:lang w:val="en-US" w:eastAsia="en-US" w:bidi="ar-SA"/>
      </w:rPr>
    </w:lvl>
    <w:lvl w:ilvl="3" w:tplc="E2626EB6">
      <w:numFmt w:val="bullet"/>
      <w:lvlText w:val="•"/>
      <w:lvlJc w:val="left"/>
      <w:pPr>
        <w:ind w:left="3827" w:hanging="360"/>
      </w:pPr>
      <w:rPr>
        <w:rFonts w:hint="default"/>
        <w:lang w:val="en-US" w:eastAsia="en-US" w:bidi="ar-SA"/>
      </w:rPr>
    </w:lvl>
    <w:lvl w:ilvl="4" w:tplc="D7EC2466">
      <w:numFmt w:val="bullet"/>
      <w:lvlText w:val="•"/>
      <w:lvlJc w:val="left"/>
      <w:pPr>
        <w:ind w:left="4690" w:hanging="360"/>
      </w:pPr>
      <w:rPr>
        <w:rFonts w:hint="default"/>
        <w:lang w:val="en-US" w:eastAsia="en-US" w:bidi="ar-SA"/>
      </w:rPr>
    </w:lvl>
    <w:lvl w:ilvl="5" w:tplc="DCE28A78">
      <w:numFmt w:val="bullet"/>
      <w:lvlText w:val="•"/>
      <w:lvlJc w:val="left"/>
      <w:pPr>
        <w:ind w:left="5553" w:hanging="360"/>
      </w:pPr>
      <w:rPr>
        <w:rFonts w:hint="default"/>
        <w:lang w:val="en-US" w:eastAsia="en-US" w:bidi="ar-SA"/>
      </w:rPr>
    </w:lvl>
    <w:lvl w:ilvl="6" w:tplc="8FE48B1A">
      <w:numFmt w:val="bullet"/>
      <w:lvlText w:val="•"/>
      <w:lvlJc w:val="left"/>
      <w:pPr>
        <w:ind w:left="6415" w:hanging="360"/>
      </w:pPr>
      <w:rPr>
        <w:rFonts w:hint="default"/>
        <w:lang w:val="en-US" w:eastAsia="en-US" w:bidi="ar-SA"/>
      </w:rPr>
    </w:lvl>
    <w:lvl w:ilvl="7" w:tplc="C6DEC98C">
      <w:numFmt w:val="bullet"/>
      <w:lvlText w:val="•"/>
      <w:lvlJc w:val="left"/>
      <w:pPr>
        <w:ind w:left="7278" w:hanging="360"/>
      </w:pPr>
      <w:rPr>
        <w:rFonts w:hint="default"/>
        <w:lang w:val="en-US" w:eastAsia="en-US" w:bidi="ar-SA"/>
      </w:rPr>
    </w:lvl>
    <w:lvl w:ilvl="8" w:tplc="B1C4384A">
      <w:numFmt w:val="bullet"/>
      <w:lvlText w:val="•"/>
      <w:lvlJc w:val="left"/>
      <w:pPr>
        <w:ind w:left="8141" w:hanging="360"/>
      </w:pPr>
      <w:rPr>
        <w:rFonts w:hint="default"/>
        <w:lang w:val="en-US" w:eastAsia="en-US" w:bidi="ar-SA"/>
      </w:rPr>
    </w:lvl>
  </w:abstractNum>
  <w:abstractNum w:abstractNumId="4" w15:restartNumberingAfterBreak="0">
    <w:nsid w:val="26537336"/>
    <w:multiLevelType w:val="multilevel"/>
    <w:tmpl w:val="7C6A95F0"/>
    <w:lvl w:ilvl="0">
      <w:start w:val="3"/>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7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74" w:hanging="720"/>
      </w:pPr>
      <w:rPr>
        <w:rFonts w:hint="default"/>
        <w:lang w:val="en-US" w:eastAsia="en-US" w:bidi="ar-SA"/>
      </w:rPr>
    </w:lvl>
    <w:lvl w:ilvl="5">
      <w:numFmt w:val="bullet"/>
      <w:lvlText w:val="•"/>
      <w:lvlJc w:val="left"/>
      <w:pPr>
        <w:ind w:left="5373" w:hanging="720"/>
      </w:pPr>
      <w:rPr>
        <w:rFonts w:hint="default"/>
        <w:lang w:val="en-US" w:eastAsia="en-US" w:bidi="ar-SA"/>
      </w:rPr>
    </w:lvl>
    <w:lvl w:ilvl="6">
      <w:numFmt w:val="bullet"/>
      <w:lvlText w:val="•"/>
      <w:lvlJc w:val="left"/>
      <w:pPr>
        <w:ind w:left="6271" w:hanging="720"/>
      </w:pPr>
      <w:rPr>
        <w:rFonts w:hint="default"/>
        <w:lang w:val="en-US" w:eastAsia="en-US" w:bidi="ar-SA"/>
      </w:rPr>
    </w:lvl>
    <w:lvl w:ilvl="7">
      <w:numFmt w:val="bullet"/>
      <w:lvlText w:val="•"/>
      <w:lvlJc w:val="left"/>
      <w:pPr>
        <w:ind w:left="7170" w:hanging="720"/>
      </w:pPr>
      <w:rPr>
        <w:rFonts w:hint="default"/>
        <w:lang w:val="en-US" w:eastAsia="en-US" w:bidi="ar-SA"/>
      </w:rPr>
    </w:lvl>
    <w:lvl w:ilvl="8">
      <w:numFmt w:val="bullet"/>
      <w:lvlText w:val="•"/>
      <w:lvlJc w:val="left"/>
      <w:pPr>
        <w:ind w:left="8069" w:hanging="720"/>
      </w:pPr>
      <w:rPr>
        <w:rFonts w:hint="default"/>
        <w:lang w:val="en-US" w:eastAsia="en-US" w:bidi="ar-SA"/>
      </w:rPr>
    </w:lvl>
  </w:abstractNum>
  <w:abstractNum w:abstractNumId="5" w15:restartNumberingAfterBreak="0">
    <w:nsid w:val="345C798E"/>
    <w:multiLevelType w:val="multilevel"/>
    <w:tmpl w:val="23BC651A"/>
    <w:lvl w:ilvl="0">
      <w:start w:val="2"/>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7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74" w:hanging="720"/>
      </w:pPr>
      <w:rPr>
        <w:rFonts w:hint="default"/>
        <w:lang w:val="en-US" w:eastAsia="en-US" w:bidi="ar-SA"/>
      </w:rPr>
    </w:lvl>
    <w:lvl w:ilvl="5">
      <w:numFmt w:val="bullet"/>
      <w:lvlText w:val="•"/>
      <w:lvlJc w:val="left"/>
      <w:pPr>
        <w:ind w:left="5373" w:hanging="720"/>
      </w:pPr>
      <w:rPr>
        <w:rFonts w:hint="default"/>
        <w:lang w:val="en-US" w:eastAsia="en-US" w:bidi="ar-SA"/>
      </w:rPr>
    </w:lvl>
    <w:lvl w:ilvl="6">
      <w:numFmt w:val="bullet"/>
      <w:lvlText w:val="•"/>
      <w:lvlJc w:val="left"/>
      <w:pPr>
        <w:ind w:left="6271" w:hanging="720"/>
      </w:pPr>
      <w:rPr>
        <w:rFonts w:hint="default"/>
        <w:lang w:val="en-US" w:eastAsia="en-US" w:bidi="ar-SA"/>
      </w:rPr>
    </w:lvl>
    <w:lvl w:ilvl="7">
      <w:numFmt w:val="bullet"/>
      <w:lvlText w:val="•"/>
      <w:lvlJc w:val="left"/>
      <w:pPr>
        <w:ind w:left="7170" w:hanging="720"/>
      </w:pPr>
      <w:rPr>
        <w:rFonts w:hint="default"/>
        <w:lang w:val="en-US" w:eastAsia="en-US" w:bidi="ar-SA"/>
      </w:rPr>
    </w:lvl>
    <w:lvl w:ilvl="8">
      <w:numFmt w:val="bullet"/>
      <w:lvlText w:val="•"/>
      <w:lvlJc w:val="left"/>
      <w:pPr>
        <w:ind w:left="8069" w:hanging="720"/>
      </w:pPr>
      <w:rPr>
        <w:rFonts w:hint="default"/>
        <w:lang w:val="en-US" w:eastAsia="en-US" w:bidi="ar-SA"/>
      </w:rPr>
    </w:lvl>
  </w:abstractNum>
  <w:abstractNum w:abstractNumId="6" w15:restartNumberingAfterBreak="0">
    <w:nsid w:val="38BD6211"/>
    <w:multiLevelType w:val="hybridMultilevel"/>
    <w:tmpl w:val="D1D8F0F2"/>
    <w:lvl w:ilvl="0" w:tplc="0D340434">
      <w:numFmt w:val="bullet"/>
      <w:lvlText w:val=""/>
      <w:lvlJc w:val="left"/>
      <w:pPr>
        <w:ind w:left="1228" w:hanging="360"/>
      </w:pPr>
      <w:rPr>
        <w:rFonts w:ascii="Symbol" w:eastAsia="Symbol" w:hAnsi="Symbol" w:cs="Symbol" w:hint="default"/>
        <w:b w:val="0"/>
        <w:bCs w:val="0"/>
        <w:i w:val="0"/>
        <w:iCs w:val="0"/>
        <w:spacing w:val="0"/>
        <w:w w:val="100"/>
        <w:sz w:val="22"/>
        <w:szCs w:val="22"/>
        <w:lang w:val="en-US" w:eastAsia="en-US" w:bidi="ar-SA"/>
      </w:rPr>
    </w:lvl>
    <w:lvl w:ilvl="1" w:tplc="84E256E6">
      <w:numFmt w:val="bullet"/>
      <w:lvlText w:val="•"/>
      <w:lvlJc w:val="left"/>
      <w:pPr>
        <w:ind w:left="2084" w:hanging="360"/>
      </w:pPr>
      <w:rPr>
        <w:rFonts w:hint="default"/>
        <w:lang w:val="en-US" w:eastAsia="en-US" w:bidi="ar-SA"/>
      </w:rPr>
    </w:lvl>
    <w:lvl w:ilvl="2" w:tplc="287EF6D0">
      <w:numFmt w:val="bullet"/>
      <w:lvlText w:val="•"/>
      <w:lvlJc w:val="left"/>
      <w:pPr>
        <w:ind w:left="2949" w:hanging="360"/>
      </w:pPr>
      <w:rPr>
        <w:rFonts w:hint="default"/>
        <w:lang w:val="en-US" w:eastAsia="en-US" w:bidi="ar-SA"/>
      </w:rPr>
    </w:lvl>
    <w:lvl w:ilvl="3" w:tplc="25D0244A">
      <w:numFmt w:val="bullet"/>
      <w:lvlText w:val="•"/>
      <w:lvlJc w:val="left"/>
      <w:pPr>
        <w:ind w:left="3813" w:hanging="360"/>
      </w:pPr>
      <w:rPr>
        <w:rFonts w:hint="default"/>
        <w:lang w:val="en-US" w:eastAsia="en-US" w:bidi="ar-SA"/>
      </w:rPr>
    </w:lvl>
    <w:lvl w:ilvl="4" w:tplc="B84AA760">
      <w:numFmt w:val="bullet"/>
      <w:lvlText w:val="•"/>
      <w:lvlJc w:val="left"/>
      <w:pPr>
        <w:ind w:left="4678" w:hanging="360"/>
      </w:pPr>
      <w:rPr>
        <w:rFonts w:hint="default"/>
        <w:lang w:val="en-US" w:eastAsia="en-US" w:bidi="ar-SA"/>
      </w:rPr>
    </w:lvl>
    <w:lvl w:ilvl="5" w:tplc="BB6A5940">
      <w:numFmt w:val="bullet"/>
      <w:lvlText w:val="•"/>
      <w:lvlJc w:val="left"/>
      <w:pPr>
        <w:ind w:left="5543" w:hanging="360"/>
      </w:pPr>
      <w:rPr>
        <w:rFonts w:hint="default"/>
        <w:lang w:val="en-US" w:eastAsia="en-US" w:bidi="ar-SA"/>
      </w:rPr>
    </w:lvl>
    <w:lvl w:ilvl="6" w:tplc="3FE0FAD6">
      <w:numFmt w:val="bullet"/>
      <w:lvlText w:val="•"/>
      <w:lvlJc w:val="left"/>
      <w:pPr>
        <w:ind w:left="6407" w:hanging="360"/>
      </w:pPr>
      <w:rPr>
        <w:rFonts w:hint="default"/>
        <w:lang w:val="en-US" w:eastAsia="en-US" w:bidi="ar-SA"/>
      </w:rPr>
    </w:lvl>
    <w:lvl w:ilvl="7" w:tplc="97F289D0">
      <w:numFmt w:val="bullet"/>
      <w:lvlText w:val="•"/>
      <w:lvlJc w:val="left"/>
      <w:pPr>
        <w:ind w:left="7272" w:hanging="360"/>
      </w:pPr>
      <w:rPr>
        <w:rFonts w:hint="default"/>
        <w:lang w:val="en-US" w:eastAsia="en-US" w:bidi="ar-SA"/>
      </w:rPr>
    </w:lvl>
    <w:lvl w:ilvl="8" w:tplc="8758CA2E">
      <w:numFmt w:val="bullet"/>
      <w:lvlText w:val="•"/>
      <w:lvlJc w:val="left"/>
      <w:pPr>
        <w:ind w:left="8137" w:hanging="360"/>
      </w:pPr>
      <w:rPr>
        <w:rFonts w:hint="default"/>
        <w:lang w:val="en-US" w:eastAsia="en-US" w:bidi="ar-SA"/>
      </w:rPr>
    </w:lvl>
  </w:abstractNum>
  <w:abstractNum w:abstractNumId="7" w15:restartNumberingAfterBreak="0">
    <w:nsid w:val="3E5C05BE"/>
    <w:multiLevelType w:val="hybridMultilevel"/>
    <w:tmpl w:val="FAF8C908"/>
    <w:lvl w:ilvl="0" w:tplc="CBFABEF4">
      <w:numFmt w:val="bullet"/>
      <w:lvlText w:val="o"/>
      <w:lvlJc w:val="left"/>
      <w:pPr>
        <w:ind w:left="729" w:hanging="286"/>
      </w:pPr>
      <w:rPr>
        <w:rFonts w:ascii="Courier New" w:eastAsia="Courier New" w:hAnsi="Courier New" w:cs="Courier New" w:hint="default"/>
        <w:b w:val="0"/>
        <w:bCs w:val="0"/>
        <w:i w:val="0"/>
        <w:iCs w:val="0"/>
        <w:spacing w:val="0"/>
        <w:w w:val="100"/>
        <w:sz w:val="22"/>
        <w:szCs w:val="22"/>
        <w:lang w:val="en-US" w:eastAsia="en-US" w:bidi="ar-SA"/>
      </w:rPr>
    </w:lvl>
    <w:lvl w:ilvl="1" w:tplc="176A8166">
      <w:numFmt w:val="bullet"/>
      <w:lvlText w:val="o"/>
      <w:lvlJc w:val="left"/>
      <w:pPr>
        <w:ind w:left="1578" w:hanging="567"/>
      </w:pPr>
      <w:rPr>
        <w:rFonts w:ascii="Courier New" w:eastAsia="Courier New" w:hAnsi="Courier New" w:cs="Courier New" w:hint="default"/>
        <w:b w:val="0"/>
        <w:bCs w:val="0"/>
        <w:i w:val="0"/>
        <w:iCs w:val="0"/>
        <w:spacing w:val="0"/>
        <w:w w:val="100"/>
        <w:sz w:val="22"/>
        <w:szCs w:val="22"/>
        <w:lang w:val="en-US" w:eastAsia="en-US" w:bidi="ar-SA"/>
      </w:rPr>
    </w:lvl>
    <w:lvl w:ilvl="2" w:tplc="CE6817B6">
      <w:numFmt w:val="bullet"/>
      <w:lvlText w:val="•"/>
      <w:lvlJc w:val="left"/>
      <w:pPr>
        <w:ind w:left="1580" w:hanging="567"/>
      </w:pPr>
      <w:rPr>
        <w:rFonts w:hint="default"/>
        <w:lang w:val="en-US" w:eastAsia="en-US" w:bidi="ar-SA"/>
      </w:rPr>
    </w:lvl>
    <w:lvl w:ilvl="3" w:tplc="2472AF3C">
      <w:numFmt w:val="bullet"/>
      <w:lvlText w:val="•"/>
      <w:lvlJc w:val="left"/>
      <w:pPr>
        <w:ind w:left="1680" w:hanging="567"/>
      </w:pPr>
      <w:rPr>
        <w:rFonts w:hint="default"/>
        <w:lang w:val="en-US" w:eastAsia="en-US" w:bidi="ar-SA"/>
      </w:rPr>
    </w:lvl>
    <w:lvl w:ilvl="4" w:tplc="1BBA332E">
      <w:numFmt w:val="bullet"/>
      <w:lvlText w:val="•"/>
      <w:lvlJc w:val="left"/>
      <w:pPr>
        <w:ind w:left="2849" w:hanging="567"/>
      </w:pPr>
      <w:rPr>
        <w:rFonts w:hint="default"/>
        <w:lang w:val="en-US" w:eastAsia="en-US" w:bidi="ar-SA"/>
      </w:rPr>
    </w:lvl>
    <w:lvl w:ilvl="5" w:tplc="C75E000C">
      <w:numFmt w:val="bullet"/>
      <w:lvlText w:val="•"/>
      <w:lvlJc w:val="left"/>
      <w:pPr>
        <w:ind w:left="4018" w:hanging="567"/>
      </w:pPr>
      <w:rPr>
        <w:rFonts w:hint="default"/>
        <w:lang w:val="en-US" w:eastAsia="en-US" w:bidi="ar-SA"/>
      </w:rPr>
    </w:lvl>
    <w:lvl w:ilvl="6" w:tplc="3402A9BA">
      <w:numFmt w:val="bullet"/>
      <w:lvlText w:val="•"/>
      <w:lvlJc w:val="left"/>
      <w:pPr>
        <w:ind w:left="5188" w:hanging="567"/>
      </w:pPr>
      <w:rPr>
        <w:rFonts w:hint="default"/>
        <w:lang w:val="en-US" w:eastAsia="en-US" w:bidi="ar-SA"/>
      </w:rPr>
    </w:lvl>
    <w:lvl w:ilvl="7" w:tplc="BB8A2A3C">
      <w:numFmt w:val="bullet"/>
      <w:lvlText w:val="•"/>
      <w:lvlJc w:val="left"/>
      <w:pPr>
        <w:ind w:left="6357" w:hanging="567"/>
      </w:pPr>
      <w:rPr>
        <w:rFonts w:hint="default"/>
        <w:lang w:val="en-US" w:eastAsia="en-US" w:bidi="ar-SA"/>
      </w:rPr>
    </w:lvl>
    <w:lvl w:ilvl="8" w:tplc="974A6F2A">
      <w:numFmt w:val="bullet"/>
      <w:lvlText w:val="•"/>
      <w:lvlJc w:val="left"/>
      <w:pPr>
        <w:ind w:left="7527" w:hanging="567"/>
      </w:pPr>
      <w:rPr>
        <w:rFonts w:hint="default"/>
        <w:lang w:val="en-US" w:eastAsia="en-US" w:bidi="ar-SA"/>
      </w:rPr>
    </w:lvl>
  </w:abstractNum>
  <w:abstractNum w:abstractNumId="8" w15:restartNumberingAfterBreak="0">
    <w:nsid w:val="4D5B5E96"/>
    <w:multiLevelType w:val="multilevel"/>
    <w:tmpl w:val="D2940F5E"/>
    <w:lvl w:ilvl="0">
      <w:start w:val="1"/>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7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74" w:hanging="720"/>
      </w:pPr>
      <w:rPr>
        <w:rFonts w:hint="default"/>
        <w:lang w:val="en-US" w:eastAsia="en-US" w:bidi="ar-SA"/>
      </w:rPr>
    </w:lvl>
    <w:lvl w:ilvl="5">
      <w:numFmt w:val="bullet"/>
      <w:lvlText w:val="•"/>
      <w:lvlJc w:val="left"/>
      <w:pPr>
        <w:ind w:left="5373" w:hanging="720"/>
      </w:pPr>
      <w:rPr>
        <w:rFonts w:hint="default"/>
        <w:lang w:val="en-US" w:eastAsia="en-US" w:bidi="ar-SA"/>
      </w:rPr>
    </w:lvl>
    <w:lvl w:ilvl="6">
      <w:numFmt w:val="bullet"/>
      <w:lvlText w:val="•"/>
      <w:lvlJc w:val="left"/>
      <w:pPr>
        <w:ind w:left="6271" w:hanging="720"/>
      </w:pPr>
      <w:rPr>
        <w:rFonts w:hint="default"/>
        <w:lang w:val="en-US" w:eastAsia="en-US" w:bidi="ar-SA"/>
      </w:rPr>
    </w:lvl>
    <w:lvl w:ilvl="7">
      <w:numFmt w:val="bullet"/>
      <w:lvlText w:val="•"/>
      <w:lvlJc w:val="left"/>
      <w:pPr>
        <w:ind w:left="7170" w:hanging="720"/>
      </w:pPr>
      <w:rPr>
        <w:rFonts w:hint="default"/>
        <w:lang w:val="en-US" w:eastAsia="en-US" w:bidi="ar-SA"/>
      </w:rPr>
    </w:lvl>
    <w:lvl w:ilvl="8">
      <w:numFmt w:val="bullet"/>
      <w:lvlText w:val="•"/>
      <w:lvlJc w:val="left"/>
      <w:pPr>
        <w:ind w:left="8069" w:hanging="720"/>
      </w:pPr>
      <w:rPr>
        <w:rFonts w:hint="default"/>
        <w:lang w:val="en-US" w:eastAsia="en-US" w:bidi="ar-SA"/>
      </w:rPr>
    </w:lvl>
  </w:abstractNum>
  <w:abstractNum w:abstractNumId="9" w15:restartNumberingAfterBreak="0">
    <w:nsid w:val="4F1E07CA"/>
    <w:multiLevelType w:val="multilevel"/>
    <w:tmpl w:val="16D0868C"/>
    <w:lvl w:ilvl="0">
      <w:start w:val="1"/>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bCs/>
        <w:i w:val="0"/>
        <w:iCs w:val="0"/>
        <w:spacing w:val="0"/>
        <w:w w:val="99"/>
        <w:sz w:val="32"/>
        <w:szCs w:val="32"/>
        <w:lang w:val="en-US" w:eastAsia="en-US" w:bidi="ar-SA"/>
      </w:rPr>
    </w:lvl>
    <w:lvl w:ilvl="2">
      <w:start w:val="1"/>
      <w:numFmt w:val="decimal"/>
      <w:lvlText w:val="%1.%2.%3"/>
      <w:lvlJc w:val="left"/>
      <w:pPr>
        <w:ind w:left="160" w:hanging="720"/>
        <w:jc w:val="left"/>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1228" w:hanging="360"/>
      </w:pPr>
      <w:rPr>
        <w:rFonts w:ascii="Symbol" w:eastAsia="Symbol" w:hAnsi="Symbol" w:cs="Symbol" w:hint="default"/>
        <w:b w:val="0"/>
        <w:bCs w:val="0"/>
        <w:i w:val="0"/>
        <w:iCs w:val="0"/>
        <w:spacing w:val="0"/>
        <w:w w:val="100"/>
        <w:sz w:val="22"/>
        <w:szCs w:val="22"/>
        <w:lang w:val="en-US" w:eastAsia="en-US" w:bidi="ar-SA"/>
      </w:rPr>
    </w:lvl>
    <w:lvl w:ilvl="4">
      <w:numFmt w:val="bullet"/>
      <w:lvlText w:val="o"/>
      <w:lvlJc w:val="left"/>
      <w:pPr>
        <w:ind w:left="1600" w:hanging="360"/>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3961" w:hanging="360"/>
      </w:pPr>
      <w:rPr>
        <w:rFonts w:hint="default"/>
        <w:lang w:val="en-US" w:eastAsia="en-US" w:bidi="ar-SA"/>
      </w:rPr>
    </w:lvl>
    <w:lvl w:ilvl="6">
      <w:numFmt w:val="bullet"/>
      <w:lvlText w:val="•"/>
      <w:lvlJc w:val="left"/>
      <w:pPr>
        <w:ind w:left="5142" w:hanging="360"/>
      </w:pPr>
      <w:rPr>
        <w:rFonts w:hint="default"/>
        <w:lang w:val="en-US" w:eastAsia="en-US" w:bidi="ar-SA"/>
      </w:rPr>
    </w:lvl>
    <w:lvl w:ilvl="7">
      <w:numFmt w:val="bullet"/>
      <w:lvlText w:val="•"/>
      <w:lvlJc w:val="left"/>
      <w:pPr>
        <w:ind w:left="6323" w:hanging="360"/>
      </w:pPr>
      <w:rPr>
        <w:rFonts w:hint="default"/>
        <w:lang w:val="en-US" w:eastAsia="en-US" w:bidi="ar-SA"/>
      </w:rPr>
    </w:lvl>
    <w:lvl w:ilvl="8">
      <w:numFmt w:val="bullet"/>
      <w:lvlText w:val="•"/>
      <w:lvlJc w:val="left"/>
      <w:pPr>
        <w:ind w:left="7504" w:hanging="360"/>
      </w:pPr>
      <w:rPr>
        <w:rFonts w:hint="default"/>
        <w:lang w:val="en-US" w:eastAsia="en-US" w:bidi="ar-SA"/>
      </w:rPr>
    </w:lvl>
  </w:abstractNum>
  <w:abstractNum w:abstractNumId="10" w15:restartNumberingAfterBreak="0">
    <w:nsid w:val="501E52E2"/>
    <w:multiLevelType w:val="multilevel"/>
    <w:tmpl w:val="EAE4E122"/>
    <w:lvl w:ilvl="0">
      <w:start w:val="3"/>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bCs/>
        <w:i w:val="0"/>
        <w:iCs w:val="0"/>
        <w:spacing w:val="0"/>
        <w:w w:val="99"/>
        <w:sz w:val="32"/>
        <w:szCs w:val="32"/>
        <w:lang w:val="en-US" w:eastAsia="en-US" w:bidi="ar-SA"/>
      </w:rPr>
    </w:lvl>
    <w:lvl w:ilvl="2">
      <w:start w:val="1"/>
      <w:numFmt w:val="decimal"/>
      <w:lvlText w:val="%1.%2.%3"/>
      <w:lvlJc w:val="left"/>
      <w:pPr>
        <w:ind w:left="160" w:hanging="720"/>
        <w:jc w:val="left"/>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873" w:hanging="356"/>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875" w:hanging="356"/>
      </w:pPr>
      <w:rPr>
        <w:rFonts w:hint="default"/>
        <w:lang w:val="en-US" w:eastAsia="en-US" w:bidi="ar-SA"/>
      </w:rPr>
    </w:lvl>
    <w:lvl w:ilvl="5">
      <w:numFmt w:val="bullet"/>
      <w:lvlText w:val="•"/>
      <w:lvlJc w:val="left"/>
      <w:pPr>
        <w:ind w:left="4873" w:hanging="356"/>
      </w:pPr>
      <w:rPr>
        <w:rFonts w:hint="default"/>
        <w:lang w:val="en-US" w:eastAsia="en-US" w:bidi="ar-SA"/>
      </w:rPr>
    </w:lvl>
    <w:lvl w:ilvl="6">
      <w:numFmt w:val="bullet"/>
      <w:lvlText w:val="•"/>
      <w:lvlJc w:val="left"/>
      <w:pPr>
        <w:ind w:left="5872" w:hanging="356"/>
      </w:pPr>
      <w:rPr>
        <w:rFonts w:hint="default"/>
        <w:lang w:val="en-US" w:eastAsia="en-US" w:bidi="ar-SA"/>
      </w:rPr>
    </w:lvl>
    <w:lvl w:ilvl="7">
      <w:numFmt w:val="bullet"/>
      <w:lvlText w:val="•"/>
      <w:lvlJc w:val="left"/>
      <w:pPr>
        <w:ind w:left="6870" w:hanging="356"/>
      </w:pPr>
      <w:rPr>
        <w:rFonts w:hint="default"/>
        <w:lang w:val="en-US" w:eastAsia="en-US" w:bidi="ar-SA"/>
      </w:rPr>
    </w:lvl>
    <w:lvl w:ilvl="8">
      <w:numFmt w:val="bullet"/>
      <w:lvlText w:val="•"/>
      <w:lvlJc w:val="left"/>
      <w:pPr>
        <w:ind w:left="7869" w:hanging="356"/>
      </w:pPr>
      <w:rPr>
        <w:rFonts w:hint="default"/>
        <w:lang w:val="en-US" w:eastAsia="en-US" w:bidi="ar-SA"/>
      </w:rPr>
    </w:lvl>
  </w:abstractNum>
  <w:abstractNum w:abstractNumId="11" w15:restartNumberingAfterBreak="0">
    <w:nsid w:val="51F200E3"/>
    <w:multiLevelType w:val="hybridMultilevel"/>
    <w:tmpl w:val="5FFE2656"/>
    <w:lvl w:ilvl="0" w:tplc="24843B5C">
      <w:numFmt w:val="bullet"/>
      <w:lvlText w:val=""/>
      <w:lvlJc w:val="left"/>
      <w:pPr>
        <w:ind w:left="873" w:hanging="356"/>
      </w:pPr>
      <w:rPr>
        <w:rFonts w:ascii="Symbol" w:eastAsia="Symbol" w:hAnsi="Symbol" w:cs="Symbol" w:hint="default"/>
        <w:b w:val="0"/>
        <w:bCs w:val="0"/>
        <w:i w:val="0"/>
        <w:iCs w:val="0"/>
        <w:spacing w:val="0"/>
        <w:w w:val="100"/>
        <w:sz w:val="22"/>
        <w:szCs w:val="22"/>
        <w:lang w:val="en-US" w:eastAsia="en-US" w:bidi="ar-SA"/>
      </w:rPr>
    </w:lvl>
    <w:lvl w:ilvl="1" w:tplc="914221BC">
      <w:numFmt w:val="bullet"/>
      <w:lvlText w:val="o"/>
      <w:lvlJc w:val="left"/>
      <w:pPr>
        <w:ind w:left="1600" w:hanging="360"/>
      </w:pPr>
      <w:rPr>
        <w:rFonts w:ascii="Courier New" w:eastAsia="Courier New" w:hAnsi="Courier New" w:cs="Courier New" w:hint="default"/>
        <w:b w:val="0"/>
        <w:bCs w:val="0"/>
        <w:i w:val="0"/>
        <w:iCs w:val="0"/>
        <w:spacing w:val="0"/>
        <w:w w:val="100"/>
        <w:sz w:val="22"/>
        <w:szCs w:val="22"/>
        <w:lang w:val="en-US" w:eastAsia="en-US" w:bidi="ar-SA"/>
      </w:rPr>
    </w:lvl>
    <w:lvl w:ilvl="2" w:tplc="7B120906">
      <w:numFmt w:val="bullet"/>
      <w:lvlText w:val="•"/>
      <w:lvlJc w:val="left"/>
      <w:pPr>
        <w:ind w:left="2518" w:hanging="360"/>
      </w:pPr>
      <w:rPr>
        <w:rFonts w:hint="default"/>
        <w:lang w:val="en-US" w:eastAsia="en-US" w:bidi="ar-SA"/>
      </w:rPr>
    </w:lvl>
    <w:lvl w:ilvl="3" w:tplc="AB100E00">
      <w:numFmt w:val="bullet"/>
      <w:lvlText w:val="•"/>
      <w:lvlJc w:val="left"/>
      <w:pPr>
        <w:ind w:left="3436" w:hanging="360"/>
      </w:pPr>
      <w:rPr>
        <w:rFonts w:hint="default"/>
        <w:lang w:val="en-US" w:eastAsia="en-US" w:bidi="ar-SA"/>
      </w:rPr>
    </w:lvl>
    <w:lvl w:ilvl="4" w:tplc="77C07D7C">
      <w:numFmt w:val="bullet"/>
      <w:lvlText w:val="•"/>
      <w:lvlJc w:val="left"/>
      <w:pPr>
        <w:ind w:left="4355" w:hanging="360"/>
      </w:pPr>
      <w:rPr>
        <w:rFonts w:hint="default"/>
        <w:lang w:val="en-US" w:eastAsia="en-US" w:bidi="ar-SA"/>
      </w:rPr>
    </w:lvl>
    <w:lvl w:ilvl="5" w:tplc="6EB0B7F0">
      <w:numFmt w:val="bullet"/>
      <w:lvlText w:val="•"/>
      <w:lvlJc w:val="left"/>
      <w:pPr>
        <w:ind w:left="5273" w:hanging="360"/>
      </w:pPr>
      <w:rPr>
        <w:rFonts w:hint="default"/>
        <w:lang w:val="en-US" w:eastAsia="en-US" w:bidi="ar-SA"/>
      </w:rPr>
    </w:lvl>
    <w:lvl w:ilvl="6" w:tplc="1130C548">
      <w:numFmt w:val="bullet"/>
      <w:lvlText w:val="•"/>
      <w:lvlJc w:val="left"/>
      <w:pPr>
        <w:ind w:left="6192" w:hanging="360"/>
      </w:pPr>
      <w:rPr>
        <w:rFonts w:hint="default"/>
        <w:lang w:val="en-US" w:eastAsia="en-US" w:bidi="ar-SA"/>
      </w:rPr>
    </w:lvl>
    <w:lvl w:ilvl="7" w:tplc="DA4E63FC">
      <w:numFmt w:val="bullet"/>
      <w:lvlText w:val="•"/>
      <w:lvlJc w:val="left"/>
      <w:pPr>
        <w:ind w:left="7110" w:hanging="360"/>
      </w:pPr>
      <w:rPr>
        <w:rFonts w:hint="default"/>
        <w:lang w:val="en-US" w:eastAsia="en-US" w:bidi="ar-SA"/>
      </w:rPr>
    </w:lvl>
    <w:lvl w:ilvl="8" w:tplc="3BFEF23E">
      <w:numFmt w:val="bullet"/>
      <w:lvlText w:val="•"/>
      <w:lvlJc w:val="left"/>
      <w:pPr>
        <w:ind w:left="8029" w:hanging="360"/>
      </w:pPr>
      <w:rPr>
        <w:rFonts w:hint="default"/>
        <w:lang w:val="en-US" w:eastAsia="en-US" w:bidi="ar-SA"/>
      </w:rPr>
    </w:lvl>
  </w:abstractNum>
  <w:abstractNum w:abstractNumId="12" w15:restartNumberingAfterBreak="0">
    <w:nsid w:val="58E627F6"/>
    <w:multiLevelType w:val="hybridMultilevel"/>
    <w:tmpl w:val="78AA78BC"/>
    <w:lvl w:ilvl="0" w:tplc="33300262">
      <w:start w:val="1"/>
      <w:numFmt w:val="lowerRoman"/>
      <w:lvlText w:val="%1."/>
      <w:lvlJc w:val="left"/>
      <w:pPr>
        <w:ind w:left="981" w:hanging="483"/>
        <w:jc w:val="right"/>
      </w:pPr>
      <w:rPr>
        <w:rFonts w:ascii="Times New Roman" w:eastAsia="Times New Roman" w:hAnsi="Times New Roman" w:cs="Times New Roman" w:hint="default"/>
        <w:b w:val="0"/>
        <w:bCs w:val="0"/>
        <w:i w:val="0"/>
        <w:iCs w:val="0"/>
        <w:spacing w:val="0"/>
        <w:w w:val="103"/>
        <w:sz w:val="22"/>
        <w:szCs w:val="22"/>
        <w:lang w:val="en-US" w:eastAsia="en-US" w:bidi="ar-SA"/>
      </w:rPr>
    </w:lvl>
    <w:lvl w:ilvl="1" w:tplc="B54A88A8">
      <w:numFmt w:val="bullet"/>
      <w:lvlText w:val="•"/>
      <w:lvlJc w:val="left"/>
      <w:pPr>
        <w:ind w:left="1868" w:hanging="483"/>
      </w:pPr>
      <w:rPr>
        <w:rFonts w:hint="default"/>
        <w:lang w:val="en-US" w:eastAsia="en-US" w:bidi="ar-SA"/>
      </w:rPr>
    </w:lvl>
    <w:lvl w:ilvl="2" w:tplc="1BEED6CE">
      <w:numFmt w:val="bullet"/>
      <w:lvlText w:val="•"/>
      <w:lvlJc w:val="left"/>
      <w:pPr>
        <w:ind w:left="2757" w:hanging="483"/>
      </w:pPr>
      <w:rPr>
        <w:rFonts w:hint="default"/>
        <w:lang w:val="en-US" w:eastAsia="en-US" w:bidi="ar-SA"/>
      </w:rPr>
    </w:lvl>
    <w:lvl w:ilvl="3" w:tplc="31CAA2FA">
      <w:numFmt w:val="bullet"/>
      <w:lvlText w:val="•"/>
      <w:lvlJc w:val="left"/>
      <w:pPr>
        <w:ind w:left="3645" w:hanging="483"/>
      </w:pPr>
      <w:rPr>
        <w:rFonts w:hint="default"/>
        <w:lang w:val="en-US" w:eastAsia="en-US" w:bidi="ar-SA"/>
      </w:rPr>
    </w:lvl>
    <w:lvl w:ilvl="4" w:tplc="C1DC9E1E">
      <w:numFmt w:val="bullet"/>
      <w:lvlText w:val="•"/>
      <w:lvlJc w:val="left"/>
      <w:pPr>
        <w:ind w:left="4534" w:hanging="483"/>
      </w:pPr>
      <w:rPr>
        <w:rFonts w:hint="default"/>
        <w:lang w:val="en-US" w:eastAsia="en-US" w:bidi="ar-SA"/>
      </w:rPr>
    </w:lvl>
    <w:lvl w:ilvl="5" w:tplc="8AFEC128">
      <w:numFmt w:val="bullet"/>
      <w:lvlText w:val="•"/>
      <w:lvlJc w:val="left"/>
      <w:pPr>
        <w:ind w:left="5423" w:hanging="483"/>
      </w:pPr>
      <w:rPr>
        <w:rFonts w:hint="default"/>
        <w:lang w:val="en-US" w:eastAsia="en-US" w:bidi="ar-SA"/>
      </w:rPr>
    </w:lvl>
    <w:lvl w:ilvl="6" w:tplc="92AA2842">
      <w:numFmt w:val="bullet"/>
      <w:lvlText w:val="•"/>
      <w:lvlJc w:val="left"/>
      <w:pPr>
        <w:ind w:left="6311" w:hanging="483"/>
      </w:pPr>
      <w:rPr>
        <w:rFonts w:hint="default"/>
        <w:lang w:val="en-US" w:eastAsia="en-US" w:bidi="ar-SA"/>
      </w:rPr>
    </w:lvl>
    <w:lvl w:ilvl="7" w:tplc="F41C5746">
      <w:numFmt w:val="bullet"/>
      <w:lvlText w:val="•"/>
      <w:lvlJc w:val="left"/>
      <w:pPr>
        <w:ind w:left="7200" w:hanging="483"/>
      </w:pPr>
      <w:rPr>
        <w:rFonts w:hint="default"/>
        <w:lang w:val="en-US" w:eastAsia="en-US" w:bidi="ar-SA"/>
      </w:rPr>
    </w:lvl>
    <w:lvl w:ilvl="8" w:tplc="8FBA360C">
      <w:numFmt w:val="bullet"/>
      <w:lvlText w:val="•"/>
      <w:lvlJc w:val="left"/>
      <w:pPr>
        <w:ind w:left="8089" w:hanging="483"/>
      </w:pPr>
      <w:rPr>
        <w:rFonts w:hint="default"/>
        <w:lang w:val="en-US" w:eastAsia="en-US" w:bidi="ar-SA"/>
      </w:rPr>
    </w:lvl>
  </w:abstractNum>
  <w:abstractNum w:abstractNumId="13" w15:restartNumberingAfterBreak="0">
    <w:nsid w:val="612E72DA"/>
    <w:multiLevelType w:val="hybridMultilevel"/>
    <w:tmpl w:val="DC147F62"/>
    <w:lvl w:ilvl="0" w:tplc="4A24A490">
      <w:start w:val="1"/>
      <w:numFmt w:val="decimal"/>
      <w:lvlText w:val="%1."/>
      <w:lvlJc w:val="left"/>
      <w:pPr>
        <w:ind w:left="1578" w:hanging="56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1623DB4">
      <w:numFmt w:val="bullet"/>
      <w:lvlText w:val="•"/>
      <w:lvlJc w:val="left"/>
      <w:pPr>
        <w:ind w:left="2408" w:hanging="567"/>
      </w:pPr>
      <w:rPr>
        <w:rFonts w:hint="default"/>
        <w:lang w:val="en-US" w:eastAsia="en-US" w:bidi="ar-SA"/>
      </w:rPr>
    </w:lvl>
    <w:lvl w:ilvl="2" w:tplc="88964D78">
      <w:numFmt w:val="bullet"/>
      <w:lvlText w:val="•"/>
      <w:lvlJc w:val="left"/>
      <w:pPr>
        <w:ind w:left="3237" w:hanging="567"/>
      </w:pPr>
      <w:rPr>
        <w:rFonts w:hint="default"/>
        <w:lang w:val="en-US" w:eastAsia="en-US" w:bidi="ar-SA"/>
      </w:rPr>
    </w:lvl>
    <w:lvl w:ilvl="3" w:tplc="8676C3D8">
      <w:numFmt w:val="bullet"/>
      <w:lvlText w:val="•"/>
      <w:lvlJc w:val="left"/>
      <w:pPr>
        <w:ind w:left="4065" w:hanging="567"/>
      </w:pPr>
      <w:rPr>
        <w:rFonts w:hint="default"/>
        <w:lang w:val="en-US" w:eastAsia="en-US" w:bidi="ar-SA"/>
      </w:rPr>
    </w:lvl>
    <w:lvl w:ilvl="4" w:tplc="EFB210F8">
      <w:numFmt w:val="bullet"/>
      <w:lvlText w:val="•"/>
      <w:lvlJc w:val="left"/>
      <w:pPr>
        <w:ind w:left="4894" w:hanging="567"/>
      </w:pPr>
      <w:rPr>
        <w:rFonts w:hint="default"/>
        <w:lang w:val="en-US" w:eastAsia="en-US" w:bidi="ar-SA"/>
      </w:rPr>
    </w:lvl>
    <w:lvl w:ilvl="5" w:tplc="7F16DA5C">
      <w:numFmt w:val="bullet"/>
      <w:lvlText w:val="•"/>
      <w:lvlJc w:val="left"/>
      <w:pPr>
        <w:ind w:left="5723" w:hanging="567"/>
      </w:pPr>
      <w:rPr>
        <w:rFonts w:hint="default"/>
        <w:lang w:val="en-US" w:eastAsia="en-US" w:bidi="ar-SA"/>
      </w:rPr>
    </w:lvl>
    <w:lvl w:ilvl="6" w:tplc="96500832">
      <w:numFmt w:val="bullet"/>
      <w:lvlText w:val="•"/>
      <w:lvlJc w:val="left"/>
      <w:pPr>
        <w:ind w:left="6551" w:hanging="567"/>
      </w:pPr>
      <w:rPr>
        <w:rFonts w:hint="default"/>
        <w:lang w:val="en-US" w:eastAsia="en-US" w:bidi="ar-SA"/>
      </w:rPr>
    </w:lvl>
    <w:lvl w:ilvl="7" w:tplc="B6521F74">
      <w:numFmt w:val="bullet"/>
      <w:lvlText w:val="•"/>
      <w:lvlJc w:val="left"/>
      <w:pPr>
        <w:ind w:left="7380" w:hanging="567"/>
      </w:pPr>
      <w:rPr>
        <w:rFonts w:hint="default"/>
        <w:lang w:val="en-US" w:eastAsia="en-US" w:bidi="ar-SA"/>
      </w:rPr>
    </w:lvl>
    <w:lvl w:ilvl="8" w:tplc="F84E4F32">
      <w:numFmt w:val="bullet"/>
      <w:lvlText w:val="•"/>
      <w:lvlJc w:val="left"/>
      <w:pPr>
        <w:ind w:left="8209" w:hanging="567"/>
      </w:pPr>
      <w:rPr>
        <w:rFonts w:hint="default"/>
        <w:lang w:val="en-US" w:eastAsia="en-US" w:bidi="ar-SA"/>
      </w:rPr>
    </w:lvl>
  </w:abstractNum>
  <w:abstractNum w:abstractNumId="14" w15:restartNumberingAfterBreak="0">
    <w:nsid w:val="636C7620"/>
    <w:multiLevelType w:val="hybridMultilevel"/>
    <w:tmpl w:val="DE0035DA"/>
    <w:lvl w:ilvl="0" w:tplc="73A047BA">
      <w:numFmt w:val="bullet"/>
      <w:lvlText w:val=""/>
      <w:lvlJc w:val="left"/>
      <w:pPr>
        <w:ind w:left="1228" w:hanging="360"/>
      </w:pPr>
      <w:rPr>
        <w:rFonts w:ascii="Symbol" w:eastAsia="Symbol" w:hAnsi="Symbol" w:cs="Symbol" w:hint="default"/>
        <w:b w:val="0"/>
        <w:bCs w:val="0"/>
        <w:i w:val="0"/>
        <w:iCs w:val="0"/>
        <w:spacing w:val="0"/>
        <w:w w:val="100"/>
        <w:sz w:val="22"/>
        <w:szCs w:val="22"/>
        <w:lang w:val="en-US" w:eastAsia="en-US" w:bidi="ar-SA"/>
      </w:rPr>
    </w:lvl>
    <w:lvl w:ilvl="1" w:tplc="3C04C400">
      <w:numFmt w:val="bullet"/>
      <w:lvlText w:val="•"/>
      <w:lvlJc w:val="left"/>
      <w:pPr>
        <w:ind w:left="2084" w:hanging="360"/>
      </w:pPr>
      <w:rPr>
        <w:rFonts w:hint="default"/>
        <w:lang w:val="en-US" w:eastAsia="en-US" w:bidi="ar-SA"/>
      </w:rPr>
    </w:lvl>
    <w:lvl w:ilvl="2" w:tplc="BFB0729C">
      <w:numFmt w:val="bullet"/>
      <w:lvlText w:val="•"/>
      <w:lvlJc w:val="left"/>
      <w:pPr>
        <w:ind w:left="2949" w:hanging="360"/>
      </w:pPr>
      <w:rPr>
        <w:rFonts w:hint="default"/>
        <w:lang w:val="en-US" w:eastAsia="en-US" w:bidi="ar-SA"/>
      </w:rPr>
    </w:lvl>
    <w:lvl w:ilvl="3" w:tplc="551C796A">
      <w:numFmt w:val="bullet"/>
      <w:lvlText w:val="•"/>
      <w:lvlJc w:val="left"/>
      <w:pPr>
        <w:ind w:left="3813" w:hanging="360"/>
      </w:pPr>
      <w:rPr>
        <w:rFonts w:hint="default"/>
        <w:lang w:val="en-US" w:eastAsia="en-US" w:bidi="ar-SA"/>
      </w:rPr>
    </w:lvl>
    <w:lvl w:ilvl="4" w:tplc="40462E38">
      <w:numFmt w:val="bullet"/>
      <w:lvlText w:val="•"/>
      <w:lvlJc w:val="left"/>
      <w:pPr>
        <w:ind w:left="4678" w:hanging="360"/>
      </w:pPr>
      <w:rPr>
        <w:rFonts w:hint="default"/>
        <w:lang w:val="en-US" w:eastAsia="en-US" w:bidi="ar-SA"/>
      </w:rPr>
    </w:lvl>
    <w:lvl w:ilvl="5" w:tplc="60C86A50">
      <w:numFmt w:val="bullet"/>
      <w:lvlText w:val="•"/>
      <w:lvlJc w:val="left"/>
      <w:pPr>
        <w:ind w:left="5543" w:hanging="360"/>
      </w:pPr>
      <w:rPr>
        <w:rFonts w:hint="default"/>
        <w:lang w:val="en-US" w:eastAsia="en-US" w:bidi="ar-SA"/>
      </w:rPr>
    </w:lvl>
    <w:lvl w:ilvl="6" w:tplc="14D483E8">
      <w:numFmt w:val="bullet"/>
      <w:lvlText w:val="•"/>
      <w:lvlJc w:val="left"/>
      <w:pPr>
        <w:ind w:left="6407" w:hanging="360"/>
      </w:pPr>
      <w:rPr>
        <w:rFonts w:hint="default"/>
        <w:lang w:val="en-US" w:eastAsia="en-US" w:bidi="ar-SA"/>
      </w:rPr>
    </w:lvl>
    <w:lvl w:ilvl="7" w:tplc="CB20114A">
      <w:numFmt w:val="bullet"/>
      <w:lvlText w:val="•"/>
      <w:lvlJc w:val="left"/>
      <w:pPr>
        <w:ind w:left="7272" w:hanging="360"/>
      </w:pPr>
      <w:rPr>
        <w:rFonts w:hint="default"/>
        <w:lang w:val="en-US" w:eastAsia="en-US" w:bidi="ar-SA"/>
      </w:rPr>
    </w:lvl>
    <w:lvl w:ilvl="8" w:tplc="8ACC1BC4">
      <w:numFmt w:val="bullet"/>
      <w:lvlText w:val="•"/>
      <w:lvlJc w:val="left"/>
      <w:pPr>
        <w:ind w:left="8137" w:hanging="360"/>
      </w:pPr>
      <w:rPr>
        <w:rFonts w:hint="default"/>
        <w:lang w:val="en-US" w:eastAsia="en-US" w:bidi="ar-SA"/>
      </w:rPr>
    </w:lvl>
  </w:abstractNum>
  <w:abstractNum w:abstractNumId="15" w15:restartNumberingAfterBreak="0">
    <w:nsid w:val="63FA4AC8"/>
    <w:multiLevelType w:val="hybridMultilevel"/>
    <w:tmpl w:val="40A8D142"/>
    <w:lvl w:ilvl="0" w:tplc="530C765E">
      <w:numFmt w:val="bullet"/>
      <w:lvlText w:val=""/>
      <w:lvlJc w:val="left"/>
      <w:pPr>
        <w:ind w:left="1228" w:hanging="360"/>
      </w:pPr>
      <w:rPr>
        <w:rFonts w:ascii="Symbol" w:eastAsia="Symbol" w:hAnsi="Symbol" w:cs="Symbol" w:hint="default"/>
        <w:b w:val="0"/>
        <w:bCs w:val="0"/>
        <w:i w:val="0"/>
        <w:iCs w:val="0"/>
        <w:spacing w:val="0"/>
        <w:w w:val="100"/>
        <w:sz w:val="22"/>
        <w:szCs w:val="22"/>
        <w:lang w:val="en-US" w:eastAsia="en-US" w:bidi="ar-SA"/>
      </w:rPr>
    </w:lvl>
    <w:lvl w:ilvl="1" w:tplc="67F463C0">
      <w:numFmt w:val="bullet"/>
      <w:lvlText w:val="•"/>
      <w:lvlJc w:val="left"/>
      <w:pPr>
        <w:ind w:left="2084" w:hanging="360"/>
      </w:pPr>
      <w:rPr>
        <w:rFonts w:hint="default"/>
        <w:lang w:val="en-US" w:eastAsia="en-US" w:bidi="ar-SA"/>
      </w:rPr>
    </w:lvl>
    <w:lvl w:ilvl="2" w:tplc="32487448">
      <w:numFmt w:val="bullet"/>
      <w:lvlText w:val="•"/>
      <w:lvlJc w:val="left"/>
      <w:pPr>
        <w:ind w:left="2949" w:hanging="360"/>
      </w:pPr>
      <w:rPr>
        <w:rFonts w:hint="default"/>
        <w:lang w:val="en-US" w:eastAsia="en-US" w:bidi="ar-SA"/>
      </w:rPr>
    </w:lvl>
    <w:lvl w:ilvl="3" w:tplc="51A6A2F0">
      <w:numFmt w:val="bullet"/>
      <w:lvlText w:val="•"/>
      <w:lvlJc w:val="left"/>
      <w:pPr>
        <w:ind w:left="3813" w:hanging="360"/>
      </w:pPr>
      <w:rPr>
        <w:rFonts w:hint="default"/>
        <w:lang w:val="en-US" w:eastAsia="en-US" w:bidi="ar-SA"/>
      </w:rPr>
    </w:lvl>
    <w:lvl w:ilvl="4" w:tplc="839ECCE0">
      <w:numFmt w:val="bullet"/>
      <w:lvlText w:val="•"/>
      <w:lvlJc w:val="left"/>
      <w:pPr>
        <w:ind w:left="4678" w:hanging="360"/>
      </w:pPr>
      <w:rPr>
        <w:rFonts w:hint="default"/>
        <w:lang w:val="en-US" w:eastAsia="en-US" w:bidi="ar-SA"/>
      </w:rPr>
    </w:lvl>
    <w:lvl w:ilvl="5" w:tplc="6B481BBA">
      <w:numFmt w:val="bullet"/>
      <w:lvlText w:val="•"/>
      <w:lvlJc w:val="left"/>
      <w:pPr>
        <w:ind w:left="5543" w:hanging="360"/>
      </w:pPr>
      <w:rPr>
        <w:rFonts w:hint="default"/>
        <w:lang w:val="en-US" w:eastAsia="en-US" w:bidi="ar-SA"/>
      </w:rPr>
    </w:lvl>
    <w:lvl w:ilvl="6" w:tplc="0D06F226">
      <w:numFmt w:val="bullet"/>
      <w:lvlText w:val="•"/>
      <w:lvlJc w:val="left"/>
      <w:pPr>
        <w:ind w:left="6407" w:hanging="360"/>
      </w:pPr>
      <w:rPr>
        <w:rFonts w:hint="default"/>
        <w:lang w:val="en-US" w:eastAsia="en-US" w:bidi="ar-SA"/>
      </w:rPr>
    </w:lvl>
    <w:lvl w:ilvl="7" w:tplc="2DC8B730">
      <w:numFmt w:val="bullet"/>
      <w:lvlText w:val="•"/>
      <w:lvlJc w:val="left"/>
      <w:pPr>
        <w:ind w:left="7272" w:hanging="360"/>
      </w:pPr>
      <w:rPr>
        <w:rFonts w:hint="default"/>
        <w:lang w:val="en-US" w:eastAsia="en-US" w:bidi="ar-SA"/>
      </w:rPr>
    </w:lvl>
    <w:lvl w:ilvl="8" w:tplc="5C9C30BE">
      <w:numFmt w:val="bullet"/>
      <w:lvlText w:val="•"/>
      <w:lvlJc w:val="left"/>
      <w:pPr>
        <w:ind w:left="8137" w:hanging="360"/>
      </w:pPr>
      <w:rPr>
        <w:rFonts w:hint="default"/>
        <w:lang w:val="en-US" w:eastAsia="en-US" w:bidi="ar-SA"/>
      </w:rPr>
    </w:lvl>
  </w:abstractNum>
  <w:abstractNum w:abstractNumId="16" w15:restartNumberingAfterBreak="0">
    <w:nsid w:val="79131E3E"/>
    <w:multiLevelType w:val="multilevel"/>
    <w:tmpl w:val="D71C0190"/>
    <w:lvl w:ilvl="0">
      <w:start w:val="2"/>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bCs/>
        <w:i w:val="0"/>
        <w:iCs w:val="0"/>
        <w:spacing w:val="0"/>
        <w:w w:val="99"/>
        <w:sz w:val="32"/>
        <w:szCs w:val="32"/>
        <w:lang w:val="en-US" w:eastAsia="en-US" w:bidi="ar-SA"/>
      </w:rPr>
    </w:lvl>
    <w:lvl w:ilvl="2">
      <w:start w:val="1"/>
      <w:numFmt w:val="decimal"/>
      <w:lvlText w:val="%1.%2.%3"/>
      <w:lvlJc w:val="left"/>
      <w:pPr>
        <w:ind w:left="160" w:hanging="720"/>
        <w:jc w:val="left"/>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1228" w:hanging="360"/>
      </w:pPr>
      <w:rPr>
        <w:rFonts w:ascii="Symbol" w:eastAsia="Symbol" w:hAnsi="Symbol" w:cs="Symbol" w:hint="default"/>
        <w:b w:val="0"/>
        <w:bCs w:val="0"/>
        <w:i w:val="0"/>
        <w:iCs w:val="0"/>
        <w:spacing w:val="0"/>
        <w:w w:val="100"/>
        <w:sz w:val="22"/>
        <w:szCs w:val="22"/>
        <w:lang w:val="en-US" w:eastAsia="en-US" w:bidi="ar-SA"/>
      </w:rPr>
    </w:lvl>
    <w:lvl w:ilvl="4">
      <w:numFmt w:val="bullet"/>
      <w:lvlText w:val="o"/>
      <w:lvlJc w:val="left"/>
      <w:pPr>
        <w:ind w:left="2320" w:hanging="360"/>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3577" w:hanging="360"/>
      </w:pPr>
      <w:rPr>
        <w:rFonts w:hint="default"/>
        <w:lang w:val="en-US" w:eastAsia="en-US" w:bidi="ar-SA"/>
      </w:rPr>
    </w:lvl>
    <w:lvl w:ilvl="6">
      <w:numFmt w:val="bullet"/>
      <w:lvlText w:val="•"/>
      <w:lvlJc w:val="left"/>
      <w:pPr>
        <w:ind w:left="4835" w:hanging="360"/>
      </w:pPr>
      <w:rPr>
        <w:rFonts w:hint="default"/>
        <w:lang w:val="en-US" w:eastAsia="en-US" w:bidi="ar-SA"/>
      </w:rPr>
    </w:lvl>
    <w:lvl w:ilvl="7">
      <w:numFmt w:val="bullet"/>
      <w:lvlText w:val="•"/>
      <w:lvlJc w:val="left"/>
      <w:pPr>
        <w:ind w:left="6093" w:hanging="360"/>
      </w:pPr>
      <w:rPr>
        <w:rFonts w:hint="default"/>
        <w:lang w:val="en-US" w:eastAsia="en-US" w:bidi="ar-SA"/>
      </w:rPr>
    </w:lvl>
    <w:lvl w:ilvl="8">
      <w:numFmt w:val="bullet"/>
      <w:lvlText w:val="•"/>
      <w:lvlJc w:val="left"/>
      <w:pPr>
        <w:ind w:left="7350" w:hanging="360"/>
      </w:pPr>
      <w:rPr>
        <w:rFonts w:hint="default"/>
        <w:lang w:val="en-US" w:eastAsia="en-US" w:bidi="ar-SA"/>
      </w:rPr>
    </w:lvl>
  </w:abstractNum>
  <w:abstractNum w:abstractNumId="17" w15:restartNumberingAfterBreak="0">
    <w:nsid w:val="7FC02C55"/>
    <w:multiLevelType w:val="multilevel"/>
    <w:tmpl w:val="0C849720"/>
    <w:lvl w:ilvl="0">
      <w:start w:val="4"/>
      <w:numFmt w:val="decimal"/>
      <w:lvlText w:val="%1"/>
      <w:lvlJc w:val="left"/>
      <w:pPr>
        <w:ind w:left="880" w:hanging="720"/>
        <w:jc w:val="left"/>
      </w:pPr>
      <w:rPr>
        <w:rFonts w:hint="default"/>
        <w:lang w:val="en-US" w:eastAsia="en-US" w:bidi="ar-SA"/>
      </w:rPr>
    </w:lvl>
    <w:lvl w:ilvl="1">
      <w:start w:val="1"/>
      <w:numFmt w:val="decimal"/>
      <w:lvlText w:val="%1.%2"/>
      <w:lvlJc w:val="left"/>
      <w:pPr>
        <w:ind w:left="880" w:hanging="720"/>
        <w:jc w:val="left"/>
      </w:pPr>
      <w:rPr>
        <w:rFonts w:ascii="Times New Roman" w:eastAsia="Times New Roman" w:hAnsi="Times New Roman" w:cs="Times New Roman" w:hint="default"/>
        <w:b/>
        <w:bCs/>
        <w:i w:val="0"/>
        <w:iCs w:val="0"/>
        <w:spacing w:val="0"/>
        <w:w w:val="99"/>
        <w:sz w:val="32"/>
        <w:szCs w:val="32"/>
        <w:lang w:val="en-US" w:eastAsia="en-US" w:bidi="ar-SA"/>
      </w:rPr>
    </w:lvl>
    <w:lvl w:ilvl="2">
      <w:start w:val="1"/>
      <w:numFmt w:val="decimal"/>
      <w:lvlText w:val="%1.%2.%3"/>
      <w:lvlJc w:val="left"/>
      <w:pPr>
        <w:ind w:left="160" w:hanging="720"/>
        <w:jc w:val="left"/>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1228"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2780" w:hanging="360"/>
      </w:pPr>
      <w:rPr>
        <w:rFonts w:hint="default"/>
        <w:lang w:val="en-US" w:eastAsia="en-US" w:bidi="ar-SA"/>
      </w:rPr>
    </w:lvl>
    <w:lvl w:ilvl="5">
      <w:numFmt w:val="bullet"/>
      <w:lvlText w:val="•"/>
      <w:lvlJc w:val="left"/>
      <w:pPr>
        <w:ind w:left="3961" w:hanging="360"/>
      </w:pPr>
      <w:rPr>
        <w:rFonts w:hint="default"/>
        <w:lang w:val="en-US" w:eastAsia="en-US" w:bidi="ar-SA"/>
      </w:rPr>
    </w:lvl>
    <w:lvl w:ilvl="6">
      <w:numFmt w:val="bullet"/>
      <w:lvlText w:val="•"/>
      <w:lvlJc w:val="left"/>
      <w:pPr>
        <w:ind w:left="5142" w:hanging="360"/>
      </w:pPr>
      <w:rPr>
        <w:rFonts w:hint="default"/>
        <w:lang w:val="en-US" w:eastAsia="en-US" w:bidi="ar-SA"/>
      </w:rPr>
    </w:lvl>
    <w:lvl w:ilvl="7">
      <w:numFmt w:val="bullet"/>
      <w:lvlText w:val="•"/>
      <w:lvlJc w:val="left"/>
      <w:pPr>
        <w:ind w:left="6323" w:hanging="360"/>
      </w:pPr>
      <w:rPr>
        <w:rFonts w:hint="default"/>
        <w:lang w:val="en-US" w:eastAsia="en-US" w:bidi="ar-SA"/>
      </w:rPr>
    </w:lvl>
    <w:lvl w:ilvl="8">
      <w:numFmt w:val="bullet"/>
      <w:lvlText w:val="•"/>
      <w:lvlJc w:val="left"/>
      <w:pPr>
        <w:ind w:left="7504" w:hanging="360"/>
      </w:pPr>
      <w:rPr>
        <w:rFonts w:hint="default"/>
        <w:lang w:val="en-US" w:eastAsia="en-US" w:bidi="ar-SA"/>
      </w:rPr>
    </w:lvl>
  </w:abstractNum>
  <w:num w:numId="1" w16cid:durableId="1324045146">
    <w:abstractNumId w:val="13"/>
  </w:num>
  <w:num w:numId="2" w16cid:durableId="68620755">
    <w:abstractNumId w:val="7"/>
  </w:num>
  <w:num w:numId="3" w16cid:durableId="1988166883">
    <w:abstractNumId w:val="17"/>
  </w:num>
  <w:num w:numId="4" w16cid:durableId="1682003796">
    <w:abstractNumId w:val="2"/>
  </w:num>
  <w:num w:numId="5" w16cid:durableId="1256939080">
    <w:abstractNumId w:val="1"/>
  </w:num>
  <w:num w:numId="6" w16cid:durableId="1319384307">
    <w:abstractNumId w:val="10"/>
  </w:num>
  <w:num w:numId="7" w16cid:durableId="1375083562">
    <w:abstractNumId w:val="3"/>
  </w:num>
  <w:num w:numId="8" w16cid:durableId="457140091">
    <w:abstractNumId w:val="15"/>
  </w:num>
  <w:num w:numId="9" w16cid:durableId="2073313731">
    <w:abstractNumId w:val="16"/>
  </w:num>
  <w:num w:numId="10" w16cid:durableId="650524378">
    <w:abstractNumId w:val="6"/>
  </w:num>
  <w:num w:numId="11" w16cid:durableId="1057625481">
    <w:abstractNumId w:val="9"/>
  </w:num>
  <w:num w:numId="12" w16cid:durableId="299118706">
    <w:abstractNumId w:val="11"/>
  </w:num>
  <w:num w:numId="13" w16cid:durableId="393047883">
    <w:abstractNumId w:val="14"/>
  </w:num>
  <w:num w:numId="14" w16cid:durableId="1967202124">
    <w:abstractNumId w:val="12"/>
  </w:num>
  <w:num w:numId="15" w16cid:durableId="1353796539">
    <w:abstractNumId w:val="0"/>
  </w:num>
  <w:num w:numId="16" w16cid:durableId="1486819696">
    <w:abstractNumId w:val="4"/>
  </w:num>
  <w:num w:numId="17" w16cid:durableId="1991787555">
    <w:abstractNumId w:val="5"/>
  </w:num>
  <w:num w:numId="18" w16cid:durableId="393116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ocumentProtection w:edit="readOnly" w:enforcement="1" w:cryptProviderType="rsaAES" w:cryptAlgorithmClass="hash" w:cryptAlgorithmType="typeAny" w:cryptAlgorithmSid="14" w:cryptSpinCount="100000" w:hash="WLq1s8I8Gi68QVxMbnhb4SeuxYRGMpQ6DK16xVpUgGlidA75s/+XGeucVlZxRuLnLc9LWgz581Fbq1CUY0J/Xg==" w:salt="4G5hTbge5RVcq7Ef2VVxjQ=="/>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99"/>
    <w:rsid w:val="0005738D"/>
    <w:rsid w:val="000F0452"/>
    <w:rsid w:val="001013B4"/>
    <w:rsid w:val="003866C8"/>
    <w:rsid w:val="006847A3"/>
    <w:rsid w:val="00685580"/>
    <w:rsid w:val="006A6EE2"/>
    <w:rsid w:val="0085667E"/>
    <w:rsid w:val="008A4099"/>
    <w:rsid w:val="00A60D11"/>
    <w:rsid w:val="00AC76F6"/>
    <w:rsid w:val="00D136B4"/>
    <w:rsid w:val="00D43B2D"/>
    <w:rsid w:val="00D77130"/>
    <w:rsid w:val="00FA693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59E4"/>
  <w15:docId w15:val="{F543F1CF-FF86-4772-8F88-506D7DE9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41" w:right="1058"/>
      <w:jc w:val="center"/>
      <w:outlineLvl w:val="0"/>
    </w:pPr>
    <w:rPr>
      <w:b/>
      <w:bCs/>
      <w:sz w:val="52"/>
      <w:szCs w:val="52"/>
    </w:rPr>
  </w:style>
  <w:style w:type="paragraph" w:styleId="Heading2">
    <w:name w:val="heading 2"/>
    <w:basedOn w:val="Normal"/>
    <w:uiPriority w:val="9"/>
    <w:unhideWhenUsed/>
    <w:qFormat/>
    <w:pPr>
      <w:ind w:left="878" w:hanging="718"/>
      <w:jc w:val="both"/>
      <w:outlineLvl w:val="1"/>
    </w:pPr>
    <w:rPr>
      <w:b/>
      <w:bCs/>
      <w:sz w:val="32"/>
      <w:szCs w:val="32"/>
    </w:rPr>
  </w:style>
  <w:style w:type="paragraph" w:styleId="Heading3">
    <w:name w:val="heading 3"/>
    <w:basedOn w:val="Normal"/>
    <w:uiPriority w:val="9"/>
    <w:unhideWhenUsed/>
    <w:qFormat/>
    <w:pPr>
      <w:ind w:left="160"/>
      <w:outlineLvl w:val="2"/>
    </w:pPr>
    <w:rPr>
      <w:b/>
      <w:bCs/>
      <w:sz w:val="23"/>
      <w:szCs w:val="23"/>
    </w:rPr>
  </w:style>
  <w:style w:type="paragraph" w:styleId="Heading4">
    <w:name w:val="heading 4"/>
    <w:basedOn w:val="Normal"/>
    <w:uiPriority w:val="9"/>
    <w:unhideWhenUsed/>
    <w:qFormat/>
    <w:pPr>
      <w:spacing w:before="239"/>
      <w:ind w:left="160"/>
      <w:outlineLvl w:val="3"/>
    </w:pPr>
    <w:rPr>
      <w:b/>
      <w:bCs/>
      <w:i/>
      <w:iCs/>
      <w:sz w:val="23"/>
      <w:szCs w:val="23"/>
    </w:rPr>
  </w:style>
  <w:style w:type="paragraph" w:styleId="Heading5">
    <w:name w:val="heading 5"/>
    <w:basedOn w:val="Normal"/>
    <w:uiPriority w:val="9"/>
    <w:unhideWhenUsed/>
    <w:qFormat/>
    <w:pPr>
      <w:ind w:left="160"/>
      <w:outlineLvl w:val="4"/>
    </w:pPr>
    <w:rPr>
      <w:b/>
      <w:bCs/>
    </w:rPr>
  </w:style>
  <w:style w:type="paragraph" w:styleId="Heading6">
    <w:name w:val="heading 6"/>
    <w:basedOn w:val="Normal"/>
    <w:uiPriority w:val="9"/>
    <w:unhideWhenUsed/>
    <w:qFormat/>
    <w:pPr>
      <w:ind w:left="160"/>
      <w:jc w:val="both"/>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60"/>
    </w:pPr>
    <w:rPr>
      <w:b/>
      <w:bCs/>
    </w:rPr>
  </w:style>
  <w:style w:type="paragraph" w:styleId="TOC2">
    <w:name w:val="toc 2"/>
    <w:basedOn w:val="Normal"/>
    <w:uiPriority w:val="1"/>
    <w:qFormat/>
    <w:pPr>
      <w:spacing w:before="100"/>
      <w:ind w:left="880" w:hanging="720"/>
    </w:pPr>
  </w:style>
  <w:style w:type="paragraph" w:styleId="TOC3">
    <w:name w:val="toc 3"/>
    <w:basedOn w:val="Normal"/>
    <w:uiPriority w:val="1"/>
    <w:qFormat/>
    <w:pPr>
      <w:spacing w:before="100"/>
      <w:ind w:left="880"/>
    </w:pPr>
  </w:style>
  <w:style w:type="paragraph" w:styleId="TOC4">
    <w:name w:val="toc 4"/>
    <w:basedOn w:val="Normal"/>
    <w:uiPriority w:val="1"/>
    <w:qFormat/>
    <w:pPr>
      <w:spacing w:before="100"/>
      <w:ind w:left="880"/>
    </w:pPr>
    <w:rPr>
      <w:i/>
      <w:iCs/>
    </w:rPr>
  </w:style>
  <w:style w:type="paragraph" w:styleId="BodyText">
    <w:name w:val="Body Text"/>
    <w:basedOn w:val="Normal"/>
    <w:uiPriority w:val="1"/>
    <w:qFormat/>
  </w:style>
  <w:style w:type="paragraph" w:styleId="Title">
    <w:name w:val="Title"/>
    <w:basedOn w:val="Normal"/>
    <w:uiPriority w:val="10"/>
    <w:qFormat/>
    <w:pPr>
      <w:ind w:left="538" w:right="1058"/>
      <w:jc w:val="center"/>
    </w:pPr>
    <w:rPr>
      <w:sz w:val="68"/>
      <w:szCs w:val="68"/>
    </w:rPr>
  </w:style>
  <w:style w:type="paragraph" w:styleId="ListParagraph">
    <w:name w:val="List Paragraph"/>
    <w:basedOn w:val="Normal"/>
    <w:uiPriority w:val="1"/>
    <w:qFormat/>
    <w:pPr>
      <w:spacing w:before="220"/>
      <w:ind w:left="1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www.utas.edu.au/" TargetMode="External"/><Relationship Id="rId21" Type="http://schemas.openxmlformats.org/officeDocument/2006/relationships/header" Target="header4.xml"/><Relationship Id="rId42" Type="http://schemas.openxmlformats.org/officeDocument/2006/relationships/header" Target="header15.xml"/><Relationship Id="rId63" Type="http://schemas.openxmlformats.org/officeDocument/2006/relationships/hyperlink" Target="http://www.aph.gov.au/Parliamentary_Business/Committees/Joint/Human_Rights/Guidance_Notes_and_Resources" TargetMode="External"/><Relationship Id="rId84" Type="http://schemas.openxmlformats.org/officeDocument/2006/relationships/hyperlink" Target="https://www.parliament.tas.gov.au/ctee/Joint/subleg/COVID/Notices/2021/210922%20Notice%20under%20s20%20Magistrates%20Court%20-%20proceedings.pdf" TargetMode="External"/><Relationship Id="rId138" Type="http://schemas.openxmlformats.org/officeDocument/2006/relationships/hyperlink" Target="https://static1.squarespace.com/static/5b7e1a0be2ccd10a603592f6/t/62eb12f8b0c0ae524d1867d2/1659572985972/Government%2Bresponse%2Bto%2Bthe%2B2015%2Breview%2Bof%2Bthe%2BCharter%2Bof%2BHuman%2BRights%2Band%2BResponsibilities%2BAct%2B_%2BDepartment%2Bof%2BJustice%2Band%2BCommunity%2BSafety%2BVictoria%3e" TargetMode="External"/><Relationship Id="rId159" Type="http://schemas.openxmlformats.org/officeDocument/2006/relationships/footer" Target="footer24.xml"/><Relationship Id="rId107" Type="http://schemas.openxmlformats.org/officeDocument/2006/relationships/hyperlink" Target="http://www.hrc.act.gov.au/" TargetMode="External"/><Relationship Id="rId11" Type="http://schemas.openxmlformats.org/officeDocument/2006/relationships/footer" Target="footer1.xml"/><Relationship Id="rId32" Type="http://schemas.openxmlformats.org/officeDocument/2006/relationships/header" Target="header9.xml"/><Relationship Id="rId53" Type="http://schemas.openxmlformats.org/officeDocument/2006/relationships/hyperlink" Target="http://www.qhrc.qld.gov.au/" TargetMode="External"/><Relationship Id="rId74" Type="http://schemas.openxmlformats.org/officeDocument/2006/relationships/footer" Target="footer21.xml"/><Relationship Id="rId128" Type="http://schemas.openxmlformats.org/officeDocument/2006/relationships/hyperlink" Target="http://www.legislation.vic.gov.au/bills/equal-opportunity-religious-exceptions-" TargetMode="External"/><Relationship Id="rId149" Type="http://schemas.openxmlformats.org/officeDocument/2006/relationships/hyperlink" Target="http://www.dpac.tas.gov.au/" TargetMode="External"/><Relationship Id="rId5" Type="http://schemas.openxmlformats.org/officeDocument/2006/relationships/styles" Target="styles.xml"/><Relationship Id="rId95" Type="http://schemas.openxmlformats.org/officeDocument/2006/relationships/hyperlink" Target="http://www.parliament.vic.gov.au/4b00fa/contentassets/9c4e489fe9834121826347ad523e87d2/paec_59-" TargetMode="External"/><Relationship Id="rId160" Type="http://schemas.openxmlformats.org/officeDocument/2006/relationships/footer" Target="footer25.xml"/><Relationship Id="rId22" Type="http://schemas.openxmlformats.org/officeDocument/2006/relationships/footer" Target="footer6.xml"/><Relationship Id="rId43" Type="http://schemas.openxmlformats.org/officeDocument/2006/relationships/footer" Target="footer16.xml"/><Relationship Id="rId64" Type="http://schemas.openxmlformats.org/officeDocument/2006/relationships/hyperlink" Target="http://www.aph.gov.au/Parliamentary_Business/Committees/Joint/Human_R" TargetMode="External"/><Relationship Id="rId118" Type="http://schemas.openxmlformats.org/officeDocument/2006/relationships/hyperlink" Target="http://www.qhrc.qld.gov.au/" TargetMode="External"/><Relationship Id="rId139" Type="http://schemas.openxmlformats.org/officeDocument/2006/relationships/hyperlink" Target="http://www.forgov.qld.gov.au/" TargetMode="External"/><Relationship Id="rId85" Type="http://schemas.openxmlformats.org/officeDocument/2006/relationships/hyperlink" Target="http://www.parliament.tas.gov.au/ctee/joint/Current%20Inquiries/pac/Covid-19%20response/ToR%20C19.pdf" TargetMode="External"/><Relationship Id="rId150" Type="http://schemas.openxmlformats.org/officeDocument/2006/relationships/hyperlink" Target="http://www.ohchr.org/en/hr-bodies/hrc/regular-" TargetMode="External"/><Relationship Id="rId12" Type="http://schemas.openxmlformats.org/officeDocument/2006/relationships/hyperlink" Target="http://www.utas.edu.au/law-reform/publications" TargetMode="External"/><Relationship Id="rId17" Type="http://schemas.openxmlformats.org/officeDocument/2006/relationships/footer" Target="footer5.xml"/><Relationship Id="rId33" Type="http://schemas.openxmlformats.org/officeDocument/2006/relationships/header" Target="header10.xml"/><Relationship Id="rId38" Type="http://schemas.openxmlformats.org/officeDocument/2006/relationships/header" Target="header13.xml"/><Relationship Id="rId59" Type="http://schemas.openxmlformats.org/officeDocument/2006/relationships/hyperlink" Target="http://www.info.dfat.gov.au/Info/Treaties/treaties.nsf/AllDocIDs/619D7BC7DF6FF190CA256B4F007731BD" TargetMode="External"/><Relationship Id="rId103" Type="http://schemas.openxmlformats.org/officeDocument/2006/relationships/hyperlink" Target="http://www.legislation.act.go/" TargetMode="External"/><Relationship Id="rId108" Type="http://schemas.openxmlformats.org/officeDocument/2006/relationships/hyperlink" Target="http://www.hrc.act.gov.au/" TargetMode="External"/><Relationship Id="rId124" Type="http://schemas.openxmlformats.org/officeDocument/2006/relationships/hyperlink" Target="http://www.humanrights.vic.gov.au/static/7275f265280c4c43a025ea0d34b54c44/Resource-Charter_Report-2020.pdf" TargetMode="External"/><Relationship Id="rId129" Type="http://schemas.openxmlformats.org/officeDocument/2006/relationships/hyperlink" Target="https://jade.io/summary/mnc/2010/VSC/310" TargetMode="External"/><Relationship Id="rId54" Type="http://schemas.openxmlformats.org/officeDocument/2006/relationships/hyperlink" Target="http://www.forgov.qld.gov.au/" TargetMode="External"/><Relationship Id="rId70" Type="http://schemas.openxmlformats.org/officeDocument/2006/relationships/hyperlink" Target="http://www.monash.edu/" TargetMode="External"/><Relationship Id="rId75" Type="http://schemas.openxmlformats.org/officeDocument/2006/relationships/hyperlink" Target="http://www.ohchr.org/EN/NewsEvents/Pages/DisplayNews.aspx?NewsID=15002&amp;LangID=E" TargetMode="External"/><Relationship Id="rId91" Type="http://schemas.openxmlformats.org/officeDocument/2006/relationships/hyperlink" Target="http://www.legislation.qld.gov.au/view/pdf/bill.first.hrc/bill-2020-005" TargetMode="External"/><Relationship Id="rId96" Type="http://schemas.openxmlformats.org/officeDocument/2006/relationships/hyperlink" Target="http://www.qhrc.qld.gov.au/" TargetMode="External"/><Relationship Id="rId140" Type="http://schemas.openxmlformats.org/officeDocument/2006/relationships/hyperlink" Target="http://www.judicialcollege.vic.edu.au/eManuals/CHRBB/index.htm" TargetMode="External"/><Relationship Id="rId145" Type="http://schemas.openxmlformats.org/officeDocument/2006/relationships/hyperlink" Target="http://www.hrc.act.gov.au/" TargetMode="External"/><Relationship Id="rId161" Type="http://schemas.openxmlformats.org/officeDocument/2006/relationships/header" Target="header24.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footer" Target="footer7.xml"/><Relationship Id="rId28" Type="http://schemas.openxmlformats.org/officeDocument/2006/relationships/header" Target="header7.xml"/><Relationship Id="rId49" Type="http://schemas.openxmlformats.org/officeDocument/2006/relationships/header" Target="header17.xml"/><Relationship Id="rId114" Type="http://schemas.openxmlformats.org/officeDocument/2006/relationships/hyperlink" Target="http://www.qhrc.qld.gov.au/" TargetMode="External"/><Relationship Id="rId119" Type="http://schemas.openxmlformats.org/officeDocument/2006/relationships/hyperlink" Target="http://www.humanrights.vic.gov.au/static/17e7f07a6011ef9bf0002454f5a65611/Resource_Annual_Report-2020-21.pdf" TargetMode="External"/><Relationship Id="rId44" Type="http://schemas.openxmlformats.org/officeDocument/2006/relationships/footer" Target="footer17.xml"/><Relationship Id="rId60" Type="http://schemas.openxmlformats.org/officeDocument/2006/relationships/hyperlink" Target="http://www.info.dfat.gov.au/Info/Treaties/treaties.nsf/AllDocIDs/619D7BC7DF6FF190CA256B4F007731BD" TargetMode="External"/><Relationship Id="rId65" Type="http://schemas.openxmlformats.org/officeDocument/2006/relationships/hyperlink" Target="http://www.aph.gov.au/Parliamentary_Business/Committees/Joint/Human_Rights/Guidance_Notes_and_Resources" TargetMode="External"/><Relationship Id="rId81" Type="http://schemas.openxmlformats.org/officeDocument/2006/relationships/hyperlink" Target="https://www.parliament.tas.gov.au/ctee/Joint/subleg/COVID/Notices/2021/210922%20Notice%20under%20s17%20Magistrates%20Court%20-%20Electronic%20Service%20and%20Witnessing.pdf" TargetMode="External"/><Relationship Id="rId86" Type="http://schemas.openxmlformats.org/officeDocument/2006/relationships/hyperlink" Target="http://www.parliament.tas.gov.au/ctee/joint/Current%20Inquiries/pac/Covid-19%20response/ToR%20C19.pdf" TargetMode="External"/><Relationship Id="rId130" Type="http://schemas.openxmlformats.org/officeDocument/2006/relationships/hyperlink" Target="http://www.corrections.vic.gov.au/standards-for-prisoners-and-offenders" TargetMode="External"/><Relationship Id="rId135" Type="http://schemas.openxmlformats.org/officeDocument/2006/relationships/footer" Target="footer23.xml"/><Relationship Id="rId151" Type="http://schemas.openxmlformats.org/officeDocument/2006/relationships/hyperlink" Target="http://www.ohchr.org/en/2021/10/bachelet-hails-" TargetMode="External"/><Relationship Id="rId156" Type="http://schemas.openxmlformats.org/officeDocument/2006/relationships/hyperlink" Target="http://www.hrc.act.gov.au/complaints" TargetMode="External"/><Relationship Id="rId13" Type="http://schemas.openxmlformats.org/officeDocument/2006/relationships/footer" Target="footer2.xml"/><Relationship Id="rId18" Type="http://schemas.openxmlformats.org/officeDocument/2006/relationships/header" Target="header2.xml"/><Relationship Id="rId39" Type="http://schemas.openxmlformats.org/officeDocument/2006/relationships/footer" Target="footer14.xml"/><Relationship Id="rId109" Type="http://schemas.openxmlformats.org/officeDocument/2006/relationships/hyperlink" Target="http://www.ojp.gov/ncjrs/virtual-" TargetMode="External"/><Relationship Id="rId34" Type="http://schemas.openxmlformats.org/officeDocument/2006/relationships/footer" Target="footer12.xml"/><Relationship Id="rId50" Type="http://schemas.openxmlformats.org/officeDocument/2006/relationships/footer" Target="footer18.xml"/><Relationship Id="rId55" Type="http://schemas.openxmlformats.org/officeDocument/2006/relationships/hyperlink" Target="http://www.qhrc.qld.gov.au/resources/legal-" TargetMode="External"/><Relationship Id="rId76" Type="http://schemas.openxmlformats.org/officeDocument/2006/relationships/hyperlink" Target="http://www.amnesty.org.au/draconian-anti-protest-legislation-" TargetMode="External"/><Relationship Id="rId97" Type="http://schemas.openxmlformats.org/officeDocument/2006/relationships/hyperlink" Target="http://www.qhrc.qld.gov.au/resources/submissions" TargetMode="External"/><Relationship Id="rId104" Type="http://schemas.openxmlformats.org/officeDocument/2006/relationships/hyperlink" Target="http://www.parliament.act.gov.au/" TargetMode="External"/><Relationship Id="rId120" Type="http://schemas.openxmlformats.org/officeDocument/2006/relationships/hyperlink" Target="http://www.hrc.act.gov.au/" TargetMode="External"/><Relationship Id="rId125" Type="http://schemas.openxmlformats.org/officeDocument/2006/relationships/hyperlink" Target="http://www.communityservices.act.gov.au/children-and-families/youth-justice/bimberi-youth-justice-centre/charter-of-" TargetMode="External"/><Relationship Id="rId141" Type="http://schemas.openxmlformats.org/officeDocument/2006/relationships/hyperlink" Target="https://www.qhrc.qld.gov.au/__data/assets/pdf_file/0010/19882/QHRC_factsheet_HRA_RoleOfCourtsAndTribunals.pdf" TargetMode="External"/><Relationship Id="rId146" Type="http://schemas.openxmlformats.org/officeDocument/2006/relationships/hyperlink" Target="http://www.legislation.qld.gov.au/view/pdf/bill.first.hrc/bill-2019-021" TargetMode="External"/><Relationship Id="rId7" Type="http://schemas.openxmlformats.org/officeDocument/2006/relationships/webSettings" Target="webSettings.xml"/><Relationship Id="rId71" Type="http://schemas.openxmlformats.org/officeDocument/2006/relationships/header" Target="header18.xml"/><Relationship Id="rId92" Type="http://schemas.openxmlformats.org/officeDocument/2006/relationships/hyperlink" Target="http://www.parliament.act.gov.au/parliamentary-business/in-committees/previous-assemblies/select-" TargetMode="External"/><Relationship Id="rId162" Type="http://schemas.openxmlformats.org/officeDocument/2006/relationships/header" Target="header25.xm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eader" Target="header5.xml"/><Relationship Id="rId40" Type="http://schemas.openxmlformats.org/officeDocument/2006/relationships/footer" Target="footer15.xml"/><Relationship Id="rId45" Type="http://schemas.openxmlformats.org/officeDocument/2006/relationships/hyperlink" Target="http://www.dpac.tas.gov.au/" TargetMode="External"/><Relationship Id="rId66" Type="http://schemas.openxmlformats.org/officeDocument/2006/relationships/hyperlink" Target="http://www.aph.gov.au/Parliamentary_Business/Committees/Joint/Human_Rights/Guidance_Notes_and_Resources" TargetMode="External"/><Relationship Id="rId87" Type="http://schemas.openxmlformats.org/officeDocument/2006/relationships/hyperlink" Target="http://www.humanrights.vic.gov.au/resources/human-rights-and-victorias-covid-19-omnibus-emergency-measures-act-" TargetMode="External"/><Relationship Id="rId110" Type="http://schemas.openxmlformats.org/officeDocument/2006/relationships/hyperlink" Target="http://www.parliament.tas.gov.au/" TargetMode="External"/><Relationship Id="rId115" Type="http://schemas.openxmlformats.org/officeDocument/2006/relationships/hyperlink" Target="http://www.humanrights.vic.gov.au/static/17e7f07a6011ef9bf0002454f5a65611/Resource_Annual_Report-2020-21.pdf" TargetMode="External"/><Relationship Id="rId131" Type="http://schemas.openxmlformats.org/officeDocument/2006/relationships/hyperlink" Target="http://www.abc.net.au/news/2010-10-21/charter-" TargetMode="External"/><Relationship Id="rId136" Type="http://schemas.openxmlformats.org/officeDocument/2006/relationships/hyperlink" Target="https://static1.squarespace.com/static/5b7e1a0be2ccd10a603592f6/t/62eb12f8b0c0ae524d1867d2/1659572985972/Government%2Bresponse%2Bto%2Bthe%2B2015%2Breview%2Bof%2Bthe%2BCharter%2Bof%2BHuman%2BRights%2Band%2BResponsibilities%2BAct%2B_%2BDepartment%2Bof%2BJustice%2Band%2BCommunity%2BSafety%2BVictoria%3e" TargetMode="External"/><Relationship Id="rId157" Type="http://schemas.openxmlformats.org/officeDocument/2006/relationships/header" Target="header22.xml"/><Relationship Id="rId61" Type="http://schemas.openxmlformats.org/officeDocument/2006/relationships/hyperlink" Target="http://www.info.dfat.gov.au/Info/Treaties/treaties.nsf/AllDocIDs/E123F4F71DCAE3E7CA256B4F007F2905" TargetMode="External"/><Relationship Id="rId82" Type="http://schemas.openxmlformats.org/officeDocument/2006/relationships/hyperlink" Target="https://www.parliament.tas.gov.au/ctee/Joint/subleg/COVID/Notices/2021/210922%20Notice%20under%20s17%20Magistrates%20Court%20-%20Electronic%20Service%20and%20Witnessing.pdf" TargetMode="External"/><Relationship Id="rId152" Type="http://schemas.openxmlformats.org/officeDocument/2006/relationships/hyperlink" Target="http://www.edo.org.au/2021/10/19/bold-action-required-" TargetMode="External"/><Relationship Id="rId19" Type="http://schemas.openxmlformats.org/officeDocument/2006/relationships/hyperlink" Target="mailto:human.ethics@utas.edu.au" TargetMode="External"/><Relationship Id="rId14" Type="http://schemas.openxmlformats.org/officeDocument/2006/relationships/footer" Target="footer3.xml"/><Relationship Id="rId30" Type="http://schemas.openxmlformats.org/officeDocument/2006/relationships/footer" Target="footer10.xml"/><Relationship Id="rId35" Type="http://schemas.openxmlformats.org/officeDocument/2006/relationships/footer" Target="footer13.xml"/><Relationship Id="rId56" Type="http://schemas.openxmlformats.org/officeDocument/2006/relationships/hyperlink" Target="http://www.info.dfat.gov.au/Info/Treaties/treaties.nsf/AllDocIDs/2F70352A0B65EB67CA256B6E0075FE13" TargetMode="External"/><Relationship Id="rId77" Type="http://schemas.openxmlformats.org/officeDocument/2006/relationships/hyperlink" Target="http://www.aph.gov.au/Parliamentary_Business/Committees/Joint/Human_Rights/Scrutiny_reports/2019/Report_3_of_20" TargetMode="External"/><Relationship Id="rId100" Type="http://schemas.openxmlformats.org/officeDocument/2006/relationships/hyperlink" Target="http://www.vicroads.vic.gov.au/website-terms/privacy" TargetMode="External"/><Relationship Id="rId105" Type="http://schemas.openxmlformats.org/officeDocument/2006/relationships/hyperlink" Target="http://www.childcomm.tas.gov.au/wp-" TargetMode="External"/><Relationship Id="rId126" Type="http://schemas.openxmlformats.org/officeDocument/2006/relationships/hyperlink" Target="http://www.hrc.act.gov.au/" TargetMode="External"/><Relationship Id="rId147" Type="http://schemas.openxmlformats.org/officeDocument/2006/relationships/hyperlink" Target="http://www.qhrc.qld.gov.au/about-us/annual-reports" TargetMode="External"/><Relationship Id="rId8" Type="http://schemas.openxmlformats.org/officeDocument/2006/relationships/footnotes" Target="footnotes.xml"/><Relationship Id="rId51" Type="http://schemas.openxmlformats.org/officeDocument/2006/relationships/footer" Target="footer19.xml"/><Relationship Id="rId72" Type="http://schemas.openxmlformats.org/officeDocument/2006/relationships/header" Target="header19.xml"/><Relationship Id="rId93" Type="http://schemas.openxmlformats.org/officeDocument/2006/relationships/hyperlink" Target="http://www.parliament.qld.gov.au/Work-of-Committees/Inquiries/Inquiry-Details?id=2896" TargetMode="External"/><Relationship Id="rId98" Type="http://schemas.openxmlformats.org/officeDocument/2006/relationships/hyperlink" Target="http://www.parliament.act.gov.au/" TargetMode="External"/><Relationship Id="rId121" Type="http://schemas.openxmlformats.org/officeDocument/2006/relationships/hyperlink" Target="http://www.humanrights.vic.gov.au/legal-" TargetMode="External"/><Relationship Id="rId142" Type="http://schemas.openxmlformats.org/officeDocument/2006/relationships/hyperlink" Target="http://www.commissionofinquiry.tas.gov.au/home" TargetMode="External"/><Relationship Id="rId163" Type="http://schemas.openxmlformats.org/officeDocument/2006/relationships/footer" Target="footer26.xml"/><Relationship Id="rId3" Type="http://schemas.openxmlformats.org/officeDocument/2006/relationships/customXml" Target="../customXml/item3.xml"/><Relationship Id="rId25" Type="http://schemas.openxmlformats.org/officeDocument/2006/relationships/footer" Target="footer8.xml"/><Relationship Id="rId46" Type="http://schemas.openxmlformats.org/officeDocument/2006/relationships/hyperlink" Target="http://www.commissionofinquiry.tas.gov.au/home" TargetMode="External"/><Relationship Id="rId67" Type="http://schemas.openxmlformats.org/officeDocument/2006/relationships/hyperlink" Target="http://www.aph.gov.au/Parliamentary_Business/Committees/Joint/Human_Rights/Scrutiny_reports" TargetMode="External"/><Relationship Id="rId116" Type="http://schemas.openxmlformats.org/officeDocument/2006/relationships/hyperlink" Target="http://www.utas.edu.au/community-and-partners/tpe" TargetMode="External"/><Relationship Id="rId137" Type="http://schemas.openxmlformats.org/officeDocument/2006/relationships/hyperlink" Target="https://static1.squarespace.com/static/5b7e1a0be2ccd10a603592f6/t/62eb12f8b0c0ae524d1867d2/1659572985972/Government%2Bresponse%2Bto%2Bthe%2B2015%2Breview%2Bof%2Bthe%2BCharter%2Bof%2BHuman%2BRights%2Band%2BResponsibilities%2BAct%2B_%2BDepartment%2Bof%2BJustice%2Band%2BCommunity%2BSafety%2BVictoria%3e" TargetMode="External"/><Relationship Id="rId158" Type="http://schemas.openxmlformats.org/officeDocument/2006/relationships/header" Target="header23.xml"/><Relationship Id="rId20" Type="http://schemas.openxmlformats.org/officeDocument/2006/relationships/header" Target="header3.xml"/><Relationship Id="rId41" Type="http://schemas.openxmlformats.org/officeDocument/2006/relationships/header" Target="header14.xml"/><Relationship Id="rId62" Type="http://schemas.openxmlformats.org/officeDocument/2006/relationships/hyperlink" Target="http://www.info.dfat.gov.au/Info/Treaties/treaties.nsf/AllDocIDs/636560118784755BCA25726C0007D2AC" TargetMode="External"/><Relationship Id="rId83" Type="http://schemas.openxmlformats.org/officeDocument/2006/relationships/hyperlink" Target="https://www.parliament.tas.gov.au/ctee/Joint/subleg/COVID/Notices/2021/210922%20Notice%20under%20s20%20Magistrates%20Court%20-%20proceedings.pdf" TargetMode="External"/><Relationship Id="rId88" Type="http://schemas.openxmlformats.org/officeDocument/2006/relationships/hyperlink" Target="http://www.humanrights.vic.gov.au/news/scrutiny-of-new-" TargetMode="External"/><Relationship Id="rId111" Type="http://schemas.openxmlformats.org/officeDocument/2006/relationships/hyperlink" Target="http://www.pmc.gov.au/domestic-" TargetMode="External"/><Relationship Id="rId132" Type="http://schemas.openxmlformats.org/officeDocument/2006/relationships/header" Target="header20.xml"/><Relationship Id="rId153" Type="http://schemas.openxmlformats.org/officeDocument/2006/relationships/hyperlink" Target="http://www.hrw.org/world-report/2022" TargetMode="External"/><Relationship Id="rId15" Type="http://schemas.openxmlformats.org/officeDocument/2006/relationships/header" Target="header1.xml"/><Relationship Id="rId36" Type="http://schemas.openxmlformats.org/officeDocument/2006/relationships/header" Target="header11.xml"/><Relationship Id="rId57" Type="http://schemas.openxmlformats.org/officeDocument/2006/relationships/hyperlink" Target="http://www.info.dfat.gov.au/Info/Treaties/treaties.nsf/AllDocIDs/333D22B9ED69B058CA256B300024F1BA" TargetMode="External"/><Relationship Id="rId106" Type="http://schemas.openxmlformats.org/officeDocument/2006/relationships/hyperlink" Target="http://www.commissionofinquiry.tas.gov.au/" TargetMode="External"/><Relationship Id="rId127" Type="http://schemas.openxmlformats.org/officeDocument/2006/relationships/hyperlink" Target="http://www.justice.act.gov.au/" TargetMode="External"/><Relationship Id="rId10" Type="http://schemas.openxmlformats.org/officeDocument/2006/relationships/image" Target="media/image1.png"/><Relationship Id="rId31" Type="http://schemas.openxmlformats.org/officeDocument/2006/relationships/footer" Target="footer11.xml"/><Relationship Id="rId52" Type="http://schemas.openxmlformats.org/officeDocument/2006/relationships/hyperlink" Target="http://www.courts.act.gov.au/supreme/about-the-courts/judiciary/speeches" TargetMode="External"/><Relationship Id="rId73" Type="http://schemas.openxmlformats.org/officeDocument/2006/relationships/footer" Target="footer20.xml"/><Relationship Id="rId78" Type="http://schemas.openxmlformats.org/officeDocument/2006/relationships/hyperlink" Target="http://www.lawcouncil.asn.au/about-us/advisory-committees/national-criminal-law-committee" TargetMode="External"/><Relationship Id="rId94" Type="http://schemas.openxmlformats.org/officeDocument/2006/relationships/hyperlink" Target="http://www.premier.vic.gov.au/emergency-sitting-victorian-parliament-next-week" TargetMode="External"/><Relationship Id="rId99" Type="http://schemas.openxmlformats.org/officeDocument/2006/relationships/hyperlink" Target="http://www.itnews.com.au/news/three-states-complete-national-face-matching-database-upload-53535" TargetMode="External"/><Relationship Id="rId101" Type="http://schemas.openxmlformats.org/officeDocument/2006/relationships/hyperlink" Target="http://www.premier.vic.gov.au/identity-fraud-crackdown/" TargetMode="External"/><Relationship Id="rId122" Type="http://schemas.openxmlformats.org/officeDocument/2006/relationships/hyperlink" Target="http://www.parliament.vic.gov.au/48eb83/contentassets/9c4e489fe9834121826347ad523e87d2/paec_59-" TargetMode="External"/><Relationship Id="rId143" Type="http://schemas.openxmlformats.org/officeDocument/2006/relationships/hyperlink" Target="https://yoursayconversations.act.gov.au/download_file/view/6573/2472" TargetMode="External"/><Relationship Id="rId148" Type="http://schemas.openxmlformats.org/officeDocument/2006/relationships/hyperlink" Target="http://www.theguardian.com/australia-news/2021/oct/03/queensland-police-refuse-to-remove-traditional-" TargetMode="External"/><Relationship Id="rId164" Type="http://schemas.openxmlformats.org/officeDocument/2006/relationships/footer" Target="footer27.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footer" Target="footer9.xml"/><Relationship Id="rId47" Type="http://schemas.openxmlformats.org/officeDocument/2006/relationships/hyperlink" Target="http://www.commissionofinquiry.tas.gov.au/" TargetMode="External"/><Relationship Id="rId68" Type="http://schemas.openxmlformats.org/officeDocument/2006/relationships/hyperlink" Target="https://www.alrc.gov.au/publication/traditional-rights-and-freedoms-encroachments-by-commonwealth-laws-alrc-report-129/" TargetMode="External"/><Relationship Id="rId89" Type="http://schemas.openxmlformats.org/officeDocument/2006/relationships/hyperlink" Target="http://www.legislation.qld.gov.au/view/pdf/bill.first.exp/bill-2020-011" TargetMode="External"/><Relationship Id="rId112" Type="http://schemas.openxmlformats.org/officeDocument/2006/relationships/hyperlink" Target="http://www.parliament.tas.gov.au/committees/joint-committees/standing-committees/subord/previousreports" TargetMode="External"/><Relationship Id="rId133" Type="http://schemas.openxmlformats.org/officeDocument/2006/relationships/header" Target="header21.xml"/><Relationship Id="rId154" Type="http://schemas.openxmlformats.org/officeDocument/2006/relationships/hyperlink" Target="http://www.utas.edu.au/" TargetMode="External"/><Relationship Id="rId16" Type="http://schemas.openxmlformats.org/officeDocument/2006/relationships/footer" Target="footer4.xml"/><Relationship Id="rId37" Type="http://schemas.openxmlformats.org/officeDocument/2006/relationships/header" Target="header12.xml"/><Relationship Id="rId58" Type="http://schemas.openxmlformats.org/officeDocument/2006/relationships/hyperlink" Target="http://www.info.dfat.gov.au/Info/Treaties/treaties.nsf/AllDocIDs/333D22B9ED69B058CA256B300024F1BA" TargetMode="External"/><Relationship Id="rId79" Type="http://schemas.openxmlformats.org/officeDocument/2006/relationships/hyperlink" Target="http://www.nswccl.org.au/nswccl_submissions" TargetMode="External"/><Relationship Id="rId102" Type="http://schemas.openxmlformats.org/officeDocument/2006/relationships/hyperlink" Target="http://www.canberratimes.com.au/story/6962043/you-cant-ever-get-privacy-back-act-delays-biometric-licence-upload/" TargetMode="External"/><Relationship Id="rId123" Type="http://schemas.openxmlformats.org/officeDocument/2006/relationships/hyperlink" Target="http://www.hrlc.org.au/news/2021/11/30/proposed-" TargetMode="External"/><Relationship Id="rId144" Type="http://schemas.openxmlformats.org/officeDocument/2006/relationships/hyperlink" Target="http://www.researchgate.net/publication/228158594_Australian_Capital_Territory_Economic_Social_and_Cultural_Right" TargetMode="External"/><Relationship Id="rId90" Type="http://schemas.openxmlformats.org/officeDocument/2006/relationships/hyperlink" Target="http://www.legislation.qld.gov.au/view/pdf/bill.first.hrc/bill-2020-011" TargetMode="External"/><Relationship Id="rId165" Type="http://schemas.openxmlformats.org/officeDocument/2006/relationships/fontTable" Target="fontTable.xml"/><Relationship Id="rId27" Type="http://schemas.openxmlformats.org/officeDocument/2006/relationships/header" Target="header6.xml"/><Relationship Id="rId48" Type="http://schemas.openxmlformats.org/officeDocument/2006/relationships/header" Target="header16.xml"/><Relationship Id="rId69" Type="http://schemas.openxmlformats.org/officeDocument/2006/relationships/hyperlink" Target="https://www.alrc.gov.au/publication/traditional-rights-and-freedoms-encroachments-by-commonwealth-laws-alrc-report-129/" TargetMode="External"/><Relationship Id="rId113" Type="http://schemas.openxmlformats.org/officeDocument/2006/relationships/hyperlink" Target="http://www.qhrc.qld.gov.au/" TargetMode="External"/><Relationship Id="rId134" Type="http://schemas.openxmlformats.org/officeDocument/2006/relationships/footer" Target="footer22.xml"/><Relationship Id="rId80" Type="http://schemas.openxmlformats.org/officeDocument/2006/relationships/hyperlink" Target="http://www.aph.gov.au/Parliamentary_Business/Committees/Senate/Legal_and_Constitutional_Affairs/Agriculturalprotect" TargetMode="External"/><Relationship Id="rId155" Type="http://schemas.openxmlformats.org/officeDocument/2006/relationships/hyperlink" Target="http://www.parliament.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3F83366492D4EAA320CC60EACD949" ma:contentTypeVersion="18" ma:contentTypeDescription="Create a new document." ma:contentTypeScope="" ma:versionID="de4907247de424bc20017513f59d58e5">
  <xsd:schema xmlns:xsd="http://www.w3.org/2001/XMLSchema" xmlns:xs="http://www.w3.org/2001/XMLSchema" xmlns:p="http://schemas.microsoft.com/office/2006/metadata/properties" xmlns:ns2="ff268b07-6a93-4430-b1e4-2f0a09f56242" xmlns:ns3="5511c14c-b25b-4611-ba41-15810fe933dd" xmlns:ns4="2d221494-178b-4357-bea6-3a87c5967eb4" targetNamespace="http://schemas.microsoft.com/office/2006/metadata/properties" ma:root="true" ma:fieldsID="65fc7203e0bbc7efe430395092fd63c8" ns2:_="" ns3:_="" ns4:_="">
    <xsd:import namespace="ff268b07-6a93-4430-b1e4-2f0a09f56242"/>
    <xsd:import namespace="5511c14c-b25b-4611-ba41-15810fe933dd"/>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8b07-6a93-4430-b1e4-2f0a09f56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11c14c-b25b-4611-ba41-15810fe93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b9c5877-d6ca-4318-b358-a8dc4fab1eb2}" ma:internalName="TaxCatchAll" ma:showField="CatchAllData" ma:web="5511c14c-b25b-4611-ba41-15810fe9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268b07-6a93-4430-b1e4-2f0a09f56242">
      <Terms xmlns="http://schemas.microsoft.com/office/infopath/2007/PartnerControls"/>
    </lcf76f155ced4ddcb4097134ff3c332f>
    <TaxCatchAll xmlns="2d221494-178b-4357-bea6-3a87c5967eb4" xsi:nil="true"/>
  </documentManagement>
</p:properties>
</file>

<file path=customXml/itemProps1.xml><?xml version="1.0" encoding="utf-8"?>
<ds:datastoreItem xmlns:ds="http://schemas.openxmlformats.org/officeDocument/2006/customXml" ds:itemID="{89F9341A-0CE3-46D1-98A5-5FD4ACD86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8b07-6a93-4430-b1e4-2f0a09f56242"/>
    <ds:schemaRef ds:uri="5511c14c-b25b-4611-ba41-15810fe933dd"/>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5B623-90D6-4C21-82F9-2AC1DFCAD900}">
  <ds:schemaRefs>
    <ds:schemaRef ds:uri="http://schemas.microsoft.com/sharepoint/v3/contenttype/forms"/>
  </ds:schemaRefs>
</ds:datastoreItem>
</file>

<file path=customXml/itemProps3.xml><?xml version="1.0" encoding="utf-8"?>
<ds:datastoreItem xmlns:ds="http://schemas.openxmlformats.org/officeDocument/2006/customXml" ds:itemID="{45CDB041-037E-4CDE-A8DE-4DE6BDA59CEA}">
  <ds:schemaRefs>
    <ds:schemaRef ds:uri="http://schemas.microsoft.com/office/2006/metadata/properties"/>
    <ds:schemaRef ds:uri="http://schemas.microsoft.com/office/infopath/2007/PartnerControls"/>
    <ds:schemaRef ds:uri="ff268b07-6a93-4430-b1e4-2f0a09f56242"/>
    <ds:schemaRef ds:uri="2d221494-178b-4357-bea6-3a87c5967eb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61616</Words>
  <Characters>351216</Characters>
  <Application>Microsoft Office Word</Application>
  <DocSecurity>8</DocSecurity>
  <Lines>2926</Lines>
  <Paragraphs>824</Paragraphs>
  <ScaleCrop>false</ScaleCrop>
  <Company/>
  <LinksUpToDate>false</LinksUpToDate>
  <CharactersWithSpaces>412008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Fox</dc:creator>
  <cp:lastModifiedBy>Simone Lush</cp:lastModifiedBy>
  <cp:revision>2</cp:revision>
  <dcterms:created xsi:type="dcterms:W3CDTF">2024-04-29T03:56:00Z</dcterms:created>
  <dcterms:modified xsi:type="dcterms:W3CDTF">2024-04-29T03:56:00Z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2024-04-09T00:00:00Z</vt:filetime>
  </property>
  <property fmtid="{D5CDD505-2E9C-101B-9397-08002B2CF9AE}" pid="3" name="Creator">
    <vt:lpwstr>Microsoft® Word for Microsoft 365</vt:lpwstr>
  </property>
  <property fmtid="{D5CDD505-2E9C-101B-9397-08002B2CF9AE}" pid="4" name="LastSaved">
    <vt:filetime>2024-04-23T00:00:00Z</vt:filetime>
  </property>
  <property fmtid="{D5CDD505-2E9C-101B-9397-08002B2CF9AE}" pid="5" name="Producer">
    <vt:lpwstr>Microsoft® Word for Microsoft 365</vt:lpwstr>
  </property>
  <property fmtid="{D5CDD505-2E9C-101B-9397-08002B2CF9AE}" pid="6" name="ContentTypeId">
    <vt:lpwstr>0x0101001CC3F83366492D4EAA320CC60EACD949</vt:lpwstr>
  </property>
  <property fmtid="{D5CDD505-2E9C-101B-9397-08002B2CF9AE}" pid="7" name="MediaServiceImageTags">
    <vt:lpwstr/>
  </property>
</Properties>
</file>